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E5F8" w14:textId="0EE7A3F1" w:rsidR="00CC4F28" w:rsidRPr="00C07F99" w:rsidRDefault="00F73636" w:rsidP="00CC4F28">
      <w:pPr>
        <w:pStyle w:val="Title"/>
        <w:jc w:val="both"/>
        <w:rPr>
          <w:rFonts w:ascii="Verdana" w:hAnsi="Verdana"/>
          <w:sz w:val="32"/>
          <w:szCs w:val="32"/>
          <w:lang w:val="en-US"/>
        </w:rPr>
      </w:pPr>
      <w:r>
        <w:rPr>
          <w:noProof/>
          <w:lang w:val="en-US"/>
        </w:rPr>
        <w:drawing>
          <wp:anchor distT="0" distB="0" distL="114300" distR="114300" simplePos="0" relativeHeight="251659264" behindDoc="0" locked="0" layoutInCell="1" allowOverlap="1" wp14:anchorId="64ED1CBA" wp14:editId="487CD1BF">
            <wp:simplePos x="0" y="0"/>
            <wp:positionH relativeFrom="margin">
              <wp:align>left</wp:align>
            </wp:positionH>
            <wp:positionV relativeFrom="paragraph">
              <wp:posOffset>-981075</wp:posOffset>
            </wp:positionV>
            <wp:extent cx="942340" cy="920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F28" w:rsidRPr="00C07F99">
        <w:rPr>
          <w:rFonts w:ascii="Verdana" w:hAnsi="Verdana"/>
          <w:sz w:val="32"/>
          <w:szCs w:val="32"/>
          <w:lang w:val="en-US"/>
        </w:rPr>
        <w:t>Securities Investment Business Licensees (“SIB Licensees”) Sector Assessment – December 2019</w:t>
      </w:r>
    </w:p>
    <w:p w14:paraId="66A75EB7" w14:textId="3DE9880B" w:rsidR="004F207A" w:rsidRPr="004900E8" w:rsidRDefault="004F207A" w:rsidP="00101474">
      <w:pPr>
        <w:pStyle w:val="ListParagraph"/>
        <w:spacing w:line="276" w:lineRule="auto"/>
        <w:ind w:left="709"/>
        <w:jc w:val="both"/>
        <w:rPr>
          <w:rFonts w:ascii="Verdana" w:hAnsi="Verdana" w:cs="Times New Roman"/>
          <w:b/>
          <w:sz w:val="20"/>
          <w:szCs w:val="20"/>
        </w:rPr>
      </w:pPr>
    </w:p>
    <w:p w14:paraId="1DB2E688" w14:textId="6B695611" w:rsidR="00527198" w:rsidRPr="004900E8" w:rsidRDefault="00C6242A" w:rsidP="00101474">
      <w:pPr>
        <w:pStyle w:val="ListParagraph"/>
        <w:numPr>
          <w:ilvl w:val="0"/>
          <w:numId w:val="8"/>
        </w:numPr>
        <w:spacing w:line="276" w:lineRule="auto"/>
        <w:ind w:left="709" w:hanging="709"/>
        <w:jc w:val="both"/>
        <w:rPr>
          <w:rFonts w:ascii="Verdana" w:hAnsi="Verdana" w:cs="Times New Roman"/>
          <w:b/>
          <w:sz w:val="20"/>
          <w:szCs w:val="20"/>
        </w:rPr>
      </w:pPr>
      <w:r>
        <w:rPr>
          <w:rFonts w:ascii="Verdana" w:hAnsi="Verdana" w:cs="Times New Roman"/>
          <w:b/>
          <w:sz w:val="20"/>
          <w:szCs w:val="20"/>
        </w:rPr>
        <w:t>INTRODUCTION</w:t>
      </w:r>
    </w:p>
    <w:p w14:paraId="7342A401" w14:textId="77777777" w:rsidR="000237F1" w:rsidRPr="004900E8" w:rsidRDefault="000237F1" w:rsidP="00101474">
      <w:pPr>
        <w:pStyle w:val="ListParagraph"/>
        <w:spacing w:line="276" w:lineRule="auto"/>
        <w:ind w:left="709"/>
        <w:jc w:val="both"/>
        <w:rPr>
          <w:rFonts w:ascii="Verdana" w:hAnsi="Verdana" w:cs="Times New Roman"/>
          <w:b/>
          <w:sz w:val="20"/>
          <w:szCs w:val="20"/>
        </w:rPr>
      </w:pPr>
    </w:p>
    <w:p w14:paraId="07F1AD4C" w14:textId="63948071" w:rsidR="00EB77F7" w:rsidRPr="004900E8" w:rsidRDefault="00914C13" w:rsidP="00153D5E">
      <w:pPr>
        <w:pStyle w:val="ListParagraph"/>
        <w:numPr>
          <w:ilvl w:val="0"/>
          <w:numId w:val="24"/>
        </w:numPr>
        <w:spacing w:line="276" w:lineRule="auto"/>
        <w:jc w:val="both"/>
        <w:rPr>
          <w:rFonts w:ascii="Verdana" w:hAnsi="Verdana"/>
          <w:color w:val="000000" w:themeColor="text1"/>
          <w:sz w:val="20"/>
          <w:szCs w:val="20"/>
        </w:rPr>
      </w:pPr>
      <w:bookmarkStart w:id="0" w:name="_Hlk31790719"/>
      <w:r w:rsidRPr="004900E8">
        <w:rPr>
          <w:rFonts w:ascii="Verdana" w:hAnsi="Verdana"/>
          <w:color w:val="000000" w:themeColor="text1"/>
          <w:sz w:val="20"/>
          <w:szCs w:val="20"/>
        </w:rPr>
        <w:t>T</w:t>
      </w:r>
      <w:r w:rsidR="001B4D66" w:rsidRPr="004900E8">
        <w:rPr>
          <w:rFonts w:ascii="Verdana" w:hAnsi="Verdana"/>
          <w:color w:val="000000" w:themeColor="text1"/>
          <w:sz w:val="20"/>
          <w:szCs w:val="20"/>
        </w:rPr>
        <w:t>he Cayman Islands</w:t>
      </w:r>
      <w:r w:rsidR="00527198" w:rsidRPr="004900E8">
        <w:rPr>
          <w:rFonts w:ascii="Verdana" w:hAnsi="Verdana"/>
          <w:color w:val="000000" w:themeColor="text1"/>
          <w:sz w:val="20"/>
          <w:szCs w:val="20"/>
        </w:rPr>
        <w:t xml:space="preserve"> was assessed by </w:t>
      </w:r>
      <w:r w:rsidR="00317662" w:rsidRPr="004900E8">
        <w:rPr>
          <w:rFonts w:ascii="Verdana" w:hAnsi="Verdana"/>
          <w:color w:val="000000" w:themeColor="text1"/>
          <w:sz w:val="20"/>
          <w:szCs w:val="20"/>
        </w:rPr>
        <w:t xml:space="preserve">the </w:t>
      </w:r>
      <w:r w:rsidR="00A032BB" w:rsidRPr="004900E8">
        <w:rPr>
          <w:rFonts w:ascii="Verdana" w:hAnsi="Verdana"/>
          <w:color w:val="000000" w:themeColor="text1"/>
          <w:sz w:val="20"/>
          <w:szCs w:val="20"/>
        </w:rPr>
        <w:t>Caribbean Financial Action Task Force (CFATF)</w:t>
      </w:r>
      <w:r w:rsidR="00527198" w:rsidRPr="004900E8">
        <w:rPr>
          <w:rFonts w:ascii="Verdana" w:hAnsi="Verdana"/>
          <w:color w:val="000000" w:themeColor="text1"/>
          <w:sz w:val="20"/>
          <w:szCs w:val="20"/>
        </w:rPr>
        <w:t xml:space="preserve"> against </w:t>
      </w:r>
      <w:r w:rsidR="00EF0DCC" w:rsidRPr="004900E8">
        <w:rPr>
          <w:rFonts w:ascii="Verdana" w:hAnsi="Verdana"/>
          <w:color w:val="000000" w:themeColor="text1"/>
          <w:sz w:val="20"/>
          <w:szCs w:val="20"/>
        </w:rPr>
        <w:t>Financial Action Task Force (</w:t>
      </w:r>
      <w:r w:rsidR="00704C37" w:rsidRPr="004900E8">
        <w:rPr>
          <w:rFonts w:ascii="Verdana" w:hAnsi="Verdana"/>
          <w:color w:val="000000" w:themeColor="text1"/>
          <w:sz w:val="20"/>
          <w:szCs w:val="20"/>
        </w:rPr>
        <w:t>FATF</w:t>
      </w:r>
      <w:r w:rsidR="00EF0DCC" w:rsidRPr="004900E8">
        <w:rPr>
          <w:rFonts w:ascii="Verdana" w:hAnsi="Verdana"/>
          <w:color w:val="000000" w:themeColor="text1"/>
          <w:sz w:val="20"/>
          <w:szCs w:val="20"/>
        </w:rPr>
        <w:t>)</w:t>
      </w:r>
      <w:r w:rsidR="00704C37" w:rsidRPr="004900E8">
        <w:rPr>
          <w:rFonts w:ascii="Verdana" w:hAnsi="Verdana"/>
          <w:color w:val="000000" w:themeColor="text1"/>
          <w:sz w:val="20"/>
          <w:szCs w:val="20"/>
        </w:rPr>
        <w:t xml:space="preserve"> </w:t>
      </w:r>
      <w:r w:rsidR="007D7276">
        <w:rPr>
          <w:rFonts w:ascii="Verdana" w:hAnsi="Verdana"/>
          <w:color w:val="000000" w:themeColor="text1"/>
          <w:sz w:val="20"/>
          <w:szCs w:val="20"/>
        </w:rPr>
        <w:t xml:space="preserve">anti-money laundering and </w:t>
      </w:r>
      <w:r w:rsidR="001217C1">
        <w:rPr>
          <w:rFonts w:ascii="Verdana" w:hAnsi="Verdana"/>
          <w:color w:val="000000" w:themeColor="text1"/>
          <w:sz w:val="20"/>
          <w:szCs w:val="20"/>
        </w:rPr>
        <w:t>combating the financing of terrorism</w:t>
      </w:r>
      <w:r w:rsidR="007D7276">
        <w:rPr>
          <w:rFonts w:ascii="Verdana" w:hAnsi="Verdana"/>
          <w:color w:val="000000" w:themeColor="text1"/>
          <w:sz w:val="20"/>
          <w:szCs w:val="20"/>
        </w:rPr>
        <w:t xml:space="preserve"> (AML/CFT) </w:t>
      </w:r>
      <w:r w:rsidR="00527198" w:rsidRPr="004900E8">
        <w:rPr>
          <w:rFonts w:ascii="Verdana" w:hAnsi="Verdana"/>
          <w:color w:val="000000" w:themeColor="text1"/>
          <w:sz w:val="20"/>
          <w:szCs w:val="20"/>
        </w:rPr>
        <w:t xml:space="preserve">international standards </w:t>
      </w:r>
      <w:r w:rsidRPr="004900E8">
        <w:rPr>
          <w:rFonts w:ascii="Verdana" w:hAnsi="Verdana"/>
          <w:color w:val="000000" w:themeColor="text1"/>
          <w:sz w:val="20"/>
          <w:szCs w:val="20"/>
        </w:rPr>
        <w:t>in 2017</w:t>
      </w:r>
      <w:r w:rsidR="007D7276">
        <w:rPr>
          <w:rFonts w:ascii="Verdana" w:hAnsi="Verdana"/>
          <w:color w:val="000000" w:themeColor="text1"/>
          <w:sz w:val="20"/>
          <w:szCs w:val="20"/>
        </w:rPr>
        <w:t xml:space="preserve">.  The assessment </w:t>
      </w:r>
      <w:r w:rsidR="005F60DA" w:rsidRPr="004900E8">
        <w:rPr>
          <w:rFonts w:ascii="Verdana" w:hAnsi="Verdana"/>
          <w:color w:val="000000" w:themeColor="text1"/>
          <w:sz w:val="20"/>
          <w:szCs w:val="20"/>
        </w:rPr>
        <w:t>foun</w:t>
      </w:r>
      <w:r w:rsidR="003C03A1" w:rsidRPr="004900E8">
        <w:rPr>
          <w:rFonts w:ascii="Verdana" w:hAnsi="Verdana"/>
          <w:color w:val="000000" w:themeColor="text1"/>
          <w:sz w:val="20"/>
          <w:szCs w:val="20"/>
        </w:rPr>
        <w:t>d</w:t>
      </w:r>
      <w:r w:rsidR="00527198" w:rsidRPr="004900E8">
        <w:rPr>
          <w:rFonts w:ascii="Verdana" w:hAnsi="Verdana"/>
          <w:color w:val="000000" w:themeColor="text1"/>
          <w:sz w:val="20"/>
          <w:szCs w:val="20"/>
        </w:rPr>
        <w:t xml:space="preserve"> that </w:t>
      </w:r>
      <w:r w:rsidR="001B4D66" w:rsidRPr="004900E8">
        <w:rPr>
          <w:rFonts w:ascii="Verdana" w:hAnsi="Verdana"/>
          <w:color w:val="000000" w:themeColor="text1"/>
          <w:sz w:val="20"/>
          <w:szCs w:val="20"/>
        </w:rPr>
        <w:t xml:space="preserve">the </w:t>
      </w:r>
      <w:r w:rsidR="00527198" w:rsidRPr="004900E8">
        <w:rPr>
          <w:rFonts w:ascii="Verdana" w:hAnsi="Verdana"/>
          <w:color w:val="000000" w:themeColor="text1"/>
          <w:sz w:val="20"/>
          <w:szCs w:val="20"/>
        </w:rPr>
        <w:t xml:space="preserve">Cayman Islands’ licensing and supervisory framework </w:t>
      </w:r>
      <w:r w:rsidR="00350C06" w:rsidRPr="004900E8">
        <w:rPr>
          <w:rFonts w:ascii="Verdana" w:hAnsi="Verdana"/>
          <w:color w:val="000000" w:themeColor="text1"/>
          <w:sz w:val="20"/>
          <w:szCs w:val="20"/>
        </w:rPr>
        <w:t xml:space="preserve">needed to </w:t>
      </w:r>
      <w:r w:rsidR="00963487" w:rsidRPr="004900E8">
        <w:rPr>
          <w:rFonts w:ascii="Verdana" w:hAnsi="Verdana"/>
          <w:color w:val="000000" w:themeColor="text1"/>
          <w:sz w:val="20"/>
          <w:szCs w:val="20"/>
        </w:rPr>
        <w:t xml:space="preserve">be </w:t>
      </w:r>
      <w:r w:rsidR="00527198" w:rsidRPr="004900E8">
        <w:rPr>
          <w:rFonts w:ascii="Verdana" w:hAnsi="Verdana"/>
          <w:color w:val="000000" w:themeColor="text1"/>
          <w:sz w:val="20"/>
          <w:szCs w:val="20"/>
        </w:rPr>
        <w:t>update</w:t>
      </w:r>
      <w:r w:rsidR="00963487" w:rsidRPr="004900E8">
        <w:rPr>
          <w:rFonts w:ascii="Verdana" w:hAnsi="Verdana"/>
          <w:color w:val="000000" w:themeColor="text1"/>
          <w:sz w:val="20"/>
          <w:szCs w:val="20"/>
        </w:rPr>
        <w:t>d</w:t>
      </w:r>
      <w:r w:rsidR="00527198" w:rsidRPr="004900E8">
        <w:rPr>
          <w:rFonts w:ascii="Verdana" w:hAnsi="Verdana"/>
          <w:color w:val="000000" w:themeColor="text1"/>
          <w:sz w:val="20"/>
          <w:szCs w:val="20"/>
        </w:rPr>
        <w:t xml:space="preserve"> and further </w:t>
      </w:r>
      <w:r w:rsidR="00704C37" w:rsidRPr="004900E8">
        <w:rPr>
          <w:rFonts w:ascii="Verdana" w:hAnsi="Verdana"/>
          <w:color w:val="000000" w:themeColor="text1"/>
          <w:sz w:val="20"/>
          <w:szCs w:val="20"/>
        </w:rPr>
        <w:t>expand</w:t>
      </w:r>
      <w:r w:rsidR="00963487" w:rsidRPr="004900E8">
        <w:rPr>
          <w:rFonts w:ascii="Verdana" w:hAnsi="Verdana"/>
          <w:color w:val="000000" w:themeColor="text1"/>
          <w:sz w:val="20"/>
          <w:szCs w:val="20"/>
        </w:rPr>
        <w:t xml:space="preserve">ed to cover </w:t>
      </w:r>
      <w:r w:rsidR="00527198" w:rsidRPr="004900E8">
        <w:rPr>
          <w:rFonts w:ascii="Verdana" w:hAnsi="Verdana"/>
          <w:color w:val="000000" w:themeColor="text1"/>
          <w:sz w:val="20"/>
          <w:szCs w:val="20"/>
        </w:rPr>
        <w:t xml:space="preserve">the analysis </w:t>
      </w:r>
      <w:r w:rsidR="00704C37" w:rsidRPr="004900E8">
        <w:rPr>
          <w:rFonts w:ascii="Verdana" w:hAnsi="Verdana"/>
          <w:color w:val="000000" w:themeColor="text1"/>
          <w:sz w:val="20"/>
          <w:szCs w:val="20"/>
        </w:rPr>
        <w:t xml:space="preserve">of </w:t>
      </w:r>
      <w:r w:rsidR="003C03A1" w:rsidRPr="004900E8">
        <w:rPr>
          <w:rFonts w:ascii="Verdana" w:hAnsi="Verdana"/>
          <w:color w:val="000000" w:themeColor="text1"/>
          <w:sz w:val="20"/>
          <w:szCs w:val="20"/>
        </w:rPr>
        <w:t>ML/</w:t>
      </w:r>
      <w:r w:rsidR="00527198" w:rsidRPr="004900E8">
        <w:rPr>
          <w:rFonts w:ascii="Verdana" w:hAnsi="Verdana"/>
          <w:color w:val="000000" w:themeColor="text1"/>
          <w:sz w:val="20"/>
          <w:szCs w:val="20"/>
        </w:rPr>
        <w:t>T</w:t>
      </w:r>
      <w:r w:rsidRPr="004900E8">
        <w:rPr>
          <w:rFonts w:ascii="Verdana" w:hAnsi="Verdana"/>
          <w:color w:val="000000" w:themeColor="text1"/>
          <w:sz w:val="20"/>
          <w:szCs w:val="20"/>
        </w:rPr>
        <w:t>F</w:t>
      </w:r>
      <w:r w:rsidR="00527198" w:rsidRPr="004900E8">
        <w:rPr>
          <w:rFonts w:ascii="Verdana" w:hAnsi="Verdana"/>
          <w:color w:val="000000" w:themeColor="text1"/>
          <w:sz w:val="20"/>
          <w:szCs w:val="20"/>
        </w:rPr>
        <w:t xml:space="preserve"> risks and vulnerabilities</w:t>
      </w:r>
      <w:r w:rsidR="003C03A1" w:rsidRPr="004900E8">
        <w:rPr>
          <w:rFonts w:ascii="Verdana" w:hAnsi="Verdana"/>
          <w:color w:val="000000" w:themeColor="text1"/>
          <w:sz w:val="20"/>
          <w:szCs w:val="20"/>
        </w:rPr>
        <w:t xml:space="preserve"> </w:t>
      </w:r>
      <w:r w:rsidR="00EF0DCC" w:rsidRPr="004900E8">
        <w:rPr>
          <w:rFonts w:ascii="Verdana" w:hAnsi="Verdana"/>
          <w:color w:val="000000" w:themeColor="text1"/>
          <w:sz w:val="20"/>
          <w:szCs w:val="20"/>
        </w:rPr>
        <w:t xml:space="preserve">faced </w:t>
      </w:r>
      <w:r w:rsidR="003C03A1" w:rsidRPr="004900E8">
        <w:rPr>
          <w:rFonts w:ascii="Verdana" w:hAnsi="Verdana"/>
          <w:color w:val="000000" w:themeColor="text1"/>
          <w:sz w:val="20"/>
          <w:szCs w:val="20"/>
        </w:rPr>
        <w:t xml:space="preserve">in </w:t>
      </w:r>
      <w:r w:rsidR="00350C06" w:rsidRPr="004900E8">
        <w:rPr>
          <w:rFonts w:ascii="Verdana" w:hAnsi="Verdana"/>
          <w:color w:val="000000" w:themeColor="text1"/>
          <w:sz w:val="20"/>
          <w:szCs w:val="20"/>
        </w:rPr>
        <w:t xml:space="preserve">the various </w:t>
      </w:r>
      <w:r w:rsidR="003C03A1" w:rsidRPr="004900E8">
        <w:rPr>
          <w:rFonts w:ascii="Verdana" w:hAnsi="Verdana"/>
          <w:color w:val="000000" w:themeColor="text1"/>
          <w:sz w:val="20"/>
          <w:szCs w:val="20"/>
        </w:rPr>
        <w:t>financial sector</w:t>
      </w:r>
      <w:r w:rsidR="00350C06" w:rsidRPr="004900E8">
        <w:rPr>
          <w:rFonts w:ascii="Verdana" w:hAnsi="Verdana"/>
          <w:color w:val="000000" w:themeColor="text1"/>
          <w:sz w:val="20"/>
          <w:szCs w:val="20"/>
        </w:rPr>
        <w:t>s under the supervision of the Cayman Islands Monetary Authority (CIMA)</w:t>
      </w:r>
      <w:r w:rsidR="00963487" w:rsidRPr="004900E8">
        <w:rPr>
          <w:rFonts w:ascii="Verdana" w:hAnsi="Verdana"/>
          <w:color w:val="000000" w:themeColor="text1"/>
          <w:sz w:val="20"/>
          <w:szCs w:val="20"/>
        </w:rPr>
        <w:t xml:space="preserve">. </w:t>
      </w:r>
    </w:p>
    <w:p w14:paraId="34D8A7BB" w14:textId="77777777" w:rsidR="002616AD" w:rsidRPr="004900E8" w:rsidRDefault="002616AD" w:rsidP="002616AD">
      <w:pPr>
        <w:pStyle w:val="ListParagraph"/>
        <w:spacing w:line="276" w:lineRule="auto"/>
        <w:ind w:left="540"/>
        <w:jc w:val="both"/>
        <w:rPr>
          <w:rFonts w:ascii="Verdana" w:hAnsi="Verdana"/>
          <w:color w:val="000000" w:themeColor="text1"/>
          <w:sz w:val="20"/>
          <w:szCs w:val="20"/>
        </w:rPr>
      </w:pPr>
    </w:p>
    <w:p w14:paraId="054210BE" w14:textId="029AF9F5" w:rsidR="00C1724E" w:rsidRPr="00C6242A" w:rsidRDefault="0074559C" w:rsidP="007D61F5">
      <w:pPr>
        <w:pStyle w:val="ListParagraph"/>
        <w:numPr>
          <w:ilvl w:val="0"/>
          <w:numId w:val="24"/>
        </w:numPr>
        <w:spacing w:line="276" w:lineRule="auto"/>
        <w:jc w:val="both"/>
        <w:rPr>
          <w:rFonts w:ascii="Verdana" w:hAnsi="Verdana"/>
          <w:color w:val="000000" w:themeColor="text1"/>
          <w:sz w:val="20"/>
          <w:szCs w:val="20"/>
        </w:rPr>
      </w:pPr>
      <w:r w:rsidRPr="004900E8">
        <w:rPr>
          <w:rFonts w:ascii="Verdana" w:hAnsi="Verdana"/>
          <w:color w:val="000000" w:themeColor="text1"/>
          <w:sz w:val="20"/>
          <w:szCs w:val="20"/>
        </w:rPr>
        <w:t xml:space="preserve">This report </w:t>
      </w:r>
      <w:r w:rsidR="00A21CF6">
        <w:rPr>
          <w:rFonts w:ascii="Verdana" w:hAnsi="Verdana"/>
          <w:color w:val="000000" w:themeColor="text1"/>
          <w:sz w:val="20"/>
          <w:szCs w:val="20"/>
        </w:rPr>
        <w:t>provides</w:t>
      </w:r>
      <w:r w:rsidR="001217C1" w:rsidRPr="004900E8">
        <w:rPr>
          <w:rFonts w:ascii="Verdana" w:hAnsi="Verdana"/>
          <w:color w:val="000000" w:themeColor="text1"/>
          <w:sz w:val="20"/>
          <w:szCs w:val="20"/>
        </w:rPr>
        <w:t xml:space="preserve"> </w:t>
      </w:r>
      <w:r w:rsidR="002616AD" w:rsidRPr="004900E8">
        <w:rPr>
          <w:rFonts w:ascii="Verdana" w:hAnsi="Verdana"/>
          <w:color w:val="000000" w:themeColor="text1"/>
          <w:sz w:val="20"/>
          <w:szCs w:val="20"/>
        </w:rPr>
        <w:t xml:space="preserve">a </w:t>
      </w:r>
      <w:r w:rsidR="00C1724E">
        <w:rPr>
          <w:rFonts w:ascii="Verdana" w:hAnsi="Verdana"/>
          <w:color w:val="000000" w:themeColor="text1"/>
          <w:sz w:val="20"/>
          <w:szCs w:val="20"/>
        </w:rPr>
        <w:t xml:space="preserve">ML/TF </w:t>
      </w:r>
      <w:r w:rsidR="002616AD" w:rsidRPr="004900E8">
        <w:rPr>
          <w:rFonts w:ascii="Verdana" w:hAnsi="Verdana"/>
          <w:color w:val="000000" w:themeColor="text1"/>
          <w:sz w:val="20"/>
          <w:szCs w:val="20"/>
        </w:rPr>
        <w:t xml:space="preserve">risk assessment of the SIB Licensees and </w:t>
      </w:r>
      <w:r w:rsidR="00091077" w:rsidRPr="004900E8">
        <w:rPr>
          <w:rFonts w:ascii="Verdana" w:hAnsi="Verdana"/>
          <w:color w:val="000000" w:themeColor="text1"/>
          <w:sz w:val="20"/>
          <w:szCs w:val="20"/>
        </w:rPr>
        <w:t>utilize</w:t>
      </w:r>
      <w:r w:rsidR="002616AD" w:rsidRPr="004900E8">
        <w:rPr>
          <w:rFonts w:ascii="Verdana" w:hAnsi="Verdana"/>
          <w:color w:val="000000" w:themeColor="text1"/>
          <w:sz w:val="20"/>
          <w:szCs w:val="20"/>
        </w:rPr>
        <w:t>s</w:t>
      </w:r>
      <w:r w:rsidR="00091077" w:rsidRPr="004900E8">
        <w:rPr>
          <w:rFonts w:ascii="Verdana" w:hAnsi="Verdana"/>
          <w:color w:val="000000" w:themeColor="text1"/>
          <w:sz w:val="20"/>
          <w:szCs w:val="20"/>
        </w:rPr>
        <w:t xml:space="preserve"> data </w:t>
      </w:r>
      <w:r w:rsidR="003C03A1" w:rsidRPr="004900E8">
        <w:rPr>
          <w:rFonts w:ascii="Verdana" w:hAnsi="Verdana"/>
          <w:color w:val="000000" w:themeColor="text1"/>
          <w:sz w:val="20"/>
          <w:szCs w:val="20"/>
        </w:rPr>
        <w:t xml:space="preserve">collected </w:t>
      </w:r>
      <w:r w:rsidR="001C7A3E" w:rsidRPr="004900E8">
        <w:rPr>
          <w:rFonts w:ascii="Verdana" w:hAnsi="Verdana"/>
          <w:color w:val="000000" w:themeColor="text1"/>
          <w:sz w:val="20"/>
          <w:szCs w:val="20"/>
        </w:rPr>
        <w:t xml:space="preserve">as part of the AML/CFT surveys submitted by the SIB Licensees </w:t>
      </w:r>
      <w:r w:rsidR="00C56522" w:rsidRPr="004900E8">
        <w:rPr>
          <w:rFonts w:ascii="Verdana" w:hAnsi="Verdana"/>
          <w:color w:val="000000" w:themeColor="text1"/>
          <w:sz w:val="20"/>
          <w:szCs w:val="20"/>
        </w:rPr>
        <w:t xml:space="preserve">in relation </w:t>
      </w:r>
      <w:bookmarkStart w:id="1" w:name="_Hlk30506565"/>
      <w:r w:rsidR="00C56522" w:rsidRPr="004900E8">
        <w:rPr>
          <w:rFonts w:ascii="Verdana" w:hAnsi="Verdana"/>
          <w:color w:val="000000" w:themeColor="text1"/>
          <w:sz w:val="20"/>
          <w:szCs w:val="20"/>
        </w:rPr>
        <w:t xml:space="preserve">to </w:t>
      </w:r>
      <w:r w:rsidR="00C77639">
        <w:rPr>
          <w:rFonts w:ascii="Verdana" w:hAnsi="Verdana"/>
          <w:color w:val="000000" w:themeColor="text1"/>
          <w:sz w:val="20"/>
          <w:szCs w:val="20"/>
        </w:rPr>
        <w:t>customer</w:t>
      </w:r>
      <w:r w:rsidR="009C6A5D" w:rsidRPr="004900E8">
        <w:rPr>
          <w:rFonts w:ascii="Verdana" w:hAnsi="Verdana"/>
          <w:color w:val="000000" w:themeColor="text1"/>
          <w:sz w:val="20"/>
          <w:szCs w:val="20"/>
        </w:rPr>
        <w:t xml:space="preserve">/customer type and their jurisdiction of domicile, distribution channels, products and services, jurisdictions operated in, and the effectiveness of actual and potential risk controls that </w:t>
      </w:r>
      <w:bookmarkEnd w:id="1"/>
      <w:r w:rsidR="009C6A5D" w:rsidRPr="004900E8">
        <w:rPr>
          <w:rFonts w:ascii="Verdana" w:hAnsi="Verdana"/>
          <w:color w:val="000000" w:themeColor="text1"/>
          <w:sz w:val="20"/>
          <w:szCs w:val="20"/>
        </w:rPr>
        <w:t>are or can be put in place.</w:t>
      </w:r>
      <w:r w:rsidR="007D61F5" w:rsidRPr="004900E8">
        <w:rPr>
          <w:rFonts w:ascii="Verdana" w:hAnsi="Verdana"/>
          <w:color w:val="000000" w:themeColor="text1"/>
          <w:sz w:val="20"/>
          <w:szCs w:val="20"/>
        </w:rPr>
        <w:t xml:space="preserve"> The </w:t>
      </w:r>
      <w:r w:rsidR="001C7A3E" w:rsidRPr="004900E8">
        <w:rPr>
          <w:rFonts w:ascii="Verdana" w:hAnsi="Verdana"/>
          <w:color w:val="000000" w:themeColor="text1"/>
          <w:sz w:val="20"/>
          <w:szCs w:val="20"/>
        </w:rPr>
        <w:t xml:space="preserve">assessment of this data </w:t>
      </w:r>
      <w:r w:rsidR="002616AD" w:rsidRPr="004900E8">
        <w:rPr>
          <w:rFonts w:ascii="Verdana" w:hAnsi="Verdana" w:cstheme="minorHAnsi"/>
          <w:color w:val="000000" w:themeColor="text1"/>
          <w:sz w:val="20"/>
          <w:szCs w:val="20"/>
          <w:lang w:val="en-US"/>
        </w:rPr>
        <w:t xml:space="preserve">is considered integral to enhancing </w:t>
      </w:r>
      <w:r w:rsidR="00F64AF7" w:rsidRPr="004900E8">
        <w:rPr>
          <w:rFonts w:ascii="Verdana" w:hAnsi="Verdana" w:cstheme="minorHAnsi"/>
          <w:color w:val="000000" w:themeColor="text1"/>
          <w:sz w:val="20"/>
          <w:szCs w:val="20"/>
          <w:lang w:val="en-US"/>
        </w:rPr>
        <w:t>the</w:t>
      </w:r>
      <w:r w:rsidR="002616AD" w:rsidRPr="004900E8">
        <w:rPr>
          <w:rFonts w:ascii="Verdana" w:hAnsi="Verdana" w:cstheme="minorHAnsi"/>
          <w:color w:val="000000" w:themeColor="text1"/>
          <w:sz w:val="20"/>
          <w:szCs w:val="20"/>
          <w:lang w:val="en-US"/>
        </w:rPr>
        <w:t xml:space="preserve"> risk-based approach</w:t>
      </w:r>
      <w:r w:rsidR="001C7A3E" w:rsidRPr="004900E8">
        <w:rPr>
          <w:rFonts w:ascii="Verdana" w:hAnsi="Verdana" w:cstheme="minorHAnsi"/>
          <w:color w:val="000000" w:themeColor="text1"/>
          <w:sz w:val="20"/>
          <w:szCs w:val="20"/>
          <w:lang w:val="en-US"/>
        </w:rPr>
        <w:t xml:space="preserve"> commensurate with the size, nature and complexity of the SIB Licensees</w:t>
      </w:r>
      <w:r w:rsidR="007D61F5" w:rsidRPr="004900E8">
        <w:rPr>
          <w:rFonts w:ascii="Verdana" w:hAnsi="Verdana" w:cstheme="minorHAnsi"/>
          <w:color w:val="000000" w:themeColor="text1"/>
          <w:sz w:val="20"/>
          <w:szCs w:val="20"/>
          <w:lang w:val="en-US"/>
        </w:rPr>
        <w:t xml:space="preserve">.  </w:t>
      </w:r>
    </w:p>
    <w:p w14:paraId="528900D8" w14:textId="77777777" w:rsidR="00C1724E" w:rsidRPr="00C6242A" w:rsidRDefault="00C1724E" w:rsidP="00C6242A">
      <w:pPr>
        <w:pStyle w:val="ListParagraph"/>
        <w:rPr>
          <w:rFonts w:ascii="Verdana" w:hAnsi="Verdana" w:cstheme="minorHAnsi"/>
          <w:color w:val="000000" w:themeColor="text1"/>
          <w:sz w:val="20"/>
          <w:szCs w:val="20"/>
          <w:lang w:val="en-US"/>
        </w:rPr>
      </w:pPr>
    </w:p>
    <w:p w14:paraId="655375C1" w14:textId="57D44403" w:rsidR="007D61F5" w:rsidRPr="004900E8" w:rsidRDefault="007D61F5" w:rsidP="007D61F5">
      <w:pPr>
        <w:pStyle w:val="ListParagraph"/>
        <w:numPr>
          <w:ilvl w:val="0"/>
          <w:numId w:val="24"/>
        </w:numPr>
        <w:spacing w:line="276" w:lineRule="auto"/>
        <w:jc w:val="both"/>
        <w:rPr>
          <w:rFonts w:ascii="Verdana" w:hAnsi="Verdana"/>
          <w:color w:val="000000" w:themeColor="text1"/>
          <w:sz w:val="20"/>
          <w:szCs w:val="20"/>
        </w:rPr>
      </w:pPr>
      <w:r w:rsidRPr="004900E8">
        <w:rPr>
          <w:rFonts w:ascii="Verdana" w:hAnsi="Verdana" w:cstheme="minorHAnsi"/>
          <w:color w:val="000000" w:themeColor="text1"/>
          <w:sz w:val="20"/>
          <w:szCs w:val="20"/>
          <w:lang w:val="en-US"/>
        </w:rPr>
        <w:t>Other data sources utilized</w:t>
      </w:r>
      <w:r w:rsidR="00E61EE7">
        <w:rPr>
          <w:rFonts w:ascii="Verdana" w:hAnsi="Verdana" w:cstheme="minorHAnsi"/>
          <w:color w:val="000000" w:themeColor="text1"/>
          <w:sz w:val="20"/>
          <w:szCs w:val="20"/>
          <w:lang w:val="en-US"/>
        </w:rPr>
        <w:t xml:space="preserve">, based on </w:t>
      </w:r>
      <w:proofErr w:type="gramStart"/>
      <w:r w:rsidR="00E61EE7">
        <w:rPr>
          <w:rFonts w:ascii="Verdana" w:hAnsi="Verdana" w:cstheme="minorHAnsi"/>
          <w:color w:val="000000" w:themeColor="text1"/>
          <w:sz w:val="20"/>
          <w:szCs w:val="20"/>
          <w:lang w:val="en-US"/>
        </w:rPr>
        <w:t>particular parameters</w:t>
      </w:r>
      <w:proofErr w:type="gramEnd"/>
      <w:r w:rsidR="00E61EE7">
        <w:rPr>
          <w:rFonts w:ascii="Verdana" w:hAnsi="Verdana" w:cstheme="minorHAnsi"/>
          <w:color w:val="000000" w:themeColor="text1"/>
          <w:sz w:val="20"/>
          <w:szCs w:val="20"/>
          <w:lang w:val="en-US"/>
        </w:rPr>
        <w:t xml:space="preserve"> from each document,</w:t>
      </w:r>
      <w:r w:rsidRPr="004900E8">
        <w:rPr>
          <w:rFonts w:ascii="Verdana" w:hAnsi="Verdana" w:cstheme="minorHAnsi"/>
          <w:color w:val="000000" w:themeColor="text1"/>
          <w:sz w:val="20"/>
          <w:szCs w:val="20"/>
          <w:lang w:val="en-US"/>
        </w:rPr>
        <w:t xml:space="preserve"> include: </w:t>
      </w:r>
    </w:p>
    <w:p w14:paraId="4DD95663" w14:textId="77777777" w:rsidR="007D61F5" w:rsidRPr="004900E8" w:rsidRDefault="007D61F5" w:rsidP="007D61F5">
      <w:pPr>
        <w:pStyle w:val="Heading2"/>
        <w:numPr>
          <w:ilvl w:val="0"/>
          <w:numId w:val="31"/>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4900E8">
        <w:rPr>
          <w:rFonts w:ascii="Verdana" w:eastAsiaTheme="minorHAnsi" w:hAnsi="Verdana" w:cstheme="minorHAnsi"/>
          <w:color w:val="000000" w:themeColor="text1"/>
          <w:sz w:val="20"/>
          <w:szCs w:val="20"/>
          <w:lang w:val="en-US" w:eastAsia="en-US"/>
        </w:rPr>
        <w:t xml:space="preserve">The National Risk Assessment; </w:t>
      </w:r>
    </w:p>
    <w:p w14:paraId="25D3F5AC" w14:textId="4BD457B8" w:rsidR="007D61F5" w:rsidRPr="005E3090" w:rsidRDefault="007D61F5" w:rsidP="007D61F5">
      <w:pPr>
        <w:pStyle w:val="Heading2"/>
        <w:numPr>
          <w:ilvl w:val="0"/>
          <w:numId w:val="31"/>
        </w:numPr>
        <w:spacing w:before="0" w:after="0" w:line="276" w:lineRule="auto"/>
        <w:ind w:left="714" w:right="-6" w:hanging="357"/>
        <w:jc w:val="both"/>
        <w:rPr>
          <w:rFonts w:ascii="Verdana" w:eastAsiaTheme="minorHAnsi" w:hAnsi="Verdana" w:cstheme="minorHAnsi"/>
          <w:i/>
          <w:iCs/>
          <w:color w:val="000000" w:themeColor="text1"/>
          <w:sz w:val="20"/>
          <w:szCs w:val="20"/>
          <w:lang w:val="en-US" w:eastAsia="en-US"/>
        </w:rPr>
      </w:pPr>
      <w:r w:rsidRPr="005E3090">
        <w:rPr>
          <w:rFonts w:ascii="Verdana" w:eastAsiaTheme="minorHAnsi" w:hAnsi="Verdana" w:cstheme="minorHAnsi"/>
          <w:color w:val="000000" w:themeColor="text1"/>
          <w:sz w:val="20"/>
          <w:szCs w:val="20"/>
          <w:lang w:val="en-US" w:eastAsia="en-US"/>
        </w:rPr>
        <w:t xml:space="preserve">International guidance documents </w:t>
      </w:r>
      <w:r w:rsidRPr="005E3090">
        <w:rPr>
          <w:rFonts w:ascii="Verdana" w:hAnsi="Verdana" w:cstheme="minorHAnsi"/>
          <w:color w:val="000000" w:themeColor="text1"/>
          <w:sz w:val="20"/>
          <w:szCs w:val="20"/>
          <w:lang w:val="en-US"/>
        </w:rPr>
        <w:t>such as</w:t>
      </w:r>
      <w:r w:rsidRPr="005E3090">
        <w:rPr>
          <w:rFonts w:ascii="Verdana" w:hAnsi="Verdana" w:cstheme="minorHAnsi"/>
          <w:i/>
          <w:iCs/>
          <w:color w:val="000000" w:themeColor="text1"/>
          <w:sz w:val="20"/>
          <w:szCs w:val="20"/>
          <w:lang w:val="en-US"/>
        </w:rPr>
        <w:t xml:space="preserve"> FATF Guidance for the Securities Sector</w:t>
      </w:r>
      <w:r w:rsidRPr="005E3090">
        <w:rPr>
          <w:rStyle w:val="FootnoteReference"/>
          <w:rFonts w:ascii="Verdana" w:hAnsi="Verdana" w:cstheme="minorHAnsi"/>
          <w:i/>
          <w:iCs/>
          <w:color w:val="000000" w:themeColor="text1"/>
          <w:sz w:val="20"/>
          <w:szCs w:val="20"/>
          <w:lang w:val="en-US"/>
        </w:rPr>
        <w:footnoteReference w:id="1"/>
      </w:r>
      <w:r w:rsidRPr="005E3090">
        <w:rPr>
          <w:rFonts w:ascii="Verdana" w:hAnsi="Verdana" w:cstheme="minorHAnsi"/>
          <w:i/>
          <w:iCs/>
          <w:color w:val="000000" w:themeColor="text1"/>
          <w:sz w:val="20"/>
          <w:szCs w:val="20"/>
          <w:lang w:val="en-US"/>
        </w:rPr>
        <w:t>,</w:t>
      </w:r>
      <w:r w:rsidR="00D66E7D" w:rsidRPr="005E3090">
        <w:rPr>
          <w:rFonts w:ascii="Verdana" w:hAnsi="Verdana" w:cstheme="minorHAnsi"/>
          <w:i/>
          <w:iCs/>
          <w:color w:val="000000" w:themeColor="text1"/>
          <w:sz w:val="20"/>
          <w:szCs w:val="20"/>
          <w:lang w:val="en-US"/>
        </w:rPr>
        <w:t xml:space="preserve"> FATF High and Other Monitored Jurisdictions,</w:t>
      </w:r>
      <w:r w:rsidRPr="005E3090">
        <w:rPr>
          <w:rFonts w:ascii="Verdana" w:hAnsi="Verdana" w:cstheme="minorHAnsi"/>
          <w:i/>
          <w:iCs/>
          <w:color w:val="000000" w:themeColor="text1"/>
          <w:sz w:val="20"/>
          <w:szCs w:val="20"/>
          <w:lang w:val="en-US"/>
        </w:rPr>
        <w:t xml:space="preserve"> the United Nations Security Council </w:t>
      </w:r>
      <w:r w:rsidRPr="00CA0E5A">
        <w:rPr>
          <w:rFonts w:ascii="Verdana" w:hAnsi="Verdana" w:cstheme="minorHAnsi"/>
          <w:color w:val="000000" w:themeColor="text1"/>
          <w:sz w:val="20"/>
          <w:szCs w:val="20"/>
          <w:lang w:val="en-US"/>
        </w:rPr>
        <w:t>and</w:t>
      </w:r>
      <w:r w:rsidRPr="005E3090">
        <w:rPr>
          <w:rFonts w:ascii="Verdana" w:hAnsi="Verdana" w:cstheme="minorHAnsi"/>
          <w:i/>
          <w:iCs/>
          <w:color w:val="000000" w:themeColor="text1"/>
          <w:sz w:val="20"/>
          <w:szCs w:val="20"/>
          <w:lang w:val="en-US"/>
        </w:rPr>
        <w:t xml:space="preserve"> the Basel AML Index</w:t>
      </w:r>
      <w:r w:rsidRPr="005E3090">
        <w:rPr>
          <w:rFonts w:ascii="Verdana" w:eastAsiaTheme="minorHAnsi" w:hAnsi="Verdana" w:cstheme="minorHAnsi"/>
          <w:i/>
          <w:iCs/>
          <w:color w:val="000000" w:themeColor="text1"/>
          <w:sz w:val="20"/>
          <w:szCs w:val="20"/>
          <w:lang w:val="en-US" w:eastAsia="en-US"/>
        </w:rPr>
        <w:t xml:space="preserve">; </w:t>
      </w:r>
    </w:p>
    <w:p w14:paraId="4F849BEE" w14:textId="38A916A7" w:rsidR="007D61F5" w:rsidRPr="004900E8" w:rsidRDefault="007D61F5" w:rsidP="007D61F5">
      <w:pPr>
        <w:pStyle w:val="Heading2"/>
        <w:numPr>
          <w:ilvl w:val="0"/>
          <w:numId w:val="31"/>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4900E8">
        <w:rPr>
          <w:rFonts w:ascii="Verdana" w:eastAsiaTheme="minorHAnsi" w:hAnsi="Verdana" w:cstheme="minorHAnsi"/>
          <w:color w:val="000000" w:themeColor="text1"/>
          <w:sz w:val="20"/>
          <w:szCs w:val="20"/>
          <w:lang w:val="en-US" w:eastAsia="en-US"/>
        </w:rPr>
        <w:t>Supervisory judgment and expertise by CIMA staff; and</w:t>
      </w:r>
    </w:p>
    <w:p w14:paraId="2830B5EA" w14:textId="77777777" w:rsidR="007D61F5" w:rsidRPr="004900E8" w:rsidRDefault="007D61F5" w:rsidP="007D61F5">
      <w:pPr>
        <w:pStyle w:val="ListParagraph"/>
        <w:numPr>
          <w:ilvl w:val="0"/>
          <w:numId w:val="31"/>
        </w:numPr>
        <w:rPr>
          <w:rFonts w:ascii="Verdana" w:hAnsi="Verdana" w:cstheme="minorHAnsi"/>
          <w:sz w:val="20"/>
          <w:szCs w:val="20"/>
        </w:rPr>
      </w:pPr>
      <w:r w:rsidRPr="004900E8">
        <w:rPr>
          <w:rFonts w:ascii="Verdana" w:hAnsi="Verdana" w:cstheme="minorHAnsi"/>
          <w:color w:val="000000" w:themeColor="text1"/>
          <w:sz w:val="20"/>
          <w:szCs w:val="20"/>
          <w:lang w:val="en-US"/>
        </w:rPr>
        <w:t>Various guidance documents issued by CIMA</w:t>
      </w:r>
      <w:r w:rsidRPr="004900E8">
        <w:rPr>
          <w:rStyle w:val="FootnoteReference"/>
          <w:rFonts w:ascii="Verdana" w:hAnsi="Verdana" w:cstheme="minorHAnsi"/>
          <w:color w:val="000000" w:themeColor="text1"/>
          <w:sz w:val="16"/>
          <w:szCs w:val="16"/>
          <w:lang w:val="en-US"/>
        </w:rPr>
        <w:footnoteReference w:id="2"/>
      </w:r>
      <w:r w:rsidRPr="004900E8">
        <w:rPr>
          <w:rFonts w:ascii="Verdana" w:hAnsi="Verdana" w:cstheme="minorHAnsi"/>
          <w:color w:val="000000" w:themeColor="text1"/>
          <w:sz w:val="20"/>
          <w:szCs w:val="20"/>
          <w:lang w:val="en-US"/>
        </w:rPr>
        <w:t>.</w:t>
      </w:r>
    </w:p>
    <w:p w14:paraId="51DD05F3" w14:textId="77777777" w:rsidR="00091077" w:rsidRPr="004900E8" w:rsidRDefault="00091077" w:rsidP="00101474">
      <w:pPr>
        <w:pStyle w:val="ListParagraph"/>
        <w:jc w:val="both"/>
        <w:rPr>
          <w:rFonts w:ascii="Verdana" w:hAnsi="Verdana"/>
          <w:color w:val="000000" w:themeColor="text1"/>
          <w:sz w:val="20"/>
          <w:szCs w:val="20"/>
        </w:rPr>
      </w:pPr>
    </w:p>
    <w:p w14:paraId="57743495" w14:textId="00BB8CDD" w:rsidR="00D213F6" w:rsidRPr="004900E8" w:rsidRDefault="00D213F6" w:rsidP="00101474">
      <w:pPr>
        <w:pStyle w:val="ListParagraph"/>
        <w:numPr>
          <w:ilvl w:val="0"/>
          <w:numId w:val="24"/>
        </w:numPr>
        <w:spacing w:line="276" w:lineRule="auto"/>
        <w:jc w:val="both"/>
        <w:rPr>
          <w:rFonts w:ascii="Verdana" w:hAnsi="Verdana"/>
          <w:color w:val="000000" w:themeColor="text1"/>
          <w:sz w:val="20"/>
          <w:szCs w:val="20"/>
        </w:rPr>
      </w:pPr>
      <w:r w:rsidRPr="004900E8">
        <w:rPr>
          <w:rFonts w:ascii="Verdana" w:hAnsi="Verdana"/>
          <w:color w:val="000000" w:themeColor="text1"/>
          <w:sz w:val="20"/>
          <w:szCs w:val="20"/>
        </w:rPr>
        <w:t>S</w:t>
      </w:r>
      <w:r w:rsidR="00B94ADE" w:rsidRPr="004900E8">
        <w:rPr>
          <w:rFonts w:ascii="Verdana" w:hAnsi="Verdana"/>
          <w:color w:val="000000" w:themeColor="text1"/>
          <w:sz w:val="20"/>
          <w:szCs w:val="20"/>
        </w:rPr>
        <w:t xml:space="preserve">IB Licensees are </w:t>
      </w:r>
      <w:r w:rsidR="001217C1">
        <w:rPr>
          <w:rFonts w:ascii="Verdana" w:hAnsi="Verdana"/>
          <w:color w:val="000000" w:themeColor="text1"/>
          <w:sz w:val="20"/>
          <w:szCs w:val="20"/>
        </w:rPr>
        <w:t>authorized</w:t>
      </w:r>
      <w:r w:rsidR="001217C1" w:rsidRPr="004900E8">
        <w:rPr>
          <w:rFonts w:ascii="Verdana" w:hAnsi="Verdana"/>
          <w:color w:val="000000" w:themeColor="text1"/>
          <w:sz w:val="20"/>
          <w:szCs w:val="20"/>
        </w:rPr>
        <w:t xml:space="preserve"> </w:t>
      </w:r>
      <w:r w:rsidR="00B94ADE" w:rsidRPr="004900E8">
        <w:rPr>
          <w:rFonts w:ascii="Verdana" w:hAnsi="Verdana"/>
          <w:color w:val="000000" w:themeColor="text1"/>
          <w:sz w:val="20"/>
          <w:szCs w:val="20"/>
        </w:rPr>
        <w:t xml:space="preserve">by </w:t>
      </w:r>
      <w:r w:rsidR="001217C1">
        <w:rPr>
          <w:rFonts w:ascii="Verdana" w:hAnsi="Verdana"/>
          <w:color w:val="000000" w:themeColor="text1"/>
          <w:sz w:val="20"/>
          <w:szCs w:val="20"/>
        </w:rPr>
        <w:t>CIMA</w:t>
      </w:r>
      <w:r w:rsidR="00B94ADE" w:rsidRPr="004900E8">
        <w:rPr>
          <w:rFonts w:ascii="Verdana" w:hAnsi="Verdana"/>
          <w:color w:val="000000" w:themeColor="text1"/>
          <w:sz w:val="20"/>
          <w:szCs w:val="20"/>
        </w:rPr>
        <w:t xml:space="preserve"> and </w:t>
      </w:r>
      <w:r w:rsidRPr="004900E8">
        <w:rPr>
          <w:rFonts w:ascii="Verdana" w:hAnsi="Verdana"/>
          <w:color w:val="000000" w:themeColor="text1"/>
          <w:sz w:val="20"/>
          <w:szCs w:val="20"/>
        </w:rPr>
        <w:t xml:space="preserve">include </w:t>
      </w:r>
      <w:r w:rsidR="00091077" w:rsidRPr="004900E8">
        <w:rPr>
          <w:rFonts w:ascii="Verdana" w:hAnsi="Verdana"/>
          <w:color w:val="000000" w:themeColor="text1"/>
          <w:sz w:val="20"/>
          <w:szCs w:val="20"/>
        </w:rPr>
        <w:t xml:space="preserve">persons </w:t>
      </w:r>
      <w:r w:rsidR="00F77E41">
        <w:rPr>
          <w:rFonts w:ascii="Verdana" w:hAnsi="Verdana"/>
          <w:color w:val="000000" w:themeColor="text1"/>
          <w:sz w:val="20"/>
          <w:szCs w:val="20"/>
        </w:rPr>
        <w:t xml:space="preserve">engaged in </w:t>
      </w:r>
      <w:r w:rsidR="00B34BAD" w:rsidRPr="004900E8">
        <w:rPr>
          <w:rFonts w:ascii="Verdana" w:hAnsi="Verdana"/>
          <w:color w:val="000000" w:themeColor="text1"/>
          <w:sz w:val="20"/>
          <w:szCs w:val="20"/>
        </w:rPr>
        <w:t xml:space="preserve">market making, </w:t>
      </w:r>
      <w:r w:rsidRPr="004900E8">
        <w:rPr>
          <w:rFonts w:ascii="Verdana" w:hAnsi="Verdana"/>
          <w:color w:val="000000" w:themeColor="text1"/>
          <w:sz w:val="20"/>
          <w:szCs w:val="20"/>
        </w:rPr>
        <w:t>dealing in securities, arranging deals in securities, advising on securities and managing securities</w:t>
      </w:r>
      <w:r w:rsidR="001217C1">
        <w:rPr>
          <w:rStyle w:val="FootnoteReference"/>
          <w:rFonts w:ascii="Verdana" w:hAnsi="Verdana"/>
          <w:color w:val="000000" w:themeColor="text1"/>
          <w:sz w:val="20"/>
          <w:szCs w:val="20"/>
        </w:rPr>
        <w:footnoteReference w:id="3"/>
      </w:r>
      <w:r w:rsidRPr="004900E8">
        <w:rPr>
          <w:rFonts w:ascii="Verdana" w:hAnsi="Verdana"/>
          <w:color w:val="000000" w:themeColor="text1"/>
          <w:sz w:val="20"/>
          <w:szCs w:val="20"/>
        </w:rPr>
        <w:t>.</w:t>
      </w:r>
      <w:r w:rsidR="00B16D5D" w:rsidRPr="004900E8">
        <w:rPr>
          <w:rFonts w:ascii="Verdana" w:hAnsi="Verdana"/>
          <w:sz w:val="20"/>
          <w:szCs w:val="20"/>
        </w:rPr>
        <w:t xml:space="preserve"> </w:t>
      </w:r>
      <w:r w:rsidR="00B16D5D" w:rsidRPr="004900E8">
        <w:rPr>
          <w:rFonts w:ascii="Verdana" w:hAnsi="Verdana"/>
          <w:color w:val="000000" w:themeColor="text1"/>
          <w:sz w:val="20"/>
          <w:szCs w:val="20"/>
        </w:rPr>
        <w:t xml:space="preserve"> </w:t>
      </w:r>
    </w:p>
    <w:p w14:paraId="3967EB9F" w14:textId="77777777" w:rsidR="00091077" w:rsidRPr="004900E8" w:rsidRDefault="00091077" w:rsidP="00101474">
      <w:pPr>
        <w:pStyle w:val="ListParagraph"/>
        <w:jc w:val="both"/>
        <w:rPr>
          <w:rFonts w:ascii="Verdana" w:hAnsi="Verdana"/>
          <w:color w:val="000000" w:themeColor="text1"/>
          <w:sz w:val="20"/>
          <w:szCs w:val="20"/>
        </w:rPr>
      </w:pPr>
    </w:p>
    <w:p w14:paraId="040AC6AB" w14:textId="5149C600" w:rsidR="00091077" w:rsidRPr="004900E8" w:rsidRDefault="00091077" w:rsidP="00101474">
      <w:pPr>
        <w:pStyle w:val="ListParagraph"/>
        <w:numPr>
          <w:ilvl w:val="0"/>
          <w:numId w:val="24"/>
        </w:numPr>
        <w:spacing w:line="276" w:lineRule="auto"/>
        <w:jc w:val="both"/>
        <w:rPr>
          <w:rFonts w:ascii="Verdana" w:hAnsi="Verdana"/>
          <w:color w:val="000000" w:themeColor="text1"/>
          <w:sz w:val="20"/>
          <w:szCs w:val="20"/>
        </w:rPr>
      </w:pPr>
      <w:r w:rsidRPr="004900E8">
        <w:rPr>
          <w:rFonts w:ascii="Verdana" w:hAnsi="Verdana"/>
          <w:color w:val="000000" w:themeColor="text1"/>
          <w:sz w:val="20"/>
          <w:szCs w:val="20"/>
        </w:rPr>
        <w:t>Securities investment business</w:t>
      </w:r>
      <w:r w:rsidR="001217C1">
        <w:rPr>
          <w:rFonts w:ascii="Verdana" w:hAnsi="Verdana"/>
          <w:color w:val="000000" w:themeColor="text1"/>
          <w:sz w:val="20"/>
          <w:szCs w:val="20"/>
        </w:rPr>
        <w:t>,</w:t>
      </w:r>
      <w:r w:rsidRPr="004900E8">
        <w:rPr>
          <w:rFonts w:ascii="Verdana" w:hAnsi="Verdana"/>
          <w:color w:val="000000" w:themeColor="text1"/>
          <w:sz w:val="20"/>
          <w:szCs w:val="20"/>
        </w:rPr>
        <w:t xml:space="preserve"> as defined under </w:t>
      </w:r>
      <w:r w:rsidR="00795B5C" w:rsidRPr="004900E8">
        <w:rPr>
          <w:rFonts w:ascii="Verdana" w:hAnsi="Verdana"/>
          <w:color w:val="000000" w:themeColor="text1"/>
          <w:sz w:val="20"/>
          <w:szCs w:val="20"/>
        </w:rPr>
        <w:t>s</w:t>
      </w:r>
      <w:r w:rsidRPr="004900E8">
        <w:rPr>
          <w:rFonts w:ascii="Verdana" w:hAnsi="Verdana"/>
          <w:color w:val="000000" w:themeColor="text1"/>
          <w:sz w:val="20"/>
          <w:szCs w:val="20"/>
        </w:rPr>
        <w:t xml:space="preserve">chedule 1 of the </w:t>
      </w:r>
      <w:bookmarkStart w:id="4" w:name="_Hlk31452119"/>
      <w:r w:rsidRPr="004900E8">
        <w:rPr>
          <w:rFonts w:ascii="Verdana" w:hAnsi="Verdana"/>
          <w:color w:val="000000" w:themeColor="text1"/>
          <w:sz w:val="20"/>
          <w:szCs w:val="20"/>
        </w:rPr>
        <w:t>SIBL</w:t>
      </w:r>
      <w:r w:rsidR="001217C1">
        <w:rPr>
          <w:rFonts w:ascii="Verdana" w:hAnsi="Verdana"/>
          <w:color w:val="000000" w:themeColor="text1"/>
          <w:sz w:val="20"/>
          <w:szCs w:val="20"/>
        </w:rPr>
        <w:t>,</w:t>
      </w:r>
      <w:r w:rsidRPr="004900E8">
        <w:rPr>
          <w:rFonts w:ascii="Verdana" w:hAnsi="Verdana"/>
          <w:color w:val="000000" w:themeColor="text1"/>
          <w:sz w:val="20"/>
          <w:szCs w:val="20"/>
        </w:rPr>
        <w:t xml:space="preserve"> </w:t>
      </w:r>
      <w:bookmarkEnd w:id="4"/>
      <w:r w:rsidRPr="004900E8">
        <w:rPr>
          <w:rFonts w:ascii="Verdana" w:hAnsi="Verdana"/>
          <w:color w:val="000000" w:themeColor="text1"/>
          <w:sz w:val="20"/>
          <w:szCs w:val="20"/>
        </w:rPr>
        <w:t xml:space="preserve">includes: </w:t>
      </w:r>
    </w:p>
    <w:p w14:paraId="2C744C03" w14:textId="77777777" w:rsidR="00091077" w:rsidRPr="004900E8" w:rsidRDefault="00091077" w:rsidP="00101474">
      <w:pPr>
        <w:pStyle w:val="Default"/>
        <w:numPr>
          <w:ilvl w:val="0"/>
          <w:numId w:val="33"/>
        </w:numPr>
        <w:spacing w:after="18"/>
        <w:jc w:val="both"/>
        <w:rPr>
          <w:rFonts w:ascii="Verdana" w:hAnsi="Verdana"/>
          <w:sz w:val="20"/>
          <w:szCs w:val="20"/>
        </w:rPr>
      </w:pPr>
      <w:r w:rsidRPr="004900E8">
        <w:rPr>
          <w:rFonts w:ascii="Verdana" w:hAnsi="Verdana"/>
          <w:sz w:val="20"/>
          <w:szCs w:val="20"/>
        </w:rPr>
        <w:t xml:space="preserve">shares and stock of any kind in the share capital of a company; </w:t>
      </w:r>
    </w:p>
    <w:p w14:paraId="0494EA48" w14:textId="77777777" w:rsidR="00091077" w:rsidRPr="004900E8" w:rsidRDefault="00091077" w:rsidP="00101474">
      <w:pPr>
        <w:pStyle w:val="Default"/>
        <w:numPr>
          <w:ilvl w:val="0"/>
          <w:numId w:val="33"/>
        </w:numPr>
        <w:spacing w:after="18"/>
        <w:jc w:val="both"/>
        <w:rPr>
          <w:rFonts w:ascii="Verdana" w:hAnsi="Verdana"/>
          <w:sz w:val="20"/>
          <w:szCs w:val="20"/>
        </w:rPr>
      </w:pPr>
      <w:bookmarkStart w:id="5" w:name="_Hlk31790736"/>
      <w:bookmarkEnd w:id="0"/>
      <w:r w:rsidRPr="004900E8">
        <w:rPr>
          <w:rFonts w:ascii="Verdana" w:hAnsi="Verdana"/>
          <w:sz w:val="20"/>
          <w:szCs w:val="20"/>
        </w:rPr>
        <w:lastRenderedPageBreak/>
        <w:t xml:space="preserve">debentures, debenture stock, loan stock, bonds, certificates of deposit and any other instruments that create or acknowledge debt (excluding various banking and monetary instruments e.g. cheques, mortgage instruments and land charges); </w:t>
      </w:r>
    </w:p>
    <w:p w14:paraId="5FEC81CE" w14:textId="77777777" w:rsidR="00091077" w:rsidRPr="004900E8" w:rsidRDefault="00091077" w:rsidP="00101474">
      <w:pPr>
        <w:pStyle w:val="Default"/>
        <w:numPr>
          <w:ilvl w:val="0"/>
          <w:numId w:val="33"/>
        </w:numPr>
        <w:spacing w:after="18"/>
        <w:jc w:val="both"/>
        <w:rPr>
          <w:rFonts w:ascii="Verdana" w:hAnsi="Verdana"/>
          <w:sz w:val="20"/>
          <w:szCs w:val="20"/>
        </w:rPr>
      </w:pPr>
      <w:r w:rsidRPr="004900E8">
        <w:rPr>
          <w:rFonts w:ascii="Verdana" w:hAnsi="Verdana"/>
          <w:sz w:val="20"/>
          <w:szCs w:val="20"/>
        </w:rPr>
        <w:t xml:space="preserve">warrants and other instruments which confer contractual or property rights; </w:t>
      </w:r>
    </w:p>
    <w:p w14:paraId="0F3C97C7" w14:textId="77777777" w:rsidR="00091077" w:rsidRPr="004900E8" w:rsidRDefault="00091077" w:rsidP="00101474">
      <w:pPr>
        <w:pStyle w:val="Default"/>
        <w:numPr>
          <w:ilvl w:val="0"/>
          <w:numId w:val="33"/>
        </w:numPr>
        <w:spacing w:after="18"/>
        <w:jc w:val="both"/>
        <w:rPr>
          <w:rFonts w:ascii="Verdana" w:hAnsi="Verdana"/>
          <w:sz w:val="20"/>
          <w:szCs w:val="20"/>
        </w:rPr>
      </w:pPr>
      <w:r w:rsidRPr="004900E8">
        <w:rPr>
          <w:rFonts w:ascii="Verdana" w:hAnsi="Verdana"/>
          <w:sz w:val="20"/>
          <w:szCs w:val="20"/>
        </w:rPr>
        <w:t xml:space="preserve">options on any security and on any currency, precious metal or an option on an option; </w:t>
      </w:r>
    </w:p>
    <w:p w14:paraId="22975BE7" w14:textId="77777777" w:rsidR="00091077" w:rsidRPr="004900E8" w:rsidRDefault="00091077" w:rsidP="00101474">
      <w:pPr>
        <w:pStyle w:val="Default"/>
        <w:numPr>
          <w:ilvl w:val="0"/>
          <w:numId w:val="33"/>
        </w:numPr>
        <w:spacing w:after="18"/>
        <w:jc w:val="both"/>
        <w:rPr>
          <w:rFonts w:ascii="Verdana" w:hAnsi="Verdana"/>
          <w:sz w:val="20"/>
          <w:szCs w:val="20"/>
        </w:rPr>
      </w:pPr>
      <w:r w:rsidRPr="004900E8">
        <w:rPr>
          <w:rFonts w:ascii="Verdana" w:hAnsi="Verdana"/>
          <w:sz w:val="20"/>
          <w:szCs w:val="20"/>
        </w:rPr>
        <w:t xml:space="preserve">futures; and </w:t>
      </w:r>
    </w:p>
    <w:p w14:paraId="23AD5FA5" w14:textId="77777777" w:rsidR="00091077" w:rsidRPr="004900E8" w:rsidRDefault="00091077" w:rsidP="00101474">
      <w:pPr>
        <w:pStyle w:val="Default"/>
        <w:numPr>
          <w:ilvl w:val="0"/>
          <w:numId w:val="33"/>
        </w:numPr>
        <w:jc w:val="both"/>
        <w:rPr>
          <w:rFonts w:ascii="Verdana" w:hAnsi="Verdana"/>
          <w:sz w:val="20"/>
          <w:szCs w:val="20"/>
        </w:rPr>
      </w:pPr>
      <w:r w:rsidRPr="004900E8">
        <w:rPr>
          <w:rFonts w:ascii="Verdana" w:hAnsi="Verdana"/>
          <w:sz w:val="20"/>
          <w:szCs w:val="20"/>
        </w:rPr>
        <w:t xml:space="preserve">rights under contracts for differences (e.g. cash-settled derivatives such as interest rate and stock index futures, forward rate agreements and swaps). </w:t>
      </w:r>
    </w:p>
    <w:p w14:paraId="4D3B15A8" w14:textId="77777777" w:rsidR="00091077" w:rsidRPr="004900E8" w:rsidRDefault="00091077" w:rsidP="00101474">
      <w:pPr>
        <w:pStyle w:val="Default"/>
        <w:jc w:val="both"/>
        <w:rPr>
          <w:rFonts w:ascii="Verdana" w:hAnsi="Verdana"/>
          <w:sz w:val="20"/>
          <w:szCs w:val="20"/>
        </w:rPr>
      </w:pPr>
    </w:p>
    <w:p w14:paraId="62DA9DF2" w14:textId="4ED71077" w:rsidR="00EF3753" w:rsidRPr="004900E8" w:rsidRDefault="00EF3753" w:rsidP="00101474">
      <w:pPr>
        <w:pStyle w:val="ListParagraph"/>
        <w:numPr>
          <w:ilvl w:val="0"/>
          <w:numId w:val="24"/>
        </w:numPr>
        <w:spacing w:line="276" w:lineRule="auto"/>
        <w:jc w:val="both"/>
        <w:rPr>
          <w:rFonts w:ascii="Verdana" w:hAnsi="Verdana"/>
          <w:color w:val="000000" w:themeColor="text1"/>
          <w:sz w:val="20"/>
          <w:szCs w:val="20"/>
        </w:rPr>
      </w:pPr>
      <w:r w:rsidRPr="004900E8">
        <w:rPr>
          <w:rFonts w:ascii="Verdana" w:hAnsi="Verdana"/>
          <w:color w:val="000000" w:themeColor="text1"/>
          <w:sz w:val="20"/>
          <w:szCs w:val="20"/>
        </w:rPr>
        <w:t>The SIB Licensees Sector</w:t>
      </w:r>
      <w:r w:rsidR="00413B1F" w:rsidRPr="004900E8">
        <w:rPr>
          <w:rFonts w:ascii="Verdana" w:hAnsi="Verdana"/>
          <w:color w:val="000000" w:themeColor="text1"/>
          <w:sz w:val="20"/>
          <w:szCs w:val="20"/>
        </w:rPr>
        <w:t>al</w:t>
      </w:r>
      <w:r w:rsidRPr="004900E8">
        <w:rPr>
          <w:rFonts w:ascii="Verdana" w:hAnsi="Verdana"/>
          <w:color w:val="000000" w:themeColor="text1"/>
          <w:sz w:val="20"/>
          <w:szCs w:val="20"/>
        </w:rPr>
        <w:t xml:space="preserve"> Risk Assessment is not intended to cover risks that may be specific to the circumstances of individual SIB Licensees but evaluates risks from a sectoral perspective.</w:t>
      </w:r>
    </w:p>
    <w:bookmarkEnd w:id="5"/>
    <w:p w14:paraId="48E576EA" w14:textId="77777777" w:rsidR="00F66A3D" w:rsidRPr="00101474" w:rsidRDefault="00F66A3D" w:rsidP="00101474">
      <w:pPr>
        <w:pStyle w:val="ListParagraph"/>
        <w:jc w:val="both"/>
        <w:rPr>
          <w:rFonts w:ascii="Verdana" w:hAnsi="Verdana"/>
          <w:color w:val="000000" w:themeColor="text1"/>
          <w:sz w:val="20"/>
          <w:szCs w:val="20"/>
          <w:highlight w:val="yellow"/>
        </w:rPr>
      </w:pPr>
    </w:p>
    <w:p w14:paraId="120CD2FF" w14:textId="4AD094CF" w:rsidR="00791076" w:rsidRDefault="00C95E30" w:rsidP="002534FE">
      <w:pPr>
        <w:pStyle w:val="ListParagraph"/>
        <w:numPr>
          <w:ilvl w:val="0"/>
          <w:numId w:val="8"/>
        </w:numPr>
        <w:spacing w:line="276" w:lineRule="auto"/>
        <w:ind w:left="709" w:hanging="709"/>
        <w:jc w:val="both"/>
        <w:rPr>
          <w:rFonts w:ascii="Verdana" w:hAnsi="Verdana" w:cs="Times New Roman"/>
          <w:b/>
          <w:sz w:val="20"/>
          <w:szCs w:val="20"/>
        </w:rPr>
      </w:pPr>
      <w:r w:rsidRPr="002534FE">
        <w:rPr>
          <w:rFonts w:ascii="Verdana" w:hAnsi="Verdana" w:cs="Times New Roman"/>
          <w:b/>
          <w:sz w:val="20"/>
          <w:szCs w:val="20"/>
        </w:rPr>
        <w:t>METHODOLOGY</w:t>
      </w:r>
    </w:p>
    <w:p w14:paraId="3EE9A270" w14:textId="77777777" w:rsidR="002534FE" w:rsidRPr="002534FE" w:rsidRDefault="002534FE" w:rsidP="002534FE">
      <w:pPr>
        <w:pStyle w:val="ListParagraph"/>
        <w:spacing w:line="276" w:lineRule="auto"/>
        <w:ind w:left="709"/>
        <w:jc w:val="both"/>
        <w:rPr>
          <w:rFonts w:ascii="Verdana" w:hAnsi="Verdana" w:cs="Times New Roman"/>
          <w:b/>
          <w:sz w:val="20"/>
          <w:szCs w:val="20"/>
        </w:rPr>
      </w:pPr>
    </w:p>
    <w:p w14:paraId="11074AE5" w14:textId="57F3573B" w:rsidR="00C85139" w:rsidRPr="004900E8" w:rsidRDefault="00795B5C" w:rsidP="008042EF">
      <w:pPr>
        <w:pStyle w:val="ListParagraph"/>
        <w:numPr>
          <w:ilvl w:val="0"/>
          <w:numId w:val="24"/>
        </w:numPr>
        <w:spacing w:line="276" w:lineRule="auto"/>
        <w:jc w:val="both"/>
        <w:rPr>
          <w:rFonts w:ascii="Verdana" w:hAnsi="Verdana"/>
          <w:color w:val="000000" w:themeColor="text1"/>
          <w:sz w:val="20"/>
          <w:szCs w:val="20"/>
        </w:rPr>
      </w:pPr>
      <w:bookmarkStart w:id="6" w:name="_Hlk31790760"/>
      <w:r w:rsidRPr="004900E8">
        <w:rPr>
          <w:rFonts w:ascii="Verdana" w:hAnsi="Verdana"/>
          <w:color w:val="000000" w:themeColor="text1"/>
          <w:sz w:val="20"/>
          <w:szCs w:val="20"/>
        </w:rPr>
        <w:t xml:space="preserve">The SIB Licensees Sectoral Risk Assessment is predominantly based on CIMA having </w:t>
      </w:r>
      <w:r w:rsidR="00F67739" w:rsidRPr="004900E8">
        <w:rPr>
          <w:rFonts w:ascii="Verdana" w:hAnsi="Verdana"/>
          <w:color w:val="000000" w:themeColor="text1"/>
          <w:sz w:val="20"/>
          <w:szCs w:val="20"/>
        </w:rPr>
        <w:t xml:space="preserve">conducted a comprehensive data collection exercise </w:t>
      </w:r>
      <w:r w:rsidR="00D050A8" w:rsidRPr="004900E8">
        <w:rPr>
          <w:rFonts w:ascii="Verdana" w:hAnsi="Verdana"/>
          <w:color w:val="000000" w:themeColor="text1"/>
          <w:sz w:val="20"/>
          <w:szCs w:val="20"/>
        </w:rPr>
        <w:t>from 83% of</w:t>
      </w:r>
      <w:r w:rsidR="00DF69F6" w:rsidRPr="004900E8">
        <w:rPr>
          <w:rFonts w:ascii="Verdana" w:hAnsi="Verdana"/>
          <w:color w:val="000000" w:themeColor="text1"/>
          <w:sz w:val="20"/>
          <w:szCs w:val="20"/>
        </w:rPr>
        <w:t xml:space="preserve"> </w:t>
      </w:r>
      <w:r w:rsidR="009C75B4" w:rsidRPr="004900E8">
        <w:rPr>
          <w:rFonts w:ascii="Verdana" w:hAnsi="Verdana"/>
          <w:color w:val="000000" w:themeColor="text1"/>
          <w:sz w:val="20"/>
          <w:szCs w:val="20"/>
        </w:rPr>
        <w:t>SIB Licensees</w:t>
      </w:r>
      <w:r w:rsidR="00A57660" w:rsidRPr="004900E8">
        <w:rPr>
          <w:rFonts w:ascii="Verdana" w:hAnsi="Verdana"/>
          <w:color w:val="000000" w:themeColor="text1"/>
          <w:sz w:val="20"/>
          <w:szCs w:val="20"/>
        </w:rPr>
        <w:t xml:space="preserve"> during 2019</w:t>
      </w:r>
      <w:r w:rsidRPr="004900E8">
        <w:rPr>
          <w:rFonts w:ascii="Verdana" w:hAnsi="Verdana"/>
          <w:color w:val="000000" w:themeColor="text1"/>
          <w:sz w:val="20"/>
          <w:szCs w:val="20"/>
        </w:rPr>
        <w:t>, to cover the period from 1 July 2018 to 30 June 2019,</w:t>
      </w:r>
      <w:r w:rsidR="00BF3382" w:rsidRPr="004900E8">
        <w:rPr>
          <w:rFonts w:ascii="Verdana" w:hAnsi="Verdana"/>
          <w:color w:val="000000" w:themeColor="text1"/>
          <w:sz w:val="20"/>
          <w:szCs w:val="20"/>
        </w:rPr>
        <w:t xml:space="preserve"> in order to gather </w:t>
      </w:r>
      <w:r w:rsidR="00DF69F6" w:rsidRPr="004900E8">
        <w:rPr>
          <w:rFonts w:ascii="Verdana" w:hAnsi="Verdana"/>
          <w:color w:val="000000" w:themeColor="text1"/>
          <w:sz w:val="20"/>
          <w:szCs w:val="20"/>
        </w:rPr>
        <w:t>data on customers, product</w:t>
      </w:r>
      <w:r w:rsidR="007F507C" w:rsidRPr="004900E8">
        <w:rPr>
          <w:rFonts w:ascii="Verdana" w:hAnsi="Verdana"/>
          <w:color w:val="000000" w:themeColor="text1"/>
          <w:sz w:val="20"/>
          <w:szCs w:val="20"/>
        </w:rPr>
        <w:t>s</w:t>
      </w:r>
      <w:r w:rsidR="00DF69F6" w:rsidRPr="004900E8">
        <w:rPr>
          <w:rFonts w:ascii="Verdana" w:hAnsi="Verdana"/>
          <w:color w:val="000000" w:themeColor="text1"/>
          <w:sz w:val="20"/>
          <w:szCs w:val="20"/>
        </w:rPr>
        <w:t>/services, geographic exposure and delivery channels</w:t>
      </w:r>
      <w:r w:rsidR="00BF3382" w:rsidRPr="004900E8">
        <w:rPr>
          <w:rFonts w:ascii="Verdana" w:hAnsi="Verdana"/>
          <w:color w:val="000000" w:themeColor="text1"/>
          <w:sz w:val="20"/>
          <w:szCs w:val="20"/>
        </w:rPr>
        <w:t xml:space="preserve"> to assess the risk in </w:t>
      </w:r>
      <w:r w:rsidR="00DF69F6" w:rsidRPr="004900E8">
        <w:rPr>
          <w:rFonts w:ascii="Verdana" w:hAnsi="Verdana"/>
          <w:color w:val="000000" w:themeColor="text1"/>
          <w:sz w:val="20"/>
          <w:szCs w:val="20"/>
        </w:rPr>
        <w:t xml:space="preserve">these </w:t>
      </w:r>
      <w:r w:rsidR="00113EA6">
        <w:rPr>
          <w:rFonts w:ascii="Verdana" w:hAnsi="Verdana"/>
          <w:color w:val="000000" w:themeColor="text1"/>
          <w:sz w:val="20"/>
          <w:szCs w:val="20"/>
        </w:rPr>
        <w:t>five</w:t>
      </w:r>
      <w:r w:rsidR="00113EA6" w:rsidRPr="004900E8">
        <w:rPr>
          <w:rFonts w:ascii="Verdana" w:hAnsi="Verdana"/>
          <w:color w:val="000000" w:themeColor="text1"/>
          <w:sz w:val="20"/>
          <w:szCs w:val="20"/>
        </w:rPr>
        <w:t xml:space="preserve"> </w:t>
      </w:r>
      <w:r w:rsidR="00DF69F6" w:rsidRPr="004900E8">
        <w:rPr>
          <w:rFonts w:ascii="Verdana" w:hAnsi="Verdana"/>
          <w:color w:val="000000" w:themeColor="text1"/>
          <w:sz w:val="20"/>
          <w:szCs w:val="20"/>
        </w:rPr>
        <w:t>categories</w:t>
      </w:r>
      <w:r w:rsidR="00D050A8" w:rsidRPr="004900E8">
        <w:rPr>
          <w:rFonts w:ascii="Verdana" w:hAnsi="Verdana"/>
          <w:color w:val="000000" w:themeColor="text1"/>
          <w:sz w:val="20"/>
          <w:szCs w:val="20"/>
        </w:rPr>
        <w:t xml:space="preserve">, </w:t>
      </w:r>
      <w:r w:rsidR="00FB2C07" w:rsidRPr="004900E8">
        <w:rPr>
          <w:rFonts w:ascii="Verdana" w:hAnsi="Verdana"/>
          <w:color w:val="000000" w:themeColor="text1"/>
          <w:sz w:val="20"/>
          <w:szCs w:val="20"/>
        </w:rPr>
        <w:t xml:space="preserve">resulting in </w:t>
      </w:r>
      <w:r w:rsidR="00BF3382" w:rsidRPr="004900E8">
        <w:rPr>
          <w:rFonts w:ascii="Verdana" w:hAnsi="Verdana"/>
          <w:color w:val="000000" w:themeColor="text1"/>
          <w:sz w:val="20"/>
          <w:szCs w:val="20"/>
        </w:rPr>
        <w:t xml:space="preserve">a </w:t>
      </w:r>
      <w:r w:rsidR="00FB2C07" w:rsidRPr="004900E8">
        <w:rPr>
          <w:rFonts w:ascii="Verdana" w:hAnsi="Verdana"/>
          <w:color w:val="000000" w:themeColor="text1"/>
          <w:sz w:val="20"/>
          <w:szCs w:val="20"/>
        </w:rPr>
        <w:t xml:space="preserve">comprehensive representation of </w:t>
      </w:r>
      <w:r w:rsidR="0074559C" w:rsidRPr="004900E8">
        <w:rPr>
          <w:rFonts w:ascii="Verdana" w:hAnsi="Verdana"/>
          <w:color w:val="000000" w:themeColor="text1"/>
          <w:sz w:val="20"/>
          <w:szCs w:val="20"/>
        </w:rPr>
        <w:t xml:space="preserve">the </w:t>
      </w:r>
      <w:r w:rsidR="00FB2C07" w:rsidRPr="004900E8">
        <w:rPr>
          <w:rFonts w:ascii="Verdana" w:hAnsi="Verdana"/>
          <w:color w:val="000000" w:themeColor="text1"/>
          <w:sz w:val="20"/>
          <w:szCs w:val="20"/>
        </w:rPr>
        <w:t>sector.</w:t>
      </w:r>
    </w:p>
    <w:p w14:paraId="5FD0E6E4" w14:textId="77777777" w:rsidR="00C85139" w:rsidRPr="004900E8" w:rsidRDefault="00C85139" w:rsidP="00101474">
      <w:pPr>
        <w:spacing w:line="276" w:lineRule="auto"/>
        <w:jc w:val="both"/>
        <w:rPr>
          <w:rFonts w:ascii="Verdana" w:hAnsi="Verdana"/>
          <w:color w:val="000000" w:themeColor="text1"/>
          <w:sz w:val="20"/>
          <w:szCs w:val="20"/>
        </w:rPr>
      </w:pPr>
    </w:p>
    <w:p w14:paraId="6C369F67" w14:textId="452150B1" w:rsidR="00C85139" w:rsidRPr="004900E8" w:rsidRDefault="00C85139" w:rsidP="00101474">
      <w:pPr>
        <w:pStyle w:val="ListParagraph"/>
        <w:numPr>
          <w:ilvl w:val="0"/>
          <w:numId w:val="24"/>
        </w:numPr>
        <w:spacing w:line="276" w:lineRule="auto"/>
        <w:jc w:val="both"/>
        <w:rPr>
          <w:rFonts w:ascii="Verdana" w:hAnsi="Verdana"/>
          <w:color w:val="000000" w:themeColor="text1"/>
          <w:sz w:val="20"/>
          <w:szCs w:val="20"/>
        </w:rPr>
      </w:pPr>
      <w:r w:rsidRPr="004900E8">
        <w:rPr>
          <w:rFonts w:ascii="Verdana" w:hAnsi="Verdana"/>
          <w:color w:val="000000" w:themeColor="text1"/>
          <w:sz w:val="20"/>
          <w:szCs w:val="20"/>
        </w:rPr>
        <w:t xml:space="preserve">The sector </w:t>
      </w:r>
      <w:r w:rsidR="00BF3382" w:rsidRPr="004900E8">
        <w:rPr>
          <w:rFonts w:ascii="Verdana" w:hAnsi="Verdana"/>
          <w:color w:val="000000" w:themeColor="text1"/>
          <w:sz w:val="20"/>
          <w:szCs w:val="20"/>
        </w:rPr>
        <w:t xml:space="preserve">was </w:t>
      </w:r>
      <w:r w:rsidRPr="004900E8">
        <w:rPr>
          <w:rFonts w:ascii="Verdana" w:hAnsi="Verdana"/>
          <w:color w:val="000000" w:themeColor="text1"/>
          <w:sz w:val="20"/>
          <w:szCs w:val="20"/>
        </w:rPr>
        <w:t>assessed against these factors</w:t>
      </w:r>
      <w:r w:rsidR="00A57660" w:rsidRPr="004900E8">
        <w:rPr>
          <w:rFonts w:ascii="Verdana" w:hAnsi="Verdana"/>
          <w:color w:val="000000" w:themeColor="text1"/>
          <w:sz w:val="20"/>
          <w:szCs w:val="20"/>
        </w:rPr>
        <w:t xml:space="preserve"> </w:t>
      </w:r>
      <w:r w:rsidR="00BF3382" w:rsidRPr="004900E8">
        <w:rPr>
          <w:rFonts w:ascii="Verdana" w:hAnsi="Verdana"/>
          <w:color w:val="000000" w:themeColor="text1"/>
          <w:sz w:val="20"/>
          <w:szCs w:val="20"/>
        </w:rPr>
        <w:t>that increase or decrease</w:t>
      </w:r>
      <w:r w:rsidR="00954B31" w:rsidRPr="004900E8">
        <w:rPr>
          <w:rFonts w:ascii="Verdana" w:hAnsi="Verdana"/>
          <w:color w:val="000000" w:themeColor="text1"/>
          <w:sz w:val="20"/>
          <w:szCs w:val="20"/>
        </w:rPr>
        <w:t xml:space="preserve"> ML/TF</w:t>
      </w:r>
      <w:r w:rsidR="00BF3382" w:rsidRPr="004900E8">
        <w:rPr>
          <w:rFonts w:ascii="Verdana" w:hAnsi="Verdana"/>
          <w:color w:val="000000" w:themeColor="text1"/>
          <w:sz w:val="20"/>
          <w:szCs w:val="20"/>
        </w:rPr>
        <w:t xml:space="preserve"> risks, as follows: </w:t>
      </w:r>
    </w:p>
    <w:bookmarkEnd w:id="6"/>
    <w:p w14:paraId="068E25D0" w14:textId="77777777" w:rsidR="00C85139" w:rsidRPr="004900E8" w:rsidRDefault="00C85139" w:rsidP="00101474">
      <w:pPr>
        <w:jc w:val="both"/>
        <w:rPr>
          <w:rFonts w:ascii="Verdana" w:eastAsia="Times New Roman" w:hAnsi="Verdana" w:cs="Times New Roman"/>
          <w:sz w:val="20"/>
          <w:szCs w:val="20"/>
          <w:lang w:val="en-US"/>
        </w:rPr>
      </w:pPr>
    </w:p>
    <w:tbl>
      <w:tblPr>
        <w:tblW w:w="0" w:type="auto"/>
        <w:tblCellMar>
          <w:left w:w="0" w:type="dxa"/>
          <w:right w:w="0" w:type="dxa"/>
        </w:tblCellMar>
        <w:tblLook w:val="04A0" w:firstRow="1" w:lastRow="0" w:firstColumn="1" w:lastColumn="0" w:noHBand="0" w:noVBand="1"/>
      </w:tblPr>
      <w:tblGrid>
        <w:gridCol w:w="2366"/>
        <w:gridCol w:w="2961"/>
        <w:gridCol w:w="3719"/>
      </w:tblGrid>
      <w:tr w:rsidR="00C85139" w:rsidRPr="004900E8" w14:paraId="4EB9BF68" w14:textId="77777777" w:rsidTr="00C85139">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4D458D" w14:textId="77777777" w:rsidR="00C85139" w:rsidRPr="00FB10E7" w:rsidRDefault="00C85139" w:rsidP="00101474">
            <w:pPr>
              <w:spacing w:before="100" w:beforeAutospacing="1" w:after="100" w:afterAutospacing="1"/>
              <w:jc w:val="both"/>
              <w:rPr>
                <w:rFonts w:ascii="Verdana" w:eastAsia="Times New Roman" w:hAnsi="Verdana" w:cs="Times New Roman"/>
                <w:b/>
                <w:bCs/>
                <w:sz w:val="20"/>
                <w:szCs w:val="20"/>
                <w:lang w:val="de-DE"/>
              </w:rPr>
            </w:pPr>
            <w:r w:rsidRPr="00FB10E7">
              <w:rPr>
                <w:rFonts w:ascii="Verdana" w:eastAsia="Times New Roman" w:hAnsi="Verdana" w:cs="Times New Roman"/>
                <w:b/>
                <w:bCs/>
                <w:color w:val="191919"/>
                <w:sz w:val="20"/>
                <w:szCs w:val="20"/>
                <w:lang w:val="de-DE"/>
              </w:rPr>
              <w:t>Risk factor</w:t>
            </w:r>
          </w:p>
        </w:tc>
        <w:tc>
          <w:tcPr>
            <w:tcW w:w="5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1F369" w14:textId="7DB7F3CB" w:rsidR="00C85139" w:rsidRPr="00FB10E7" w:rsidRDefault="00C85139" w:rsidP="00101474">
            <w:pPr>
              <w:spacing w:before="100" w:beforeAutospacing="1" w:after="100" w:afterAutospacing="1"/>
              <w:jc w:val="both"/>
              <w:rPr>
                <w:rFonts w:ascii="Verdana" w:eastAsia="Times New Roman" w:hAnsi="Verdana" w:cs="Times New Roman"/>
                <w:b/>
                <w:bCs/>
                <w:sz w:val="20"/>
                <w:szCs w:val="20"/>
                <w:lang w:val="de-DE"/>
              </w:rPr>
            </w:pPr>
            <w:r w:rsidRPr="00FB10E7">
              <w:rPr>
                <w:rFonts w:ascii="Verdana" w:eastAsia="Times New Roman" w:hAnsi="Verdana" w:cs="Times New Roman"/>
                <w:b/>
                <w:bCs/>
                <w:color w:val="191919"/>
                <w:sz w:val="20"/>
                <w:szCs w:val="20"/>
                <w:lang w:val="de-DE"/>
              </w:rPr>
              <w:t>Higher Risk</w:t>
            </w:r>
            <w:r w:rsidR="00B42D45" w:rsidRPr="00FB10E7">
              <w:rPr>
                <w:rFonts w:ascii="Verdana" w:eastAsia="Times New Roman" w:hAnsi="Verdana" w:cs="Times New Roman"/>
                <w:b/>
                <w:bCs/>
                <w:color w:val="191919"/>
                <w:sz w:val="20"/>
                <w:szCs w:val="20"/>
                <w:lang w:val="de-DE"/>
              </w:rPr>
              <w:t xml:space="preserve"> </w:t>
            </w:r>
          </w:p>
        </w:tc>
        <w:tc>
          <w:tcPr>
            <w:tcW w:w="9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3DE09" w14:textId="77777777" w:rsidR="00C85139" w:rsidRPr="00FB10E7" w:rsidRDefault="00C85139" w:rsidP="00101474">
            <w:pPr>
              <w:spacing w:before="100" w:beforeAutospacing="1" w:after="100" w:afterAutospacing="1"/>
              <w:jc w:val="both"/>
              <w:rPr>
                <w:rFonts w:ascii="Verdana" w:eastAsia="Times New Roman" w:hAnsi="Verdana" w:cs="Times New Roman"/>
                <w:b/>
                <w:bCs/>
                <w:sz w:val="20"/>
                <w:szCs w:val="20"/>
                <w:lang w:val="de-DE"/>
              </w:rPr>
            </w:pPr>
            <w:r w:rsidRPr="00FB10E7">
              <w:rPr>
                <w:rFonts w:ascii="Verdana" w:eastAsia="Times New Roman" w:hAnsi="Verdana" w:cs="Times New Roman"/>
                <w:b/>
                <w:bCs/>
                <w:sz w:val="20"/>
                <w:szCs w:val="20"/>
                <w:lang w:val="de-DE"/>
              </w:rPr>
              <w:t>Lower Risk</w:t>
            </w:r>
          </w:p>
        </w:tc>
      </w:tr>
      <w:tr w:rsidR="00C85139" w:rsidRPr="004900E8" w14:paraId="443A520E" w14:textId="77777777" w:rsidTr="00C85139">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0E534" w14:textId="4FCE9764" w:rsidR="00C85139" w:rsidRPr="004900E8" w:rsidRDefault="00C85139" w:rsidP="00101474">
            <w:pPr>
              <w:spacing w:before="100" w:beforeAutospacing="1" w:after="100" w:afterAutospacing="1"/>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The nature</w:t>
            </w:r>
            <w:r w:rsidR="00954B31" w:rsidRPr="004900E8">
              <w:rPr>
                <w:rFonts w:ascii="Verdana" w:eastAsia="Times New Roman" w:hAnsi="Verdana" w:cs="Times New Roman"/>
                <w:color w:val="191919"/>
                <w:sz w:val="20"/>
                <w:szCs w:val="20"/>
                <w:lang w:val="en-US"/>
              </w:rPr>
              <w:t>,</w:t>
            </w:r>
            <w:r w:rsidRPr="004900E8">
              <w:rPr>
                <w:rFonts w:ascii="Verdana" w:eastAsia="Times New Roman" w:hAnsi="Verdana" w:cs="Times New Roman"/>
                <w:color w:val="191919"/>
                <w:sz w:val="20"/>
                <w:szCs w:val="20"/>
                <w:lang w:val="en-US"/>
              </w:rPr>
              <w:t xml:space="preserve"> size </w:t>
            </w:r>
            <w:r w:rsidR="00954B31" w:rsidRPr="004900E8">
              <w:rPr>
                <w:rFonts w:ascii="Verdana" w:eastAsia="Times New Roman" w:hAnsi="Verdana" w:cs="Times New Roman"/>
                <w:color w:val="191919"/>
                <w:sz w:val="20"/>
                <w:szCs w:val="20"/>
                <w:lang w:val="en-US"/>
              </w:rPr>
              <w:t xml:space="preserve">and complexity </w:t>
            </w:r>
            <w:r w:rsidRPr="004900E8">
              <w:rPr>
                <w:rFonts w:ascii="Verdana" w:eastAsia="Times New Roman" w:hAnsi="Verdana" w:cs="Times New Roman"/>
                <w:color w:val="191919"/>
                <w:sz w:val="20"/>
                <w:szCs w:val="20"/>
                <w:lang w:val="en-US"/>
              </w:rPr>
              <w:t>of the sector</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14:paraId="2295CF5D"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w:t>
            </w:r>
            <w:bookmarkStart w:id="7" w:name="_Hlk31798983"/>
            <w:r w:rsidRPr="004900E8">
              <w:rPr>
                <w:rFonts w:ascii="Verdana" w:eastAsia="Times New Roman" w:hAnsi="Verdana" w:cs="Times New Roman"/>
                <w:color w:val="191919"/>
                <w:sz w:val="20"/>
                <w:szCs w:val="20"/>
                <w:lang w:val="en-US"/>
              </w:rPr>
              <w:t>High value of assets under management coupled with high volumes of transactions executed.</w:t>
            </w:r>
          </w:p>
          <w:p w14:paraId="6840E399" w14:textId="0FE6C1C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w:t>
            </w:r>
            <w:r w:rsidR="005E3090">
              <w:rPr>
                <w:rFonts w:ascii="Verdana" w:eastAsia="Times New Roman" w:hAnsi="Verdana" w:cs="Times New Roman"/>
                <w:color w:val="191919"/>
                <w:sz w:val="20"/>
                <w:szCs w:val="20"/>
                <w:lang w:val="en-US"/>
              </w:rPr>
              <w:t>Volume</w:t>
            </w:r>
            <w:r w:rsidR="007164D0">
              <w:rPr>
                <w:rFonts w:ascii="Verdana" w:eastAsia="Times New Roman" w:hAnsi="Verdana" w:cs="Times New Roman"/>
                <w:color w:val="191919"/>
                <w:sz w:val="20"/>
                <w:szCs w:val="20"/>
                <w:lang w:val="en-US"/>
              </w:rPr>
              <w:t xml:space="preserve"> of </w:t>
            </w:r>
            <w:r w:rsidR="005E3090">
              <w:rPr>
                <w:rFonts w:ascii="Verdana" w:eastAsia="Times New Roman" w:hAnsi="Verdana" w:cs="Times New Roman"/>
                <w:color w:val="191919"/>
                <w:sz w:val="20"/>
                <w:szCs w:val="20"/>
                <w:lang w:val="en-US"/>
              </w:rPr>
              <w:t>i</w:t>
            </w:r>
            <w:r w:rsidRPr="004900E8">
              <w:rPr>
                <w:rFonts w:ascii="Verdana" w:eastAsia="Times New Roman" w:hAnsi="Verdana" w:cs="Times New Roman"/>
                <w:color w:val="191919"/>
                <w:sz w:val="20"/>
                <w:szCs w:val="20"/>
                <w:lang w:val="en-US"/>
              </w:rPr>
              <w:t>nternational transactions.</w:t>
            </w:r>
          </w:p>
          <w:p w14:paraId="1C6842FF" w14:textId="657F8850"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xml:space="preserve">·  Number of </w:t>
            </w:r>
            <w:r w:rsidR="0035452C" w:rsidRPr="004900E8">
              <w:rPr>
                <w:rFonts w:ascii="Verdana" w:eastAsia="Times New Roman" w:hAnsi="Verdana" w:cs="Times New Roman"/>
                <w:color w:val="191919"/>
                <w:sz w:val="20"/>
                <w:szCs w:val="20"/>
                <w:lang w:val="en-US"/>
              </w:rPr>
              <w:t>customers</w:t>
            </w:r>
            <w:r w:rsidRPr="004900E8">
              <w:rPr>
                <w:rFonts w:ascii="Verdana" w:eastAsia="Times New Roman" w:hAnsi="Verdana" w:cs="Times New Roman"/>
                <w:color w:val="191919"/>
                <w:sz w:val="20"/>
                <w:szCs w:val="20"/>
                <w:lang w:val="en-US"/>
              </w:rPr>
              <w:t>.</w:t>
            </w:r>
          </w:p>
          <w:p w14:paraId="66DEDF04" w14:textId="11098022"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color w:val="191919"/>
                <w:sz w:val="20"/>
                <w:szCs w:val="20"/>
                <w:lang w:val="en-US"/>
              </w:rPr>
            </w:pPr>
            <w:r w:rsidRPr="004900E8">
              <w:rPr>
                <w:rFonts w:ascii="Verdana" w:eastAsia="Times New Roman" w:hAnsi="Verdana" w:cs="Times New Roman"/>
                <w:color w:val="191919"/>
                <w:sz w:val="20"/>
                <w:szCs w:val="20"/>
                <w:lang w:val="en-US"/>
              </w:rPr>
              <w:t>·  No physical presence.</w:t>
            </w:r>
          </w:p>
          <w:p w14:paraId="0F1E8701"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Parent company, affiliate or subsidiary in higher risk jurisdictions.</w:t>
            </w:r>
          </w:p>
          <w:p w14:paraId="212DF015" w14:textId="1D857FCE" w:rsidR="00F66A3D" w:rsidRPr="004900E8" w:rsidRDefault="00C85139" w:rsidP="00BF7B61">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Principal place of business in higher risk jurisdictions.</w:t>
            </w:r>
            <w:bookmarkEnd w:id="7"/>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7A600A60"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Low value of transactions.</w:t>
            </w:r>
          </w:p>
          <w:p w14:paraId="517B0048" w14:textId="50D082AF" w:rsidR="00C85139" w:rsidRDefault="00C85139" w:rsidP="00101474">
            <w:pPr>
              <w:spacing w:before="100" w:beforeAutospacing="1" w:after="100" w:afterAutospacing="1"/>
              <w:ind w:left="142" w:hanging="142"/>
              <w:contextualSpacing/>
              <w:jc w:val="both"/>
              <w:rPr>
                <w:rFonts w:ascii="Verdana" w:eastAsia="Times New Roman" w:hAnsi="Verdana" w:cs="Times New Roman"/>
                <w:color w:val="191919"/>
                <w:sz w:val="20"/>
                <w:szCs w:val="20"/>
                <w:lang w:val="en-US"/>
              </w:rPr>
            </w:pPr>
            <w:r w:rsidRPr="004900E8">
              <w:rPr>
                <w:rFonts w:ascii="Verdana" w:eastAsia="Times New Roman" w:hAnsi="Verdana" w:cs="Times New Roman"/>
                <w:color w:val="191919"/>
                <w:sz w:val="20"/>
                <w:szCs w:val="20"/>
                <w:lang w:val="en-US"/>
              </w:rPr>
              <w:t>·  Low volume of transactions.</w:t>
            </w:r>
          </w:p>
          <w:p w14:paraId="6A3254C1" w14:textId="20EBC932" w:rsidR="00113EA6" w:rsidRPr="004900E8" w:rsidRDefault="00113EA6"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w:t>
            </w:r>
            <w:r>
              <w:rPr>
                <w:rFonts w:ascii="Verdana" w:eastAsia="Times New Roman" w:hAnsi="Verdana" w:cs="Times New Roman"/>
                <w:color w:val="191919"/>
                <w:sz w:val="20"/>
                <w:szCs w:val="20"/>
                <w:lang w:val="en-US"/>
              </w:rPr>
              <w:t xml:space="preserve">  </w:t>
            </w:r>
            <w:r>
              <w:rPr>
                <w:rFonts w:ascii="Verdana" w:eastAsia="Times New Roman" w:hAnsi="Verdana" w:cs="Times New Roman"/>
                <w:sz w:val="20"/>
                <w:szCs w:val="20"/>
                <w:lang w:val="en-US"/>
              </w:rPr>
              <w:t>Low assets under management.</w:t>
            </w:r>
          </w:p>
          <w:p w14:paraId="76C6AA49"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No assets under management.</w:t>
            </w:r>
          </w:p>
          <w:p w14:paraId="3E7FB472" w14:textId="73F5F06A"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xml:space="preserve">·  No </w:t>
            </w:r>
            <w:r w:rsidR="0035452C" w:rsidRPr="004900E8">
              <w:rPr>
                <w:rFonts w:ascii="Verdana" w:eastAsia="Times New Roman" w:hAnsi="Verdana" w:cs="Times New Roman"/>
                <w:color w:val="191919"/>
                <w:sz w:val="20"/>
                <w:szCs w:val="20"/>
                <w:lang w:val="en-US"/>
              </w:rPr>
              <w:t>customers</w:t>
            </w:r>
            <w:r w:rsidRPr="004900E8">
              <w:rPr>
                <w:rFonts w:ascii="Verdana" w:eastAsia="Times New Roman" w:hAnsi="Verdana" w:cs="Times New Roman"/>
                <w:color w:val="191919"/>
                <w:sz w:val="20"/>
                <w:szCs w:val="20"/>
                <w:lang w:val="en-US"/>
              </w:rPr>
              <w:t xml:space="preserve"> (i.e. have not commenced business yet</w:t>
            </w:r>
            <w:r w:rsidR="00C00A9E" w:rsidRPr="004900E8">
              <w:rPr>
                <w:rFonts w:ascii="Verdana" w:eastAsia="Times New Roman" w:hAnsi="Verdana" w:cs="Times New Roman"/>
                <w:color w:val="191919"/>
                <w:sz w:val="20"/>
                <w:szCs w:val="20"/>
                <w:lang w:val="en-US"/>
              </w:rPr>
              <w:t xml:space="preserve"> or in the final stages of winding down/cancelling the securities investment business licence</w:t>
            </w:r>
            <w:r w:rsidRPr="004900E8">
              <w:rPr>
                <w:rFonts w:ascii="Verdana" w:eastAsia="Times New Roman" w:hAnsi="Verdana" w:cs="Times New Roman"/>
                <w:color w:val="191919"/>
                <w:sz w:val="20"/>
                <w:szCs w:val="20"/>
                <w:lang w:val="en-US"/>
              </w:rPr>
              <w:t>).</w:t>
            </w:r>
          </w:p>
        </w:tc>
      </w:tr>
      <w:tr w:rsidR="00C85139" w:rsidRPr="004900E8" w14:paraId="594C1492" w14:textId="77777777" w:rsidTr="00C85139">
        <w:trPr>
          <w:trHeight w:val="118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AB85C" w14:textId="77777777" w:rsidR="00C85139" w:rsidRPr="004900E8" w:rsidRDefault="00C85139" w:rsidP="00101474">
            <w:pPr>
              <w:spacing w:before="100" w:beforeAutospacing="1" w:after="100" w:afterAutospacing="1"/>
              <w:jc w:val="both"/>
              <w:rPr>
                <w:rFonts w:ascii="Verdana" w:eastAsia="Times New Roman" w:hAnsi="Verdana" w:cs="Times New Roman"/>
                <w:sz w:val="20"/>
                <w:szCs w:val="20"/>
                <w:lang w:val="de-DE"/>
              </w:rPr>
            </w:pPr>
            <w:r w:rsidRPr="004900E8">
              <w:rPr>
                <w:rFonts w:ascii="Verdana" w:eastAsia="Times New Roman" w:hAnsi="Verdana" w:cs="Times New Roman"/>
                <w:color w:val="191919"/>
                <w:sz w:val="20"/>
                <w:szCs w:val="20"/>
                <w:lang w:val="de-DE"/>
              </w:rPr>
              <w:t>Customer types</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14:paraId="752F49A8" w14:textId="13F979A1"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Trusts</w:t>
            </w:r>
            <w:r w:rsidRPr="004900E8">
              <w:rPr>
                <w:rFonts w:ascii="Verdana" w:eastAsia="Times New Roman" w:hAnsi="Verdana" w:cs="Times New Roman"/>
                <w:sz w:val="20"/>
                <w:szCs w:val="20"/>
                <w:lang w:val="en-US"/>
              </w:rPr>
              <w:t>.</w:t>
            </w:r>
          </w:p>
          <w:p w14:paraId="3229A0A0" w14:textId="32F3F895"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High net worth persons with KYD$4 million</w:t>
            </w:r>
            <w:r w:rsidR="00113EA6">
              <w:rPr>
                <w:rFonts w:ascii="Verdana" w:eastAsia="Times New Roman" w:hAnsi="Verdana" w:cs="Times New Roman"/>
                <w:color w:val="191919"/>
                <w:sz w:val="20"/>
                <w:szCs w:val="20"/>
                <w:lang w:val="en-US"/>
              </w:rPr>
              <w:t xml:space="preserve"> total assets</w:t>
            </w:r>
            <w:r w:rsidRPr="004900E8">
              <w:rPr>
                <w:rFonts w:ascii="Verdana" w:eastAsia="Times New Roman" w:hAnsi="Verdana" w:cs="Times New Roman"/>
                <w:sz w:val="20"/>
                <w:szCs w:val="20"/>
                <w:lang w:val="en-US"/>
              </w:rPr>
              <w:t>.</w:t>
            </w:r>
          </w:p>
          <w:p w14:paraId="0203F7DD" w14:textId="47940B96"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Sophisticated</w:t>
            </w:r>
            <w:r w:rsidR="00701073" w:rsidRPr="004900E8">
              <w:rPr>
                <w:rFonts w:ascii="Verdana" w:eastAsia="Times New Roman" w:hAnsi="Verdana" w:cs="Times New Roman"/>
                <w:color w:val="191919"/>
                <w:sz w:val="20"/>
                <w:szCs w:val="20"/>
                <w:lang w:val="en-US"/>
              </w:rPr>
              <w:t xml:space="preserve"> persons</w:t>
            </w:r>
            <w:r w:rsidRPr="004900E8">
              <w:rPr>
                <w:rFonts w:ascii="Verdana" w:eastAsia="Times New Roman" w:hAnsi="Verdana" w:cs="Times New Roman"/>
                <w:sz w:val="20"/>
                <w:szCs w:val="20"/>
                <w:lang w:val="en-US"/>
              </w:rPr>
              <w:t>.</w:t>
            </w:r>
          </w:p>
          <w:p w14:paraId="6D4895AD"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Politically Exposed Person</w:t>
            </w:r>
            <w:r w:rsidRPr="004900E8">
              <w:rPr>
                <w:rFonts w:ascii="Verdana" w:eastAsia="Times New Roman" w:hAnsi="Verdana" w:cs="Times New Roman"/>
                <w:sz w:val="20"/>
                <w:szCs w:val="20"/>
                <w:lang w:val="en-US"/>
              </w:rPr>
              <w:t>.</w:t>
            </w:r>
          </w:p>
          <w:p w14:paraId="14A2F721"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w:t>
            </w:r>
            <w:r w:rsidRPr="004900E8">
              <w:rPr>
                <w:rFonts w:ascii="Verdana" w:eastAsia="Times New Roman" w:hAnsi="Verdana" w:cs="Times New Roman"/>
                <w:sz w:val="20"/>
                <w:szCs w:val="20"/>
                <w:lang w:val="en-US"/>
              </w:rPr>
              <w:t>Non-profit organizations.</w:t>
            </w:r>
          </w:p>
          <w:p w14:paraId="4AEF58F9" w14:textId="4551268D" w:rsidR="00C85139" w:rsidRDefault="00C85139" w:rsidP="00101474">
            <w:pPr>
              <w:spacing w:before="100" w:beforeAutospacing="1" w:after="100" w:afterAutospacing="1"/>
              <w:ind w:left="142" w:hanging="142"/>
              <w:contextualSpacing/>
              <w:jc w:val="both"/>
              <w:rPr>
                <w:rFonts w:ascii="Verdana" w:eastAsia="Times New Roman" w:hAnsi="Verdana" w:cs="Times New Roman"/>
                <w:color w:val="000000" w:themeColor="text1"/>
                <w:sz w:val="20"/>
                <w:szCs w:val="20"/>
                <w:lang w:val="en-US"/>
              </w:rPr>
            </w:pPr>
            <w:r w:rsidRPr="004900E8">
              <w:rPr>
                <w:rFonts w:ascii="Verdana" w:eastAsia="Times New Roman" w:hAnsi="Verdana" w:cs="Times New Roman"/>
                <w:color w:val="191919"/>
                <w:sz w:val="20"/>
                <w:szCs w:val="20"/>
                <w:lang w:val="en-US"/>
              </w:rPr>
              <w:t>·  </w:t>
            </w:r>
            <w:r w:rsidRPr="004900E8">
              <w:rPr>
                <w:rFonts w:ascii="Verdana" w:eastAsia="Times New Roman" w:hAnsi="Verdana" w:cs="Times New Roman"/>
                <w:color w:val="000000" w:themeColor="text1"/>
                <w:sz w:val="20"/>
                <w:szCs w:val="20"/>
                <w:lang w:val="en-US"/>
              </w:rPr>
              <w:t>Corporates/financial institutions in higher risk jurisdictions. </w:t>
            </w:r>
          </w:p>
          <w:p w14:paraId="5540D1AD" w14:textId="72F89AE1" w:rsidR="00113EA6" w:rsidRPr="004900E8" w:rsidRDefault="00113EA6"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w:t>
            </w:r>
            <w:r>
              <w:rPr>
                <w:rFonts w:ascii="Verdana" w:eastAsia="Times New Roman" w:hAnsi="Verdana" w:cs="Times New Roman"/>
                <w:color w:val="191919"/>
                <w:sz w:val="20"/>
                <w:szCs w:val="20"/>
                <w:lang w:val="en-US"/>
              </w:rPr>
              <w:t xml:space="preserve"> Individuals in higher risk jurisdictions.</w:t>
            </w:r>
          </w:p>
          <w:p w14:paraId="5B3513D5"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de-DE"/>
              </w:rPr>
            </w:pPr>
            <w:r w:rsidRPr="004900E8">
              <w:rPr>
                <w:rFonts w:ascii="Verdana" w:eastAsia="Times New Roman" w:hAnsi="Verdana" w:cs="Times New Roman"/>
                <w:color w:val="191919"/>
                <w:sz w:val="20"/>
                <w:szCs w:val="20"/>
                <w:lang w:val="de-DE"/>
              </w:rPr>
              <w:lastRenderedPageBreak/>
              <w:t>·  </w:t>
            </w:r>
            <w:r w:rsidRPr="004900E8">
              <w:rPr>
                <w:rFonts w:ascii="Verdana" w:eastAsia="Times New Roman" w:hAnsi="Verdana" w:cs="Times New Roman"/>
                <w:sz w:val="20"/>
                <w:szCs w:val="20"/>
                <w:lang w:val="de-DE"/>
              </w:rPr>
              <w:t>Nominees.</w:t>
            </w:r>
          </w:p>
          <w:p w14:paraId="1E46C83E" w14:textId="77777777"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de-DE"/>
              </w:rPr>
            </w:pPr>
            <w:r w:rsidRPr="004900E8">
              <w:rPr>
                <w:rFonts w:ascii="Verdana" w:eastAsia="Times New Roman" w:hAnsi="Verdana" w:cs="Times New Roman"/>
                <w:color w:val="191919"/>
                <w:sz w:val="20"/>
                <w:szCs w:val="20"/>
                <w:lang w:val="de-DE"/>
              </w:rPr>
              <w:t>·  </w:t>
            </w:r>
            <w:r w:rsidRPr="004900E8">
              <w:rPr>
                <w:rFonts w:ascii="Verdana" w:eastAsia="Times New Roman" w:hAnsi="Verdana" w:cs="Times New Roman"/>
                <w:sz w:val="20"/>
                <w:szCs w:val="20"/>
                <w:lang w:val="de-DE"/>
              </w:rPr>
              <w:t>Special purpose vehicles.</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1C7CC1A6" w14:textId="22A4B0DB"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color w:val="000000" w:themeColor="text1"/>
                <w:sz w:val="20"/>
                <w:szCs w:val="20"/>
                <w:lang w:val="en-US"/>
              </w:rPr>
            </w:pPr>
            <w:r w:rsidRPr="004900E8">
              <w:rPr>
                <w:rFonts w:ascii="Verdana" w:eastAsia="Times New Roman" w:hAnsi="Verdana" w:cs="Times New Roman"/>
                <w:color w:val="000000" w:themeColor="text1"/>
                <w:sz w:val="20"/>
                <w:szCs w:val="20"/>
                <w:lang w:val="en-US"/>
              </w:rPr>
              <w:lastRenderedPageBreak/>
              <w:t xml:space="preserve">·  Governments/public sector not from </w:t>
            </w:r>
            <w:r w:rsidR="0033213F" w:rsidRPr="004900E8">
              <w:rPr>
                <w:rFonts w:ascii="Verdana" w:eastAsia="Times New Roman" w:hAnsi="Verdana" w:cs="Times New Roman"/>
                <w:color w:val="000000" w:themeColor="text1"/>
                <w:sz w:val="20"/>
                <w:szCs w:val="20"/>
                <w:lang w:val="en-US"/>
              </w:rPr>
              <w:t>high-</w:t>
            </w:r>
            <w:r w:rsidRPr="004900E8">
              <w:rPr>
                <w:rFonts w:ascii="Verdana" w:eastAsia="Times New Roman" w:hAnsi="Verdana" w:cs="Times New Roman"/>
                <w:color w:val="000000" w:themeColor="text1"/>
                <w:sz w:val="20"/>
                <w:szCs w:val="20"/>
                <w:lang w:val="en-US"/>
              </w:rPr>
              <w:t xml:space="preserve">risk </w:t>
            </w:r>
            <w:r w:rsidR="00113EA6">
              <w:rPr>
                <w:rFonts w:ascii="Verdana" w:eastAsia="Times New Roman" w:hAnsi="Verdana" w:cs="Times New Roman"/>
                <w:color w:val="000000" w:themeColor="text1"/>
                <w:sz w:val="20"/>
                <w:szCs w:val="20"/>
                <w:lang w:val="en-US"/>
              </w:rPr>
              <w:t>jurisdictions</w:t>
            </w:r>
            <w:r w:rsidRPr="004900E8">
              <w:rPr>
                <w:rFonts w:ascii="Verdana" w:eastAsia="Times New Roman" w:hAnsi="Verdana" w:cs="Times New Roman"/>
                <w:color w:val="000000" w:themeColor="text1"/>
                <w:sz w:val="20"/>
                <w:szCs w:val="20"/>
                <w:lang w:val="en-US"/>
              </w:rPr>
              <w:t>.</w:t>
            </w:r>
          </w:p>
          <w:p w14:paraId="791DCFF3" w14:textId="232198ED"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color w:val="000000" w:themeColor="text1"/>
                <w:sz w:val="20"/>
                <w:szCs w:val="20"/>
                <w:lang w:val="en-US"/>
              </w:rPr>
            </w:pPr>
            <w:r w:rsidRPr="004900E8">
              <w:rPr>
                <w:rFonts w:ascii="Verdana" w:eastAsia="Times New Roman" w:hAnsi="Verdana" w:cs="Times New Roman"/>
                <w:color w:val="000000" w:themeColor="text1"/>
                <w:sz w:val="20"/>
                <w:szCs w:val="20"/>
                <w:lang w:val="en-US"/>
              </w:rPr>
              <w:t>·  Financial institutions not from high</w:t>
            </w:r>
            <w:r w:rsidR="0033213F" w:rsidRPr="004900E8">
              <w:rPr>
                <w:rFonts w:ascii="Verdana" w:eastAsia="Times New Roman" w:hAnsi="Verdana" w:cs="Times New Roman"/>
                <w:color w:val="000000" w:themeColor="text1"/>
                <w:sz w:val="20"/>
                <w:szCs w:val="20"/>
                <w:lang w:val="en-US"/>
              </w:rPr>
              <w:t>-</w:t>
            </w:r>
            <w:r w:rsidRPr="004900E8">
              <w:rPr>
                <w:rFonts w:ascii="Verdana" w:eastAsia="Times New Roman" w:hAnsi="Verdana" w:cs="Times New Roman"/>
                <w:color w:val="000000" w:themeColor="text1"/>
                <w:sz w:val="20"/>
                <w:szCs w:val="20"/>
                <w:lang w:val="en-US"/>
              </w:rPr>
              <w:t xml:space="preserve">risk </w:t>
            </w:r>
            <w:r w:rsidR="00113EA6">
              <w:rPr>
                <w:rFonts w:ascii="Verdana" w:eastAsia="Times New Roman" w:hAnsi="Verdana" w:cs="Times New Roman"/>
                <w:color w:val="000000" w:themeColor="text1"/>
                <w:sz w:val="20"/>
                <w:szCs w:val="20"/>
                <w:lang w:val="en-US"/>
              </w:rPr>
              <w:t>jurisdictions</w:t>
            </w:r>
            <w:r w:rsidRPr="004900E8">
              <w:rPr>
                <w:rFonts w:ascii="Verdana" w:eastAsia="Times New Roman" w:hAnsi="Verdana" w:cs="Times New Roman"/>
                <w:color w:val="000000" w:themeColor="text1"/>
                <w:sz w:val="20"/>
                <w:szCs w:val="20"/>
                <w:lang w:val="en-US"/>
              </w:rPr>
              <w:t>.</w:t>
            </w:r>
          </w:p>
          <w:p w14:paraId="07BF8488" w14:textId="5AF48DFE" w:rsidR="00C85139" w:rsidRPr="004900E8" w:rsidRDefault="00C85139" w:rsidP="00101474">
            <w:pPr>
              <w:spacing w:before="100" w:beforeAutospacing="1" w:after="100" w:afterAutospacing="1"/>
              <w:ind w:left="142"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000000" w:themeColor="text1"/>
                <w:sz w:val="20"/>
                <w:szCs w:val="20"/>
                <w:lang w:val="en-US"/>
              </w:rPr>
              <w:t>·  Non-financial institutions not from high</w:t>
            </w:r>
            <w:r w:rsidR="0033213F" w:rsidRPr="004900E8">
              <w:rPr>
                <w:rFonts w:ascii="Verdana" w:eastAsia="Times New Roman" w:hAnsi="Verdana" w:cs="Times New Roman"/>
                <w:color w:val="000000" w:themeColor="text1"/>
                <w:sz w:val="20"/>
                <w:szCs w:val="20"/>
                <w:lang w:val="en-US"/>
              </w:rPr>
              <w:t>-</w:t>
            </w:r>
            <w:r w:rsidRPr="004900E8">
              <w:rPr>
                <w:rFonts w:ascii="Verdana" w:eastAsia="Times New Roman" w:hAnsi="Verdana" w:cs="Times New Roman"/>
                <w:color w:val="000000" w:themeColor="text1"/>
                <w:sz w:val="20"/>
                <w:szCs w:val="20"/>
                <w:lang w:val="en-US"/>
              </w:rPr>
              <w:t xml:space="preserve">risk </w:t>
            </w:r>
            <w:r w:rsidR="00113EA6">
              <w:rPr>
                <w:rFonts w:ascii="Verdana" w:eastAsia="Times New Roman" w:hAnsi="Verdana" w:cs="Times New Roman"/>
                <w:color w:val="000000" w:themeColor="text1"/>
                <w:sz w:val="20"/>
                <w:szCs w:val="20"/>
                <w:lang w:val="en-US"/>
              </w:rPr>
              <w:t>jurisdictions</w:t>
            </w:r>
            <w:r w:rsidRPr="004900E8">
              <w:rPr>
                <w:rFonts w:ascii="Verdana" w:eastAsia="Times New Roman" w:hAnsi="Verdana" w:cs="Times New Roman"/>
                <w:color w:val="000000" w:themeColor="text1"/>
                <w:sz w:val="20"/>
                <w:szCs w:val="20"/>
                <w:lang w:val="en-US"/>
              </w:rPr>
              <w:t>.</w:t>
            </w:r>
          </w:p>
        </w:tc>
      </w:tr>
      <w:tr w:rsidR="00C85139" w:rsidRPr="004900E8" w14:paraId="7BE60FDB" w14:textId="77777777" w:rsidTr="00C85139">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E0399" w14:textId="77777777" w:rsidR="00C85139" w:rsidRPr="004900E8" w:rsidRDefault="00C85139" w:rsidP="00101474">
            <w:pPr>
              <w:spacing w:before="100" w:beforeAutospacing="1" w:after="100" w:afterAutospacing="1"/>
              <w:jc w:val="both"/>
              <w:rPr>
                <w:rFonts w:ascii="Verdana" w:eastAsia="Times New Roman" w:hAnsi="Verdana" w:cs="Times New Roman"/>
                <w:sz w:val="20"/>
                <w:szCs w:val="20"/>
                <w:lang w:val="de-DE"/>
              </w:rPr>
            </w:pPr>
            <w:r w:rsidRPr="004900E8">
              <w:rPr>
                <w:rFonts w:ascii="Verdana" w:eastAsia="Times New Roman" w:hAnsi="Verdana" w:cs="Times New Roman"/>
                <w:color w:val="191919"/>
                <w:sz w:val="20"/>
                <w:szCs w:val="20"/>
                <w:lang w:val="de-DE"/>
              </w:rPr>
              <w:lastRenderedPageBreak/>
              <w:t>Transactions, products and services</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14:paraId="529CE743" w14:textId="37789DE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xml:space="preserve">·  High complexity, </w:t>
            </w:r>
            <w:r w:rsidR="00113EA6">
              <w:rPr>
                <w:rFonts w:ascii="Verdana" w:eastAsia="Times New Roman" w:hAnsi="Verdana" w:cs="Times New Roman"/>
                <w:color w:val="191919"/>
                <w:sz w:val="20"/>
                <w:szCs w:val="20"/>
                <w:lang w:val="en-US"/>
              </w:rPr>
              <w:t xml:space="preserve">high </w:t>
            </w:r>
            <w:r w:rsidR="00BC2802">
              <w:rPr>
                <w:rFonts w:ascii="Verdana" w:eastAsia="Times New Roman" w:hAnsi="Verdana" w:cs="Times New Roman"/>
                <w:color w:val="191919"/>
                <w:sz w:val="20"/>
                <w:szCs w:val="20"/>
                <w:lang w:val="en-US"/>
              </w:rPr>
              <w:t>liquid</w:t>
            </w:r>
            <w:r w:rsidRPr="004900E8">
              <w:rPr>
                <w:rFonts w:ascii="Verdana" w:eastAsia="Times New Roman" w:hAnsi="Verdana" w:cs="Times New Roman"/>
                <w:color w:val="191919"/>
                <w:sz w:val="20"/>
                <w:szCs w:val="20"/>
                <w:lang w:val="en-US"/>
              </w:rPr>
              <w:t xml:space="preserve"> and/or volatile products such as shares, options, futures, contracts for differences.</w:t>
            </w:r>
          </w:p>
          <w:p w14:paraId="6860D7A5"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Broker-dealers</w:t>
            </w:r>
          </w:p>
          <w:p w14:paraId="663DBAC4"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Maker makers</w:t>
            </w:r>
          </w:p>
          <w:p w14:paraId="6932EBA2"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Securities managers</w:t>
            </w:r>
          </w:p>
          <w:p w14:paraId="61869E69" w14:textId="633A17DC"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Forms of payment such as the acceptance of physical cash, travelers</w:t>
            </w:r>
            <w:r w:rsidR="00A91C8D" w:rsidRPr="004900E8">
              <w:rPr>
                <w:rFonts w:ascii="Verdana" w:eastAsia="Times New Roman" w:hAnsi="Verdana" w:cs="Times New Roman"/>
                <w:color w:val="191919"/>
                <w:sz w:val="20"/>
                <w:szCs w:val="20"/>
                <w:lang w:val="en-US"/>
              </w:rPr>
              <w:t xml:space="preserve">’ </w:t>
            </w:r>
            <w:r w:rsidRPr="004900E8">
              <w:rPr>
                <w:rFonts w:ascii="Verdana" w:eastAsia="Times New Roman" w:hAnsi="Verdana" w:cs="Times New Roman"/>
                <w:color w:val="191919"/>
                <w:sz w:val="20"/>
                <w:szCs w:val="20"/>
                <w:lang w:val="en-US"/>
              </w:rPr>
              <w:t xml:space="preserve"> cheques, bearer shares, prepaid cards, virtual currencies or third party payments.</w:t>
            </w:r>
          </w:p>
          <w:p w14:paraId="047805F4" w14:textId="79ED6C83"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0B891306"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Low complexity securities such as instruments creating or acknowledging indebtedness, instruments giving entitlements to securities and certificates representing certain securities.</w:t>
            </w:r>
          </w:p>
          <w:p w14:paraId="24AB7532"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Advisory services solely.</w:t>
            </w:r>
          </w:p>
          <w:p w14:paraId="60BBB27D"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Arranger services solely.</w:t>
            </w:r>
          </w:p>
          <w:p w14:paraId="1BBB4F83" w14:textId="337DF8E9"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w:t>
            </w:r>
          </w:p>
        </w:tc>
      </w:tr>
      <w:tr w:rsidR="00C85139" w:rsidRPr="004900E8" w14:paraId="765C60B4" w14:textId="77777777" w:rsidTr="00C85139">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B3866" w14:textId="77777777" w:rsidR="00C85139" w:rsidRPr="004900E8" w:rsidRDefault="00C85139" w:rsidP="00101474">
            <w:pPr>
              <w:spacing w:before="100" w:beforeAutospacing="1" w:after="100" w:afterAutospacing="1"/>
              <w:jc w:val="both"/>
              <w:rPr>
                <w:rFonts w:ascii="Verdana" w:eastAsia="Times New Roman" w:hAnsi="Verdana" w:cs="Times New Roman"/>
                <w:sz w:val="20"/>
                <w:szCs w:val="20"/>
                <w:lang w:val="de-DE"/>
              </w:rPr>
            </w:pPr>
            <w:r w:rsidRPr="004900E8">
              <w:rPr>
                <w:rFonts w:ascii="Verdana" w:eastAsia="Times New Roman" w:hAnsi="Verdana" w:cs="Times New Roman"/>
                <w:color w:val="191919"/>
                <w:sz w:val="20"/>
                <w:szCs w:val="20"/>
                <w:lang w:val="de-DE"/>
              </w:rPr>
              <w:t>Distribution/delivery channel</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14:paraId="17AF7401"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Non face-to-face / no direct customer interaction</w:t>
            </w:r>
          </w:p>
          <w:p w14:paraId="3A2EF597" w14:textId="77777777" w:rsidR="00C85139" w:rsidRDefault="00C85139" w:rsidP="00101474">
            <w:pPr>
              <w:spacing w:before="100" w:beforeAutospacing="1" w:after="100" w:afterAutospacing="1"/>
              <w:ind w:left="144" w:hanging="142"/>
              <w:contextualSpacing/>
              <w:jc w:val="both"/>
              <w:rPr>
                <w:rFonts w:ascii="Verdana" w:eastAsia="Times New Roman" w:hAnsi="Verdana" w:cs="Times New Roman"/>
                <w:color w:val="191919"/>
                <w:sz w:val="20"/>
                <w:szCs w:val="20"/>
                <w:lang w:val="en-US"/>
              </w:rPr>
            </w:pPr>
            <w:r w:rsidRPr="004900E8">
              <w:rPr>
                <w:rFonts w:ascii="Verdana" w:eastAsia="Times New Roman" w:hAnsi="Verdana" w:cs="Times New Roman"/>
                <w:color w:val="191919"/>
                <w:sz w:val="20"/>
                <w:szCs w:val="20"/>
                <w:lang w:val="en-US"/>
              </w:rPr>
              <w:t>·  Use of intermediaries and eligible and non-eligible introducers / reliance on a third party.</w:t>
            </w:r>
          </w:p>
          <w:p w14:paraId="410200C3" w14:textId="36906B79" w:rsidR="00113EA6" w:rsidRPr="004900E8" w:rsidRDefault="00113EA6"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Acceptance of customers via the use of online platforms.</w:t>
            </w:r>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04E40DBD" w14:textId="2468C79E"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Face-to-face contact not from high</w:t>
            </w:r>
            <w:r w:rsidR="0033213F" w:rsidRPr="004900E8">
              <w:rPr>
                <w:rFonts w:ascii="Verdana" w:eastAsia="Times New Roman" w:hAnsi="Verdana" w:cs="Times New Roman"/>
                <w:color w:val="191919"/>
                <w:sz w:val="20"/>
                <w:szCs w:val="20"/>
                <w:lang w:val="en-US"/>
              </w:rPr>
              <w:t>-</w:t>
            </w:r>
            <w:r w:rsidRPr="004900E8">
              <w:rPr>
                <w:rFonts w:ascii="Verdana" w:eastAsia="Times New Roman" w:hAnsi="Verdana" w:cs="Times New Roman"/>
                <w:color w:val="191919"/>
                <w:sz w:val="20"/>
                <w:szCs w:val="20"/>
                <w:lang w:val="en-US"/>
              </w:rPr>
              <w:t xml:space="preserve">risk </w:t>
            </w:r>
            <w:r w:rsidR="00113EA6">
              <w:rPr>
                <w:rFonts w:ascii="Verdana" w:eastAsia="Times New Roman" w:hAnsi="Verdana" w:cs="Times New Roman"/>
                <w:color w:val="191919"/>
                <w:sz w:val="20"/>
                <w:szCs w:val="20"/>
                <w:lang w:val="en-US"/>
              </w:rPr>
              <w:t>jurisdictions</w:t>
            </w:r>
            <w:r w:rsidRPr="004900E8">
              <w:rPr>
                <w:rFonts w:ascii="Verdana" w:eastAsia="Times New Roman" w:hAnsi="Verdana" w:cs="Times New Roman"/>
                <w:color w:val="191919"/>
                <w:sz w:val="20"/>
                <w:szCs w:val="20"/>
                <w:lang w:val="en-US"/>
              </w:rPr>
              <w:t>.</w:t>
            </w:r>
          </w:p>
          <w:p w14:paraId="1267DC21" w14:textId="13B715A5"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color w:val="191919"/>
                <w:sz w:val="20"/>
                <w:szCs w:val="20"/>
                <w:lang w:val="de-DE"/>
              </w:rPr>
            </w:pPr>
            <w:r w:rsidRPr="004900E8">
              <w:rPr>
                <w:rFonts w:ascii="Verdana" w:eastAsia="Times New Roman" w:hAnsi="Verdana" w:cs="Times New Roman"/>
                <w:color w:val="191919"/>
                <w:sz w:val="20"/>
                <w:szCs w:val="20"/>
                <w:lang w:val="de-DE"/>
              </w:rPr>
              <w:t>·  Intragroup referrals</w:t>
            </w:r>
            <w:r w:rsidR="00113EA6">
              <w:rPr>
                <w:rFonts w:ascii="Verdana" w:eastAsia="Times New Roman" w:hAnsi="Verdana" w:cs="Times New Roman"/>
                <w:color w:val="191919"/>
                <w:sz w:val="20"/>
                <w:szCs w:val="20"/>
                <w:lang w:val="de-DE"/>
              </w:rPr>
              <w:t xml:space="preserve"> in lower risk jurisdictions</w:t>
            </w:r>
            <w:r w:rsidRPr="004900E8">
              <w:rPr>
                <w:rFonts w:ascii="Verdana" w:eastAsia="Times New Roman" w:hAnsi="Verdana" w:cs="Times New Roman"/>
                <w:color w:val="191919"/>
                <w:sz w:val="20"/>
                <w:szCs w:val="20"/>
                <w:lang w:val="de-DE"/>
              </w:rPr>
              <w:t>.</w:t>
            </w:r>
          </w:p>
          <w:p w14:paraId="3BEFB76B" w14:textId="75567F8B" w:rsidR="00F66A3D" w:rsidRPr="004900E8" w:rsidRDefault="00F66A3D" w:rsidP="00101474">
            <w:pPr>
              <w:spacing w:before="100" w:beforeAutospacing="1" w:after="100" w:afterAutospacing="1"/>
              <w:ind w:left="144" w:hanging="142"/>
              <w:contextualSpacing/>
              <w:jc w:val="both"/>
              <w:rPr>
                <w:rFonts w:ascii="Verdana" w:eastAsia="Times New Roman" w:hAnsi="Verdana" w:cs="Times New Roman"/>
                <w:sz w:val="20"/>
                <w:szCs w:val="20"/>
                <w:lang w:val="de-DE"/>
              </w:rPr>
            </w:pPr>
          </w:p>
        </w:tc>
      </w:tr>
      <w:tr w:rsidR="00C85139" w:rsidRPr="004900E8" w14:paraId="3026AC1C" w14:textId="77777777" w:rsidTr="00C85139">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6DB9E" w14:textId="548EFC1C" w:rsidR="00C85139" w:rsidRPr="004900E8" w:rsidRDefault="00A21504" w:rsidP="00101474">
            <w:pPr>
              <w:spacing w:before="100" w:beforeAutospacing="1" w:after="100" w:afterAutospacing="1"/>
              <w:jc w:val="both"/>
              <w:rPr>
                <w:rFonts w:ascii="Verdana" w:eastAsia="Times New Roman" w:hAnsi="Verdana" w:cs="Times New Roman"/>
                <w:sz w:val="20"/>
                <w:szCs w:val="20"/>
                <w:lang w:val="de-DE"/>
              </w:rPr>
            </w:pPr>
            <w:r>
              <w:rPr>
                <w:rFonts w:ascii="Verdana" w:eastAsia="Times New Roman" w:hAnsi="Verdana" w:cs="Times New Roman"/>
                <w:color w:val="191919"/>
                <w:sz w:val="20"/>
                <w:szCs w:val="20"/>
                <w:lang w:val="de-DE"/>
              </w:rPr>
              <w:t>Geographical</w:t>
            </w:r>
            <w:r w:rsidR="00C85139" w:rsidRPr="004900E8">
              <w:rPr>
                <w:rFonts w:ascii="Verdana" w:eastAsia="Times New Roman" w:hAnsi="Verdana" w:cs="Times New Roman"/>
                <w:color w:val="191919"/>
                <w:sz w:val="20"/>
                <w:szCs w:val="20"/>
                <w:lang w:val="de-DE"/>
              </w:rPr>
              <w:t xml:space="preserve"> </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14:paraId="29540A8D" w14:textId="1EDDDE1B"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w:t>
            </w:r>
            <w:bookmarkStart w:id="8" w:name="_Hlk31798990"/>
            <w:r w:rsidR="005E3090">
              <w:rPr>
                <w:rFonts w:ascii="Verdana" w:eastAsia="Times New Roman" w:hAnsi="Verdana" w:cs="Times New Roman"/>
                <w:color w:val="191919"/>
                <w:sz w:val="20"/>
                <w:szCs w:val="20"/>
                <w:lang w:val="en-US"/>
              </w:rPr>
              <w:t>Beneficial owners of SIB Licensees</w:t>
            </w:r>
            <w:r w:rsidR="005E3090" w:rsidRPr="004900E8">
              <w:rPr>
                <w:rFonts w:ascii="Verdana" w:eastAsia="Times New Roman" w:hAnsi="Verdana" w:cs="Times New Roman"/>
                <w:color w:val="191919"/>
                <w:sz w:val="20"/>
                <w:szCs w:val="20"/>
                <w:lang w:val="en-US"/>
              </w:rPr>
              <w:t xml:space="preserve"> </w:t>
            </w:r>
            <w:r w:rsidRPr="004900E8">
              <w:rPr>
                <w:rFonts w:ascii="Verdana" w:eastAsia="Times New Roman" w:hAnsi="Verdana" w:cs="Times New Roman"/>
                <w:color w:val="191919"/>
                <w:sz w:val="20"/>
                <w:szCs w:val="20"/>
                <w:lang w:val="en-US"/>
              </w:rPr>
              <w:t>based in/controlled or owned by persons based in high-risk jurisdictions.</w:t>
            </w:r>
          </w:p>
          <w:p w14:paraId="18258802" w14:textId="77777777"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Transactions coming from or going to high-risk jurisdictions.</w:t>
            </w:r>
          </w:p>
          <w:p w14:paraId="72DF84D2" w14:textId="2C0C0086" w:rsidR="00D213F6" w:rsidRPr="004900E8" w:rsidRDefault="00C85139" w:rsidP="005E3090">
            <w:pPr>
              <w:spacing w:before="100" w:beforeAutospacing="1" w:after="100" w:afterAutospacing="1"/>
              <w:ind w:left="144" w:hanging="142"/>
              <w:contextualSpacing/>
              <w:jc w:val="both"/>
              <w:rPr>
                <w:rFonts w:ascii="Verdana" w:eastAsia="Times New Roman" w:hAnsi="Verdana" w:cs="Times New Roman"/>
                <w:sz w:val="20"/>
                <w:szCs w:val="20"/>
                <w:lang w:val="de-DE"/>
              </w:rPr>
            </w:pPr>
            <w:r w:rsidRPr="004900E8">
              <w:rPr>
                <w:rFonts w:ascii="Verdana" w:eastAsia="Times New Roman" w:hAnsi="Verdana" w:cs="Times New Roman"/>
                <w:color w:val="191919"/>
                <w:sz w:val="20"/>
                <w:szCs w:val="20"/>
                <w:lang w:val="de-DE"/>
              </w:rPr>
              <w:t>·  Large overseas customer base.</w:t>
            </w:r>
            <w:bookmarkEnd w:id="8"/>
          </w:p>
        </w:tc>
        <w:tc>
          <w:tcPr>
            <w:tcW w:w="9630" w:type="dxa"/>
            <w:tcBorders>
              <w:top w:val="nil"/>
              <w:left w:val="nil"/>
              <w:bottom w:val="single" w:sz="8" w:space="0" w:color="auto"/>
              <w:right w:val="single" w:sz="8" w:space="0" w:color="auto"/>
            </w:tcBorders>
            <w:tcMar>
              <w:top w:w="0" w:type="dxa"/>
              <w:left w:w="108" w:type="dxa"/>
              <w:bottom w:w="0" w:type="dxa"/>
              <w:right w:w="108" w:type="dxa"/>
            </w:tcMar>
            <w:hideMark/>
          </w:tcPr>
          <w:p w14:paraId="03F7732A" w14:textId="62BEACC6"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xml:space="preserve">·  Customers based in </w:t>
            </w:r>
            <w:r w:rsidR="00113EA6">
              <w:rPr>
                <w:rFonts w:ascii="Verdana" w:eastAsia="Times New Roman" w:hAnsi="Verdana" w:cs="Times New Roman"/>
                <w:color w:val="191919"/>
                <w:sz w:val="20"/>
                <w:szCs w:val="20"/>
                <w:lang w:val="en-US"/>
              </w:rPr>
              <w:t>jurisdictions</w:t>
            </w:r>
            <w:r w:rsidRPr="004900E8">
              <w:rPr>
                <w:rFonts w:ascii="Verdana" w:eastAsia="Times New Roman" w:hAnsi="Verdana" w:cs="Times New Roman"/>
                <w:color w:val="191919"/>
                <w:sz w:val="20"/>
                <w:szCs w:val="20"/>
                <w:lang w:val="en-US"/>
              </w:rPr>
              <w:t xml:space="preserve"> with robust AML/CFT systems.</w:t>
            </w:r>
          </w:p>
          <w:p w14:paraId="4709C3EF" w14:textId="47F7007F" w:rsidR="00C85139" w:rsidRPr="004900E8" w:rsidRDefault="00C85139" w:rsidP="00101474">
            <w:pPr>
              <w:spacing w:before="100" w:beforeAutospacing="1" w:after="100" w:afterAutospacing="1"/>
              <w:ind w:left="144" w:hanging="142"/>
              <w:contextualSpacing/>
              <w:jc w:val="both"/>
              <w:rPr>
                <w:rFonts w:ascii="Verdana" w:eastAsia="Times New Roman" w:hAnsi="Verdana" w:cs="Times New Roman"/>
                <w:color w:val="191919"/>
                <w:sz w:val="20"/>
                <w:szCs w:val="20"/>
                <w:lang w:val="en-US"/>
              </w:rPr>
            </w:pPr>
            <w:r w:rsidRPr="004900E8">
              <w:rPr>
                <w:rFonts w:ascii="Verdana" w:eastAsia="Times New Roman" w:hAnsi="Verdana" w:cs="Times New Roman"/>
                <w:color w:val="191919"/>
                <w:sz w:val="20"/>
                <w:szCs w:val="20"/>
                <w:lang w:val="en-US"/>
              </w:rPr>
              <w:t xml:space="preserve">·  Transactions carried out in and/or with </w:t>
            </w:r>
            <w:r w:rsidR="00113EA6">
              <w:rPr>
                <w:rFonts w:ascii="Verdana" w:eastAsia="Times New Roman" w:hAnsi="Verdana" w:cs="Times New Roman"/>
                <w:color w:val="191919"/>
                <w:sz w:val="20"/>
                <w:szCs w:val="20"/>
                <w:lang w:val="en-US"/>
              </w:rPr>
              <w:t>jurisdictions</w:t>
            </w:r>
            <w:r w:rsidRPr="004900E8">
              <w:rPr>
                <w:rFonts w:ascii="Verdana" w:eastAsia="Times New Roman" w:hAnsi="Verdana" w:cs="Times New Roman"/>
                <w:color w:val="191919"/>
                <w:sz w:val="20"/>
                <w:szCs w:val="20"/>
                <w:lang w:val="en-US"/>
              </w:rPr>
              <w:t xml:space="preserve"> with robust AML/CFT systems.</w:t>
            </w:r>
          </w:p>
          <w:p w14:paraId="4BCF366E" w14:textId="393D8E78" w:rsidR="00D213F6" w:rsidRPr="004900E8" w:rsidRDefault="00D213F6" w:rsidP="00101474">
            <w:pPr>
              <w:spacing w:before="100" w:beforeAutospacing="1" w:after="100" w:afterAutospacing="1"/>
              <w:ind w:left="144" w:hanging="142"/>
              <w:contextualSpacing/>
              <w:jc w:val="both"/>
              <w:rPr>
                <w:rFonts w:ascii="Verdana" w:eastAsia="Times New Roman" w:hAnsi="Verdana" w:cs="Times New Roman"/>
                <w:color w:val="191919"/>
                <w:sz w:val="20"/>
                <w:szCs w:val="20"/>
                <w:lang w:val="de-DE"/>
              </w:rPr>
            </w:pPr>
            <w:r w:rsidRPr="004900E8">
              <w:rPr>
                <w:rFonts w:ascii="Verdana" w:eastAsia="Times New Roman" w:hAnsi="Verdana" w:cs="Times New Roman"/>
                <w:color w:val="191919"/>
                <w:sz w:val="20"/>
                <w:szCs w:val="20"/>
                <w:lang w:val="de-DE"/>
              </w:rPr>
              <w:t xml:space="preserve"> </w:t>
            </w:r>
          </w:p>
          <w:p w14:paraId="22575420" w14:textId="77777777" w:rsidR="00D213F6" w:rsidRPr="004900E8" w:rsidRDefault="00D213F6" w:rsidP="00101474">
            <w:pPr>
              <w:spacing w:before="100" w:beforeAutospacing="1" w:after="100" w:afterAutospacing="1"/>
              <w:ind w:left="144" w:hanging="142"/>
              <w:contextualSpacing/>
              <w:jc w:val="both"/>
              <w:rPr>
                <w:rFonts w:ascii="Verdana" w:eastAsia="Times New Roman" w:hAnsi="Verdana" w:cs="Times New Roman"/>
                <w:color w:val="191919"/>
                <w:sz w:val="20"/>
                <w:szCs w:val="20"/>
                <w:lang w:val="en-US"/>
              </w:rPr>
            </w:pPr>
          </w:p>
          <w:p w14:paraId="4E08E3D0" w14:textId="51C74C37" w:rsidR="00D213F6" w:rsidRPr="004900E8" w:rsidRDefault="00D213F6" w:rsidP="00101474">
            <w:pPr>
              <w:spacing w:before="100" w:beforeAutospacing="1" w:after="100" w:afterAutospacing="1"/>
              <w:ind w:left="144" w:hanging="142"/>
              <w:contextualSpacing/>
              <w:jc w:val="both"/>
              <w:rPr>
                <w:rFonts w:ascii="Verdana" w:eastAsia="Times New Roman" w:hAnsi="Verdana" w:cs="Times New Roman"/>
                <w:sz w:val="20"/>
                <w:szCs w:val="20"/>
                <w:lang w:val="en-US"/>
              </w:rPr>
            </w:pPr>
          </w:p>
          <w:p w14:paraId="5CAE9212" w14:textId="77777777" w:rsidR="00C85139" w:rsidRPr="004900E8" w:rsidRDefault="00C85139" w:rsidP="00101474">
            <w:pPr>
              <w:ind w:left="144"/>
              <w:contextualSpacing/>
              <w:jc w:val="both"/>
              <w:rPr>
                <w:rFonts w:ascii="Verdana" w:eastAsia="Times New Roman" w:hAnsi="Verdana" w:cs="Times New Roman"/>
                <w:sz w:val="20"/>
                <w:szCs w:val="20"/>
                <w:lang w:val="en-US"/>
              </w:rPr>
            </w:pPr>
            <w:r w:rsidRPr="004900E8">
              <w:rPr>
                <w:rFonts w:ascii="Verdana" w:eastAsia="Times New Roman" w:hAnsi="Verdana" w:cs="Times New Roman"/>
                <w:color w:val="191919"/>
                <w:sz w:val="20"/>
                <w:szCs w:val="20"/>
                <w:lang w:val="en-US"/>
              </w:rPr>
              <w:t> </w:t>
            </w:r>
          </w:p>
        </w:tc>
      </w:tr>
    </w:tbl>
    <w:p w14:paraId="56A57368" w14:textId="77777777" w:rsidR="00C85139" w:rsidRPr="00101474" w:rsidRDefault="00C85139" w:rsidP="00101474">
      <w:pPr>
        <w:jc w:val="both"/>
        <w:rPr>
          <w:rFonts w:ascii="Verdana" w:eastAsia="Times New Roman" w:hAnsi="Verdana" w:cs="Times New Roman"/>
          <w:color w:val="000000"/>
          <w:sz w:val="20"/>
          <w:szCs w:val="20"/>
          <w:lang w:val="en-US"/>
        </w:rPr>
      </w:pPr>
      <w:r w:rsidRPr="00101474">
        <w:rPr>
          <w:rFonts w:ascii="Verdana" w:eastAsia="Times New Roman" w:hAnsi="Verdana" w:cs="Times New Roman"/>
          <w:color w:val="000000"/>
          <w:sz w:val="20"/>
          <w:szCs w:val="20"/>
          <w:lang w:val="en-US"/>
        </w:rPr>
        <w:t> </w:t>
      </w:r>
    </w:p>
    <w:p w14:paraId="24493054" w14:textId="77777777" w:rsidR="00C85139" w:rsidRPr="00101474" w:rsidRDefault="00C85139" w:rsidP="00101474">
      <w:pPr>
        <w:pStyle w:val="NormalWeb"/>
        <w:spacing w:before="0" w:beforeAutospacing="0" w:after="0" w:afterAutospacing="0" w:line="276" w:lineRule="auto"/>
        <w:contextualSpacing/>
        <w:jc w:val="both"/>
        <w:rPr>
          <w:rFonts w:ascii="Verdana" w:eastAsiaTheme="minorHAnsi" w:hAnsi="Verdana"/>
          <w:color w:val="000000" w:themeColor="text1"/>
          <w:sz w:val="20"/>
          <w:szCs w:val="20"/>
          <w:lang w:val="en-GB"/>
        </w:rPr>
      </w:pPr>
    </w:p>
    <w:p w14:paraId="683687BE" w14:textId="77F887A2" w:rsidR="00B667BC" w:rsidRPr="004900E8" w:rsidRDefault="00B667BC" w:rsidP="00153D5E">
      <w:pPr>
        <w:pStyle w:val="NormalWeb"/>
        <w:numPr>
          <w:ilvl w:val="0"/>
          <w:numId w:val="24"/>
        </w:numPr>
        <w:spacing w:before="0" w:beforeAutospacing="0" w:after="0" w:afterAutospacing="0" w:line="276" w:lineRule="auto"/>
        <w:contextualSpacing/>
        <w:jc w:val="both"/>
        <w:rPr>
          <w:rFonts w:ascii="Verdana" w:eastAsiaTheme="minorHAnsi" w:hAnsi="Verdana"/>
          <w:color w:val="000000" w:themeColor="text1"/>
          <w:sz w:val="20"/>
          <w:szCs w:val="20"/>
          <w:lang w:val="en-GB"/>
        </w:rPr>
      </w:pPr>
      <w:r w:rsidRPr="004900E8">
        <w:rPr>
          <w:rFonts w:ascii="Verdana" w:hAnsi="Verdana"/>
          <w:color w:val="000000" w:themeColor="text1"/>
          <w:sz w:val="20"/>
          <w:szCs w:val="20"/>
          <w:lang w:val="en-US"/>
        </w:rPr>
        <w:t>Geographical risk factors are considered in the context of each of the above categories as geography is an overarching dimension of all risk categories</w:t>
      </w:r>
      <w:r w:rsidR="00113EA6">
        <w:rPr>
          <w:rFonts w:ascii="Verdana" w:hAnsi="Verdana"/>
          <w:color w:val="000000" w:themeColor="text1"/>
          <w:sz w:val="20"/>
          <w:szCs w:val="20"/>
          <w:lang w:val="en-US"/>
        </w:rPr>
        <w:t>.</w:t>
      </w:r>
      <w:r w:rsidR="006A1F59">
        <w:rPr>
          <w:rFonts w:ascii="Verdana" w:hAnsi="Verdana"/>
          <w:color w:val="000000" w:themeColor="text1"/>
          <w:sz w:val="20"/>
          <w:szCs w:val="20"/>
          <w:lang w:val="en-US"/>
        </w:rPr>
        <w:t xml:space="preserve"> </w:t>
      </w:r>
      <w:r w:rsidR="00113EA6">
        <w:rPr>
          <w:rFonts w:ascii="Verdana" w:hAnsi="Verdana"/>
          <w:color w:val="000000" w:themeColor="text1"/>
          <w:sz w:val="20"/>
          <w:szCs w:val="20"/>
          <w:lang w:val="en-US"/>
        </w:rPr>
        <w:t xml:space="preserve">Although it </w:t>
      </w:r>
      <w:r w:rsidR="006A1F59">
        <w:rPr>
          <w:rFonts w:ascii="Verdana" w:hAnsi="Verdana"/>
          <w:color w:val="000000" w:themeColor="text1"/>
          <w:sz w:val="20"/>
          <w:szCs w:val="20"/>
          <w:lang w:val="en-US"/>
        </w:rPr>
        <w:t xml:space="preserve">will be incorporated within the other </w:t>
      </w:r>
      <w:r w:rsidR="00113EA6">
        <w:rPr>
          <w:rFonts w:ascii="Verdana" w:hAnsi="Verdana"/>
          <w:color w:val="000000" w:themeColor="text1"/>
          <w:sz w:val="20"/>
          <w:szCs w:val="20"/>
          <w:lang w:val="en-US"/>
        </w:rPr>
        <w:t xml:space="preserve">relevant </w:t>
      </w:r>
      <w:r w:rsidR="006A1F59">
        <w:rPr>
          <w:rFonts w:ascii="Verdana" w:hAnsi="Verdana"/>
          <w:color w:val="000000" w:themeColor="text1"/>
          <w:sz w:val="20"/>
          <w:szCs w:val="20"/>
          <w:lang w:val="en-US"/>
        </w:rPr>
        <w:t>sections, as appropriate</w:t>
      </w:r>
      <w:r w:rsidR="00113EA6">
        <w:rPr>
          <w:rFonts w:ascii="Verdana" w:hAnsi="Verdana"/>
          <w:color w:val="000000" w:themeColor="text1"/>
          <w:sz w:val="20"/>
          <w:szCs w:val="20"/>
          <w:lang w:val="en-US"/>
        </w:rPr>
        <w:t>, a stand-alone assessment of such risk is also referenced below</w:t>
      </w:r>
      <w:r w:rsidRPr="004900E8">
        <w:rPr>
          <w:rFonts w:ascii="Verdana" w:hAnsi="Verdana"/>
          <w:color w:val="000000" w:themeColor="text1"/>
          <w:sz w:val="20"/>
          <w:szCs w:val="20"/>
          <w:lang w:val="en-US"/>
        </w:rPr>
        <w:t xml:space="preserve">. </w:t>
      </w:r>
    </w:p>
    <w:p w14:paraId="5C5CF281" w14:textId="77777777" w:rsidR="00B667BC" w:rsidRPr="009B3482" w:rsidRDefault="00B667BC" w:rsidP="00B667BC">
      <w:pPr>
        <w:pStyle w:val="NormalWeb"/>
        <w:spacing w:before="0" w:beforeAutospacing="0" w:after="0" w:afterAutospacing="0" w:line="276" w:lineRule="auto"/>
        <w:ind w:left="540"/>
        <w:contextualSpacing/>
        <w:jc w:val="both"/>
        <w:rPr>
          <w:rFonts w:ascii="Verdana" w:eastAsiaTheme="minorHAnsi" w:hAnsi="Verdana"/>
          <w:color w:val="000000" w:themeColor="text1"/>
          <w:sz w:val="20"/>
          <w:szCs w:val="20"/>
          <w:lang w:val="en-GB"/>
        </w:rPr>
      </w:pPr>
    </w:p>
    <w:p w14:paraId="26CFCE4C" w14:textId="38B37DC7" w:rsidR="007F3AB6" w:rsidRPr="009B3482" w:rsidRDefault="00B20636" w:rsidP="00101474">
      <w:pPr>
        <w:pStyle w:val="NormalWeb"/>
        <w:numPr>
          <w:ilvl w:val="0"/>
          <w:numId w:val="24"/>
        </w:numPr>
        <w:spacing w:before="0" w:beforeAutospacing="0" w:after="0" w:afterAutospacing="0" w:line="276" w:lineRule="auto"/>
        <w:contextualSpacing/>
        <w:jc w:val="both"/>
        <w:rPr>
          <w:rFonts w:ascii="Verdana" w:eastAsiaTheme="minorHAnsi" w:hAnsi="Verdana"/>
          <w:color w:val="000000" w:themeColor="text1"/>
          <w:sz w:val="20"/>
          <w:szCs w:val="20"/>
          <w:lang w:val="en-GB"/>
        </w:rPr>
      </w:pPr>
      <w:r w:rsidRPr="009B3482">
        <w:rPr>
          <w:rFonts w:ascii="Verdana" w:hAnsi="Verdana"/>
          <w:color w:val="000000" w:themeColor="text1"/>
          <w:sz w:val="20"/>
          <w:szCs w:val="20"/>
          <w:lang w:val="en-US"/>
        </w:rPr>
        <w:t xml:space="preserve">To allow for a structured </w:t>
      </w:r>
      <w:r w:rsidR="009E4063" w:rsidRPr="009B3482">
        <w:rPr>
          <w:rFonts w:ascii="Verdana" w:hAnsi="Verdana"/>
          <w:color w:val="000000" w:themeColor="text1"/>
          <w:sz w:val="20"/>
          <w:szCs w:val="20"/>
          <w:lang w:val="en-US"/>
        </w:rPr>
        <w:t>analysi</w:t>
      </w:r>
      <w:r w:rsidRPr="009B3482">
        <w:rPr>
          <w:rFonts w:ascii="Verdana" w:hAnsi="Verdana"/>
          <w:color w:val="000000" w:themeColor="text1"/>
          <w:sz w:val="20"/>
          <w:szCs w:val="20"/>
          <w:lang w:val="en-US"/>
        </w:rPr>
        <w:t>s</w:t>
      </w:r>
      <w:r w:rsidR="009E4063" w:rsidRPr="009B3482">
        <w:rPr>
          <w:rFonts w:ascii="Verdana" w:hAnsi="Verdana"/>
          <w:color w:val="000000" w:themeColor="text1"/>
          <w:sz w:val="20"/>
          <w:szCs w:val="20"/>
          <w:lang w:val="en-US"/>
        </w:rPr>
        <w:t xml:space="preserve"> </w:t>
      </w:r>
      <w:r w:rsidRPr="009B3482">
        <w:rPr>
          <w:rFonts w:ascii="Verdana" w:hAnsi="Verdana"/>
          <w:color w:val="000000" w:themeColor="text1"/>
          <w:sz w:val="20"/>
          <w:szCs w:val="20"/>
          <w:lang w:val="en-US"/>
        </w:rPr>
        <w:t>of th</w:t>
      </w:r>
      <w:r w:rsidR="00FB2C07" w:rsidRPr="009B3482">
        <w:rPr>
          <w:rFonts w:ascii="Verdana" w:hAnsi="Verdana"/>
          <w:color w:val="000000" w:themeColor="text1"/>
          <w:sz w:val="20"/>
          <w:szCs w:val="20"/>
          <w:lang w:val="en-US"/>
        </w:rPr>
        <w:t xml:space="preserve">is </w:t>
      </w:r>
      <w:r w:rsidR="009E4063" w:rsidRPr="009B3482">
        <w:rPr>
          <w:rFonts w:ascii="Verdana" w:hAnsi="Verdana"/>
          <w:color w:val="000000" w:themeColor="text1"/>
          <w:sz w:val="20"/>
          <w:szCs w:val="20"/>
          <w:lang w:val="en-US"/>
        </w:rPr>
        <w:t>data</w:t>
      </w:r>
      <w:r w:rsidR="00FB2C07" w:rsidRPr="009B3482">
        <w:rPr>
          <w:rFonts w:ascii="Verdana" w:hAnsi="Verdana"/>
          <w:color w:val="000000" w:themeColor="text1"/>
          <w:sz w:val="20"/>
          <w:szCs w:val="20"/>
          <w:lang w:val="en-US"/>
        </w:rPr>
        <w:t>,</w:t>
      </w:r>
      <w:r w:rsidR="009E4063" w:rsidRPr="009B3482">
        <w:rPr>
          <w:rFonts w:ascii="Verdana" w:hAnsi="Verdana"/>
          <w:color w:val="000000" w:themeColor="text1"/>
          <w:sz w:val="20"/>
          <w:szCs w:val="20"/>
          <w:lang w:val="en-US"/>
        </w:rPr>
        <w:t xml:space="preserve"> it was necessary</w:t>
      </w:r>
      <w:r w:rsidRPr="009B3482">
        <w:rPr>
          <w:rFonts w:ascii="Verdana" w:hAnsi="Verdana"/>
          <w:color w:val="000000" w:themeColor="text1"/>
          <w:sz w:val="20"/>
          <w:szCs w:val="20"/>
          <w:lang w:val="en-US"/>
        </w:rPr>
        <w:t xml:space="preserve"> </w:t>
      </w:r>
      <w:r w:rsidR="009E4063" w:rsidRPr="009B3482">
        <w:rPr>
          <w:rFonts w:ascii="Verdana" w:hAnsi="Verdana"/>
          <w:color w:val="000000" w:themeColor="text1"/>
          <w:sz w:val="20"/>
          <w:szCs w:val="20"/>
          <w:lang w:val="en-US"/>
        </w:rPr>
        <w:t>to define the term “high risk jurisdiction</w:t>
      </w:r>
      <w:r w:rsidR="001E7150" w:rsidRPr="009B3482">
        <w:rPr>
          <w:rFonts w:ascii="Verdana" w:hAnsi="Verdana"/>
          <w:color w:val="000000" w:themeColor="text1"/>
          <w:sz w:val="20"/>
          <w:szCs w:val="20"/>
          <w:lang w:val="en-US"/>
        </w:rPr>
        <w:t>.</w:t>
      </w:r>
      <w:r w:rsidR="009E4063" w:rsidRPr="009B3482">
        <w:rPr>
          <w:rFonts w:ascii="Verdana" w:hAnsi="Verdana"/>
          <w:color w:val="000000" w:themeColor="text1"/>
          <w:sz w:val="20"/>
          <w:szCs w:val="20"/>
          <w:lang w:val="en-US"/>
        </w:rPr>
        <w:t xml:space="preserve">” </w:t>
      </w:r>
      <w:r w:rsidR="00113EA6">
        <w:rPr>
          <w:rFonts w:ascii="Verdana" w:eastAsiaTheme="minorHAnsi" w:hAnsi="Verdana"/>
          <w:color w:val="000000" w:themeColor="text1"/>
          <w:sz w:val="20"/>
          <w:szCs w:val="20"/>
          <w:lang w:val="en-US"/>
        </w:rPr>
        <w:t>Jurisdictions</w:t>
      </w:r>
      <w:r w:rsidR="007F3AB6" w:rsidRPr="009B3482">
        <w:rPr>
          <w:rFonts w:ascii="Verdana" w:eastAsiaTheme="minorHAnsi" w:hAnsi="Verdana"/>
          <w:color w:val="000000" w:themeColor="text1"/>
          <w:sz w:val="20"/>
          <w:szCs w:val="20"/>
          <w:lang w:val="en-US"/>
        </w:rPr>
        <w:t xml:space="preserve"> with weak or insufficient AML/CFT measures present a clear ML/TF risk as do </w:t>
      </w:r>
      <w:r w:rsidR="00113EA6">
        <w:rPr>
          <w:rFonts w:ascii="Verdana" w:eastAsiaTheme="minorHAnsi" w:hAnsi="Verdana"/>
          <w:color w:val="000000" w:themeColor="text1"/>
          <w:sz w:val="20"/>
          <w:szCs w:val="20"/>
          <w:lang w:val="en-US"/>
        </w:rPr>
        <w:t>jurisdictions</w:t>
      </w:r>
      <w:r w:rsidR="007F3AB6" w:rsidRPr="009B3482">
        <w:rPr>
          <w:rFonts w:ascii="Verdana" w:eastAsiaTheme="minorHAnsi" w:hAnsi="Verdana"/>
          <w:color w:val="000000" w:themeColor="text1"/>
          <w:sz w:val="20"/>
          <w:szCs w:val="20"/>
          <w:lang w:val="en-US"/>
        </w:rPr>
        <w:t xml:space="preserve"> associated with high degrees of bribery and corruption, tax evasion, terrorism, conflict zones and organized crime. </w:t>
      </w:r>
      <w:r w:rsidR="00A57660" w:rsidRPr="009B3482">
        <w:rPr>
          <w:rFonts w:ascii="Verdana" w:eastAsiaTheme="minorHAnsi" w:hAnsi="Verdana"/>
          <w:color w:val="000000" w:themeColor="text1"/>
          <w:sz w:val="20"/>
          <w:szCs w:val="20"/>
          <w:lang w:val="en-US"/>
        </w:rPr>
        <w:t xml:space="preserve">The </w:t>
      </w:r>
      <w:r w:rsidR="00113EA6">
        <w:rPr>
          <w:rFonts w:ascii="Verdana" w:hAnsi="Verdana"/>
          <w:color w:val="000000" w:themeColor="text1"/>
          <w:sz w:val="20"/>
          <w:szCs w:val="20"/>
          <w:lang w:val="en-US"/>
        </w:rPr>
        <w:t>jurisdictions</w:t>
      </w:r>
      <w:r w:rsidR="009E4063" w:rsidRPr="009B3482">
        <w:rPr>
          <w:rFonts w:ascii="Verdana" w:hAnsi="Verdana"/>
          <w:color w:val="000000" w:themeColor="text1"/>
          <w:sz w:val="20"/>
          <w:szCs w:val="20"/>
          <w:lang w:val="en-US"/>
        </w:rPr>
        <w:t xml:space="preserve"> focused on for </w:t>
      </w:r>
      <w:r w:rsidR="00A57660" w:rsidRPr="009B3482">
        <w:rPr>
          <w:rFonts w:ascii="Verdana" w:hAnsi="Verdana"/>
          <w:color w:val="000000" w:themeColor="text1"/>
          <w:sz w:val="20"/>
          <w:szCs w:val="20"/>
          <w:lang w:val="en-US"/>
        </w:rPr>
        <w:t xml:space="preserve">the </w:t>
      </w:r>
      <w:r w:rsidR="009E4063" w:rsidRPr="009B3482">
        <w:rPr>
          <w:rFonts w:ascii="Verdana" w:hAnsi="Verdana"/>
          <w:color w:val="000000" w:themeColor="text1"/>
          <w:sz w:val="20"/>
          <w:szCs w:val="20"/>
          <w:lang w:val="en-US"/>
        </w:rPr>
        <w:t xml:space="preserve">purposes of this analysis were </w:t>
      </w:r>
      <w:r w:rsidR="007F3AB6" w:rsidRPr="009B3482">
        <w:rPr>
          <w:rFonts w:ascii="Verdana" w:hAnsi="Verdana"/>
          <w:color w:val="000000" w:themeColor="text1"/>
          <w:sz w:val="20"/>
          <w:szCs w:val="20"/>
          <w:lang w:val="en-US"/>
        </w:rPr>
        <w:t xml:space="preserve">therefore </w:t>
      </w:r>
      <w:r w:rsidR="00F3395B" w:rsidRPr="009B3482">
        <w:rPr>
          <w:rFonts w:ascii="Verdana" w:hAnsi="Verdana"/>
          <w:color w:val="000000" w:themeColor="text1"/>
          <w:sz w:val="20"/>
          <w:szCs w:val="20"/>
          <w:lang w:val="en-US"/>
        </w:rPr>
        <w:t>those on</w:t>
      </w:r>
      <w:r w:rsidR="009E4063" w:rsidRPr="009B3482">
        <w:rPr>
          <w:rFonts w:ascii="Verdana" w:hAnsi="Verdana"/>
          <w:color w:val="000000" w:themeColor="text1"/>
          <w:sz w:val="20"/>
          <w:szCs w:val="20"/>
          <w:lang w:val="en-US"/>
        </w:rPr>
        <w:t xml:space="preserve"> the FATF list of </w:t>
      </w:r>
      <w:r w:rsidR="00A57660" w:rsidRPr="009B3482">
        <w:rPr>
          <w:rFonts w:ascii="Verdana" w:hAnsi="Verdana"/>
          <w:color w:val="000000" w:themeColor="text1"/>
          <w:sz w:val="20"/>
          <w:szCs w:val="20"/>
          <w:lang w:val="en-US"/>
        </w:rPr>
        <w:t>High</w:t>
      </w:r>
      <w:r w:rsidR="009E4063" w:rsidRPr="009B3482">
        <w:rPr>
          <w:rFonts w:ascii="Verdana" w:hAnsi="Verdana"/>
          <w:color w:val="000000" w:themeColor="text1"/>
          <w:sz w:val="20"/>
          <w:szCs w:val="20"/>
          <w:lang w:val="en-US"/>
        </w:rPr>
        <w:t>-</w:t>
      </w:r>
      <w:r w:rsidR="00A57660" w:rsidRPr="009B3482">
        <w:rPr>
          <w:rFonts w:ascii="Verdana" w:hAnsi="Verdana"/>
          <w:color w:val="000000" w:themeColor="text1"/>
          <w:sz w:val="20"/>
          <w:szCs w:val="20"/>
          <w:lang w:val="en-US"/>
        </w:rPr>
        <w:t xml:space="preserve">Risk </w:t>
      </w:r>
      <w:r w:rsidR="009E4063" w:rsidRPr="009B3482">
        <w:rPr>
          <w:rFonts w:ascii="Verdana" w:hAnsi="Verdana"/>
          <w:color w:val="000000" w:themeColor="text1"/>
          <w:sz w:val="20"/>
          <w:szCs w:val="20"/>
          <w:lang w:val="en-US"/>
        </w:rPr>
        <w:t xml:space="preserve">and </w:t>
      </w:r>
      <w:r w:rsidR="00A57660" w:rsidRPr="009B3482">
        <w:rPr>
          <w:rFonts w:ascii="Verdana" w:hAnsi="Verdana"/>
          <w:color w:val="000000" w:themeColor="text1"/>
          <w:sz w:val="20"/>
          <w:szCs w:val="20"/>
          <w:lang w:val="en-US"/>
        </w:rPr>
        <w:t>Other Monitored Jurisdictions</w:t>
      </w:r>
      <w:r w:rsidR="009E4063" w:rsidRPr="009B3482">
        <w:rPr>
          <w:rFonts w:ascii="Verdana" w:hAnsi="Verdana"/>
          <w:color w:val="000000" w:themeColor="text1"/>
          <w:sz w:val="20"/>
          <w:szCs w:val="20"/>
          <w:lang w:val="en-US"/>
        </w:rPr>
        <w:t xml:space="preserve">, </w:t>
      </w:r>
      <w:r w:rsidR="00113EA6">
        <w:rPr>
          <w:rFonts w:ascii="Verdana" w:hAnsi="Verdana"/>
          <w:color w:val="000000" w:themeColor="text1"/>
          <w:sz w:val="20"/>
          <w:szCs w:val="20"/>
          <w:lang w:val="en-US"/>
        </w:rPr>
        <w:t>jurisdictions</w:t>
      </w:r>
      <w:r w:rsidR="009E4063" w:rsidRPr="009B3482">
        <w:rPr>
          <w:rFonts w:ascii="Verdana" w:hAnsi="Verdana"/>
          <w:color w:val="000000" w:themeColor="text1"/>
          <w:sz w:val="20"/>
          <w:szCs w:val="20"/>
          <w:lang w:val="en-US"/>
        </w:rPr>
        <w:t xml:space="preserve"> against which the United Nations </w:t>
      </w:r>
      <w:r w:rsidR="00A558CE" w:rsidRPr="009B3482">
        <w:rPr>
          <w:rFonts w:ascii="Verdana" w:hAnsi="Verdana"/>
          <w:color w:val="000000" w:themeColor="text1"/>
          <w:sz w:val="20"/>
          <w:szCs w:val="20"/>
          <w:lang w:val="en-US"/>
        </w:rPr>
        <w:t>h</w:t>
      </w:r>
      <w:r w:rsidR="009E4063" w:rsidRPr="009B3482">
        <w:rPr>
          <w:rFonts w:ascii="Verdana" w:hAnsi="Verdana"/>
          <w:color w:val="000000" w:themeColor="text1"/>
          <w:sz w:val="20"/>
          <w:szCs w:val="20"/>
          <w:lang w:val="en-US"/>
        </w:rPr>
        <w:t xml:space="preserve">as imposed sanctions, </w:t>
      </w:r>
      <w:r w:rsidR="00F3395B" w:rsidRPr="009B3482">
        <w:rPr>
          <w:rFonts w:ascii="Verdana" w:hAnsi="Verdana"/>
          <w:color w:val="000000" w:themeColor="text1"/>
          <w:sz w:val="20"/>
          <w:szCs w:val="20"/>
          <w:lang w:val="en-US"/>
        </w:rPr>
        <w:t xml:space="preserve">and the </w:t>
      </w:r>
      <w:r w:rsidRPr="009B3482">
        <w:rPr>
          <w:rFonts w:ascii="Verdana" w:hAnsi="Verdana"/>
          <w:color w:val="000000" w:themeColor="text1"/>
          <w:sz w:val="20"/>
          <w:szCs w:val="20"/>
          <w:lang w:val="en-US"/>
        </w:rPr>
        <w:t>first</w:t>
      </w:r>
      <w:r w:rsidR="00F3395B" w:rsidRPr="009B3482">
        <w:rPr>
          <w:rFonts w:ascii="Verdana" w:hAnsi="Verdana"/>
          <w:color w:val="000000" w:themeColor="text1"/>
          <w:sz w:val="20"/>
          <w:szCs w:val="20"/>
          <w:lang w:val="en-US"/>
        </w:rPr>
        <w:t xml:space="preserve"> </w:t>
      </w:r>
      <w:r w:rsidR="00B8705D">
        <w:rPr>
          <w:rFonts w:ascii="Verdana" w:hAnsi="Verdana"/>
          <w:color w:val="000000" w:themeColor="text1"/>
          <w:sz w:val="20"/>
          <w:szCs w:val="20"/>
          <w:lang w:val="en-US"/>
        </w:rPr>
        <w:t>20</w:t>
      </w:r>
      <w:r w:rsidR="00642904" w:rsidRPr="009B3482">
        <w:rPr>
          <w:rFonts w:ascii="Verdana" w:hAnsi="Verdana"/>
          <w:color w:val="000000" w:themeColor="text1"/>
          <w:sz w:val="20"/>
          <w:szCs w:val="20"/>
          <w:lang w:val="en-US"/>
        </w:rPr>
        <w:t xml:space="preserve"> </w:t>
      </w:r>
      <w:r w:rsidR="00113EA6">
        <w:rPr>
          <w:rFonts w:ascii="Verdana" w:hAnsi="Verdana"/>
          <w:color w:val="000000" w:themeColor="text1"/>
          <w:sz w:val="20"/>
          <w:szCs w:val="20"/>
          <w:lang w:val="en-US"/>
        </w:rPr>
        <w:t>jurisdictions</w:t>
      </w:r>
      <w:r w:rsidR="00F3395B" w:rsidRPr="009B3482">
        <w:rPr>
          <w:rFonts w:ascii="Verdana" w:hAnsi="Verdana"/>
          <w:color w:val="000000" w:themeColor="text1"/>
          <w:sz w:val="20"/>
          <w:szCs w:val="20"/>
          <w:lang w:val="en-US"/>
        </w:rPr>
        <w:t xml:space="preserve"> </w:t>
      </w:r>
      <w:r w:rsidR="005E3090">
        <w:rPr>
          <w:rFonts w:ascii="Verdana" w:hAnsi="Verdana"/>
          <w:color w:val="000000" w:themeColor="text1"/>
          <w:sz w:val="20"/>
          <w:szCs w:val="20"/>
          <w:lang w:val="en-US"/>
        </w:rPr>
        <w:t xml:space="preserve">(excluding China) </w:t>
      </w:r>
      <w:r w:rsidR="00F3395B" w:rsidRPr="009B3482">
        <w:rPr>
          <w:rFonts w:ascii="Verdana" w:hAnsi="Verdana"/>
          <w:color w:val="000000" w:themeColor="text1"/>
          <w:sz w:val="20"/>
          <w:szCs w:val="20"/>
          <w:lang w:val="en-US"/>
        </w:rPr>
        <w:t xml:space="preserve">on </w:t>
      </w:r>
      <w:r w:rsidR="009E4063" w:rsidRPr="009B3482">
        <w:rPr>
          <w:rFonts w:ascii="Verdana" w:hAnsi="Verdana"/>
          <w:color w:val="000000" w:themeColor="text1"/>
          <w:sz w:val="20"/>
          <w:szCs w:val="20"/>
          <w:lang w:val="en-US"/>
        </w:rPr>
        <w:t xml:space="preserve">the Basel </w:t>
      </w:r>
      <w:r w:rsidR="00957CD8" w:rsidRPr="009B3482">
        <w:rPr>
          <w:rFonts w:ascii="Verdana" w:hAnsi="Verdana"/>
          <w:color w:val="000000" w:themeColor="text1"/>
          <w:sz w:val="20"/>
          <w:szCs w:val="20"/>
          <w:lang w:val="en-US"/>
        </w:rPr>
        <w:t xml:space="preserve">AML </w:t>
      </w:r>
      <w:r w:rsidR="009E4063" w:rsidRPr="009B3482">
        <w:rPr>
          <w:rFonts w:ascii="Verdana" w:hAnsi="Verdana"/>
          <w:color w:val="000000" w:themeColor="text1"/>
          <w:sz w:val="20"/>
          <w:szCs w:val="20"/>
          <w:lang w:val="en-US"/>
        </w:rPr>
        <w:t>Index</w:t>
      </w:r>
      <w:r w:rsidRPr="009B3482">
        <w:rPr>
          <w:rFonts w:ascii="Verdana" w:hAnsi="Verdana"/>
          <w:color w:val="000000" w:themeColor="text1"/>
          <w:sz w:val="20"/>
          <w:szCs w:val="20"/>
          <w:lang w:val="en-US"/>
        </w:rPr>
        <w:t>,</w:t>
      </w:r>
      <w:r w:rsidR="009E4063" w:rsidRPr="009B3482">
        <w:rPr>
          <w:rFonts w:ascii="Verdana" w:hAnsi="Verdana"/>
          <w:color w:val="000000" w:themeColor="text1"/>
          <w:sz w:val="20"/>
          <w:szCs w:val="20"/>
          <w:lang w:val="en-US"/>
        </w:rPr>
        <w:t xml:space="preserve"> issued by the </w:t>
      </w:r>
      <w:r w:rsidR="00957CD8" w:rsidRPr="009B3482">
        <w:rPr>
          <w:rFonts w:ascii="Verdana" w:hAnsi="Verdana"/>
          <w:color w:val="000000" w:themeColor="text1"/>
          <w:sz w:val="20"/>
          <w:szCs w:val="20"/>
          <w:lang w:val="en-US"/>
        </w:rPr>
        <w:t>Basel Institute on Governance</w:t>
      </w:r>
      <w:r w:rsidR="009E4063" w:rsidRPr="009B3482">
        <w:rPr>
          <w:rFonts w:ascii="Verdana" w:hAnsi="Verdana"/>
          <w:color w:val="000000" w:themeColor="text1"/>
          <w:sz w:val="20"/>
          <w:szCs w:val="20"/>
          <w:lang w:val="en-US"/>
        </w:rPr>
        <w:t xml:space="preserve">. </w:t>
      </w:r>
    </w:p>
    <w:p w14:paraId="0D2A13E7" w14:textId="77777777" w:rsidR="007F3AB6" w:rsidRPr="009B3482" w:rsidRDefault="007F3AB6" w:rsidP="00101474">
      <w:pPr>
        <w:pStyle w:val="ListParagraph"/>
        <w:jc w:val="both"/>
        <w:rPr>
          <w:rFonts w:ascii="Verdana" w:hAnsi="Verdana"/>
          <w:color w:val="000000" w:themeColor="text1"/>
          <w:sz w:val="20"/>
          <w:szCs w:val="20"/>
          <w:lang w:val="en-US"/>
        </w:rPr>
      </w:pPr>
    </w:p>
    <w:p w14:paraId="224A33AD" w14:textId="13E67F3E" w:rsidR="007F3AB6" w:rsidRPr="009B3482" w:rsidRDefault="007F3AB6" w:rsidP="00101474">
      <w:pPr>
        <w:pStyle w:val="NormalWeb"/>
        <w:numPr>
          <w:ilvl w:val="0"/>
          <w:numId w:val="24"/>
        </w:numPr>
        <w:spacing w:before="0" w:beforeAutospacing="0" w:after="0" w:afterAutospacing="0" w:line="276" w:lineRule="auto"/>
        <w:contextualSpacing/>
        <w:jc w:val="both"/>
        <w:rPr>
          <w:rFonts w:ascii="Verdana" w:eastAsiaTheme="minorHAnsi" w:hAnsi="Verdana" w:cstheme="minorBidi"/>
          <w:color w:val="000000" w:themeColor="text1"/>
          <w:sz w:val="20"/>
          <w:szCs w:val="20"/>
          <w:lang w:val="en-GB"/>
        </w:rPr>
      </w:pPr>
      <w:r w:rsidRPr="009B3482">
        <w:rPr>
          <w:rFonts w:ascii="Verdana" w:hAnsi="Verdana"/>
          <w:color w:val="000000" w:themeColor="text1"/>
          <w:sz w:val="20"/>
          <w:szCs w:val="20"/>
          <w:lang w:val="en-US"/>
        </w:rPr>
        <w:t>The rating scale used to determine inherent risks</w:t>
      </w:r>
      <w:r w:rsidR="0037127F">
        <w:rPr>
          <w:rStyle w:val="FootnoteReference"/>
          <w:rFonts w:ascii="Verdana" w:hAnsi="Verdana"/>
          <w:color w:val="000000" w:themeColor="text1"/>
          <w:sz w:val="20"/>
          <w:szCs w:val="20"/>
          <w:lang w:val="en-US"/>
        </w:rPr>
        <w:footnoteReference w:id="4"/>
      </w:r>
      <w:r w:rsidRPr="009B3482">
        <w:rPr>
          <w:rFonts w:ascii="Verdana" w:hAnsi="Verdana"/>
          <w:color w:val="000000" w:themeColor="text1"/>
          <w:sz w:val="20"/>
          <w:szCs w:val="20"/>
          <w:lang w:val="en-US"/>
        </w:rPr>
        <w:t xml:space="preserve"> for the purpose of this exercise is as follows:</w:t>
      </w:r>
    </w:p>
    <w:p w14:paraId="13AD3484" w14:textId="77777777" w:rsidR="007F3AB6" w:rsidRPr="00101474" w:rsidRDefault="007F3AB6" w:rsidP="00101474">
      <w:pPr>
        <w:pStyle w:val="NormalWeb"/>
        <w:spacing w:before="0" w:beforeAutospacing="0" w:after="0" w:afterAutospacing="0" w:line="276" w:lineRule="auto"/>
        <w:ind w:right="-6"/>
        <w:contextualSpacing/>
        <w:jc w:val="both"/>
        <w:rPr>
          <w:rFonts w:ascii="Verdana" w:eastAsiaTheme="minorHAnsi" w:hAnsi="Verdana"/>
          <w:color w:val="000000" w:themeColor="text1"/>
          <w:sz w:val="20"/>
          <w:szCs w:val="20"/>
          <w:lang w:val="en-US"/>
        </w:rPr>
      </w:pPr>
    </w:p>
    <w:tbl>
      <w:tblPr>
        <w:tblStyle w:val="TableGrid"/>
        <w:tblW w:w="0" w:type="auto"/>
        <w:jc w:val="center"/>
        <w:tblLook w:val="04A0" w:firstRow="1" w:lastRow="0" w:firstColumn="1" w:lastColumn="0" w:noHBand="0" w:noVBand="1"/>
      </w:tblPr>
      <w:tblGrid>
        <w:gridCol w:w="2263"/>
        <w:gridCol w:w="1602"/>
      </w:tblGrid>
      <w:tr w:rsidR="007F3AB6" w:rsidRPr="00101474" w14:paraId="1127FBFC" w14:textId="77777777" w:rsidTr="00993147">
        <w:trPr>
          <w:jc w:val="center"/>
        </w:trPr>
        <w:tc>
          <w:tcPr>
            <w:tcW w:w="2263" w:type="dxa"/>
            <w:shd w:val="clear" w:color="auto" w:fill="00B050"/>
          </w:tcPr>
          <w:p w14:paraId="76C4560F" w14:textId="48545696" w:rsidR="007F3AB6" w:rsidRPr="00101474" w:rsidRDefault="005A6EF1" w:rsidP="00101474">
            <w:pPr>
              <w:pStyle w:val="NormalWeb"/>
              <w:jc w:val="both"/>
              <w:rPr>
                <w:rFonts w:ascii="Verdana" w:hAnsi="Verdana"/>
                <w:color w:val="191919"/>
                <w:sz w:val="20"/>
                <w:szCs w:val="20"/>
              </w:rPr>
            </w:pPr>
            <w:r>
              <w:rPr>
                <w:rFonts w:ascii="Verdana" w:hAnsi="Verdana"/>
                <w:color w:val="191919"/>
                <w:sz w:val="20"/>
                <w:szCs w:val="20"/>
              </w:rPr>
              <w:t>L</w:t>
            </w:r>
            <w:r w:rsidR="007F3AB6" w:rsidRPr="00101474">
              <w:rPr>
                <w:rFonts w:ascii="Verdana" w:hAnsi="Verdana"/>
                <w:color w:val="191919"/>
                <w:sz w:val="20"/>
                <w:szCs w:val="20"/>
              </w:rPr>
              <w:t>ow</w:t>
            </w:r>
          </w:p>
        </w:tc>
        <w:tc>
          <w:tcPr>
            <w:tcW w:w="1602" w:type="dxa"/>
          </w:tcPr>
          <w:p w14:paraId="652680CC" w14:textId="39D3F02E" w:rsidR="007F3AB6" w:rsidRPr="00101474" w:rsidRDefault="007F3AB6" w:rsidP="00101474">
            <w:pPr>
              <w:pStyle w:val="NormalWeb"/>
              <w:jc w:val="both"/>
              <w:rPr>
                <w:rFonts w:ascii="Verdana" w:hAnsi="Verdana"/>
                <w:color w:val="191919"/>
                <w:sz w:val="20"/>
                <w:szCs w:val="20"/>
              </w:rPr>
            </w:pPr>
            <w:r w:rsidRPr="00101474">
              <w:rPr>
                <w:rFonts w:ascii="Verdana" w:hAnsi="Verdana"/>
                <w:color w:val="191919"/>
                <w:sz w:val="20"/>
                <w:szCs w:val="20"/>
              </w:rPr>
              <w:t>0 - 10%</w:t>
            </w:r>
          </w:p>
        </w:tc>
      </w:tr>
      <w:tr w:rsidR="007F3AB6" w:rsidRPr="00101474" w14:paraId="7B5EBABC" w14:textId="77777777" w:rsidTr="00993147">
        <w:trPr>
          <w:jc w:val="center"/>
        </w:trPr>
        <w:tc>
          <w:tcPr>
            <w:tcW w:w="2263" w:type="dxa"/>
            <w:shd w:val="clear" w:color="auto" w:fill="FFFF00"/>
          </w:tcPr>
          <w:p w14:paraId="45FABF46" w14:textId="14601E16" w:rsidR="007F3AB6" w:rsidRPr="00101474" w:rsidRDefault="005A6EF1" w:rsidP="00101474">
            <w:pPr>
              <w:pStyle w:val="NormalWeb"/>
              <w:jc w:val="both"/>
              <w:rPr>
                <w:rFonts w:ascii="Verdana" w:hAnsi="Verdana"/>
                <w:color w:val="191919"/>
                <w:sz w:val="20"/>
                <w:szCs w:val="20"/>
              </w:rPr>
            </w:pPr>
            <w:r>
              <w:rPr>
                <w:rFonts w:ascii="Verdana" w:hAnsi="Verdana"/>
                <w:color w:val="191919"/>
                <w:sz w:val="20"/>
                <w:szCs w:val="20"/>
              </w:rPr>
              <w:t>M</w:t>
            </w:r>
            <w:r w:rsidR="007F3AB6" w:rsidRPr="00101474">
              <w:rPr>
                <w:rFonts w:ascii="Verdana" w:hAnsi="Verdana"/>
                <w:color w:val="191919"/>
                <w:sz w:val="20"/>
                <w:szCs w:val="20"/>
              </w:rPr>
              <w:t>edium-low</w:t>
            </w:r>
          </w:p>
        </w:tc>
        <w:tc>
          <w:tcPr>
            <w:tcW w:w="1602" w:type="dxa"/>
          </w:tcPr>
          <w:p w14:paraId="3F88BA45" w14:textId="4F58A60C" w:rsidR="007F3AB6" w:rsidRPr="00101474" w:rsidRDefault="007F3AB6" w:rsidP="00101474">
            <w:pPr>
              <w:pStyle w:val="NormalWeb"/>
              <w:jc w:val="both"/>
              <w:rPr>
                <w:rFonts w:ascii="Verdana" w:hAnsi="Verdana"/>
                <w:color w:val="191919"/>
                <w:sz w:val="20"/>
                <w:szCs w:val="20"/>
              </w:rPr>
            </w:pPr>
            <w:r w:rsidRPr="00101474">
              <w:rPr>
                <w:rFonts w:ascii="Verdana" w:hAnsi="Verdana"/>
                <w:color w:val="191919"/>
                <w:sz w:val="20"/>
                <w:szCs w:val="20"/>
              </w:rPr>
              <w:t>11 - 30%</w:t>
            </w:r>
          </w:p>
        </w:tc>
      </w:tr>
      <w:tr w:rsidR="007F3AB6" w:rsidRPr="00101474" w14:paraId="650903F9" w14:textId="77777777" w:rsidTr="00993147">
        <w:trPr>
          <w:jc w:val="center"/>
        </w:trPr>
        <w:tc>
          <w:tcPr>
            <w:tcW w:w="2263" w:type="dxa"/>
            <w:shd w:val="clear" w:color="auto" w:fill="FFC000"/>
          </w:tcPr>
          <w:p w14:paraId="7C2EBE0C" w14:textId="26A566EF" w:rsidR="007F3AB6" w:rsidRPr="00101474" w:rsidRDefault="005A6EF1" w:rsidP="00101474">
            <w:pPr>
              <w:pStyle w:val="NormalWeb"/>
              <w:jc w:val="both"/>
              <w:rPr>
                <w:rFonts w:ascii="Verdana" w:hAnsi="Verdana"/>
                <w:color w:val="191919"/>
                <w:sz w:val="20"/>
                <w:szCs w:val="20"/>
              </w:rPr>
            </w:pPr>
            <w:r>
              <w:rPr>
                <w:rFonts w:ascii="Verdana" w:hAnsi="Verdana"/>
                <w:color w:val="191919"/>
                <w:sz w:val="20"/>
                <w:szCs w:val="20"/>
              </w:rPr>
              <w:t>M</w:t>
            </w:r>
            <w:r w:rsidR="007F3AB6" w:rsidRPr="00101474">
              <w:rPr>
                <w:rFonts w:ascii="Verdana" w:hAnsi="Verdana"/>
                <w:color w:val="191919"/>
                <w:sz w:val="20"/>
                <w:szCs w:val="20"/>
              </w:rPr>
              <w:t>edium-high</w:t>
            </w:r>
          </w:p>
        </w:tc>
        <w:tc>
          <w:tcPr>
            <w:tcW w:w="1602" w:type="dxa"/>
          </w:tcPr>
          <w:p w14:paraId="283DC706" w14:textId="38CAF0D1" w:rsidR="007F3AB6" w:rsidRPr="00101474" w:rsidRDefault="007F3AB6" w:rsidP="00101474">
            <w:pPr>
              <w:pStyle w:val="NormalWeb"/>
              <w:jc w:val="both"/>
              <w:rPr>
                <w:rFonts w:ascii="Verdana" w:hAnsi="Verdana"/>
                <w:color w:val="191919"/>
                <w:sz w:val="20"/>
                <w:szCs w:val="20"/>
              </w:rPr>
            </w:pPr>
            <w:r w:rsidRPr="00101474">
              <w:rPr>
                <w:rFonts w:ascii="Verdana" w:hAnsi="Verdana"/>
                <w:color w:val="191919"/>
                <w:sz w:val="20"/>
                <w:szCs w:val="20"/>
              </w:rPr>
              <w:t xml:space="preserve">31 - </w:t>
            </w:r>
            <w:r w:rsidR="0044225A" w:rsidRPr="00101474">
              <w:rPr>
                <w:rFonts w:ascii="Verdana" w:hAnsi="Verdana"/>
                <w:color w:val="191919"/>
                <w:sz w:val="20"/>
                <w:szCs w:val="20"/>
              </w:rPr>
              <w:t>6</w:t>
            </w:r>
            <w:r w:rsidRPr="00101474">
              <w:rPr>
                <w:rFonts w:ascii="Verdana" w:hAnsi="Verdana"/>
                <w:color w:val="191919"/>
                <w:sz w:val="20"/>
                <w:szCs w:val="20"/>
              </w:rPr>
              <w:t>0%</w:t>
            </w:r>
          </w:p>
        </w:tc>
      </w:tr>
      <w:tr w:rsidR="007F3AB6" w:rsidRPr="00101474" w14:paraId="7B0FE7A2" w14:textId="77777777" w:rsidTr="00993147">
        <w:trPr>
          <w:jc w:val="center"/>
        </w:trPr>
        <w:tc>
          <w:tcPr>
            <w:tcW w:w="2263" w:type="dxa"/>
            <w:shd w:val="clear" w:color="auto" w:fill="FF0000"/>
          </w:tcPr>
          <w:p w14:paraId="25EA5CA6" w14:textId="3E8C795C" w:rsidR="007F3AB6" w:rsidRPr="00101474" w:rsidRDefault="005A6EF1" w:rsidP="00101474">
            <w:pPr>
              <w:pStyle w:val="NormalWeb"/>
              <w:jc w:val="both"/>
              <w:rPr>
                <w:rFonts w:ascii="Verdana" w:hAnsi="Verdana"/>
                <w:color w:val="191919"/>
                <w:sz w:val="20"/>
                <w:szCs w:val="20"/>
              </w:rPr>
            </w:pPr>
            <w:r>
              <w:rPr>
                <w:rFonts w:ascii="Verdana" w:hAnsi="Verdana"/>
                <w:color w:val="191919"/>
                <w:sz w:val="20"/>
                <w:szCs w:val="20"/>
              </w:rPr>
              <w:t>H</w:t>
            </w:r>
            <w:r w:rsidR="007F3AB6" w:rsidRPr="00101474">
              <w:rPr>
                <w:rFonts w:ascii="Verdana" w:hAnsi="Verdana"/>
                <w:color w:val="191919"/>
                <w:sz w:val="20"/>
                <w:szCs w:val="20"/>
              </w:rPr>
              <w:t>igh</w:t>
            </w:r>
          </w:p>
        </w:tc>
        <w:tc>
          <w:tcPr>
            <w:tcW w:w="1602" w:type="dxa"/>
          </w:tcPr>
          <w:p w14:paraId="2AF10314" w14:textId="5C854CED" w:rsidR="007F3AB6" w:rsidRPr="00101474" w:rsidRDefault="0044225A" w:rsidP="00101474">
            <w:pPr>
              <w:pStyle w:val="NormalWeb"/>
              <w:jc w:val="both"/>
              <w:rPr>
                <w:rFonts w:ascii="Verdana" w:hAnsi="Verdana"/>
                <w:color w:val="191919"/>
                <w:sz w:val="20"/>
                <w:szCs w:val="20"/>
              </w:rPr>
            </w:pPr>
            <w:r w:rsidRPr="00101474">
              <w:rPr>
                <w:rFonts w:ascii="Verdana" w:hAnsi="Verdana"/>
                <w:color w:val="191919"/>
                <w:sz w:val="20"/>
                <w:szCs w:val="20"/>
              </w:rPr>
              <w:t>61</w:t>
            </w:r>
            <w:r w:rsidR="007F3AB6" w:rsidRPr="00101474">
              <w:rPr>
                <w:rFonts w:ascii="Verdana" w:hAnsi="Verdana"/>
                <w:color w:val="191919"/>
                <w:sz w:val="20"/>
                <w:szCs w:val="20"/>
              </w:rPr>
              <w:t>% or more</w:t>
            </w:r>
          </w:p>
        </w:tc>
      </w:tr>
    </w:tbl>
    <w:p w14:paraId="2C363C19" w14:textId="77777777" w:rsidR="007F3AB6" w:rsidRPr="00101474" w:rsidRDefault="007F3AB6" w:rsidP="00101474">
      <w:pPr>
        <w:pStyle w:val="Heading2"/>
        <w:numPr>
          <w:ilvl w:val="0"/>
          <w:numId w:val="0"/>
        </w:numPr>
        <w:jc w:val="both"/>
        <w:rPr>
          <w:rFonts w:ascii="Verdana" w:hAnsi="Verdana"/>
          <w:b/>
          <w:bCs/>
          <w:sz w:val="20"/>
          <w:szCs w:val="20"/>
          <w:lang w:val="en-US"/>
        </w:rPr>
      </w:pPr>
    </w:p>
    <w:p w14:paraId="37AC4381" w14:textId="08CA81D1" w:rsidR="00A231EA" w:rsidRPr="009B3482" w:rsidRDefault="005C7429" w:rsidP="00101474">
      <w:pPr>
        <w:pStyle w:val="ListParagraph"/>
        <w:numPr>
          <w:ilvl w:val="0"/>
          <w:numId w:val="24"/>
        </w:numPr>
        <w:spacing w:line="276" w:lineRule="auto"/>
        <w:jc w:val="both"/>
        <w:rPr>
          <w:rFonts w:ascii="Verdana" w:hAnsi="Verdana"/>
          <w:color w:val="000000" w:themeColor="text1"/>
          <w:sz w:val="20"/>
          <w:szCs w:val="20"/>
        </w:rPr>
      </w:pPr>
      <w:r w:rsidRPr="009B3482">
        <w:rPr>
          <w:rFonts w:ascii="Verdana" w:hAnsi="Verdana"/>
          <w:color w:val="000000" w:themeColor="text1"/>
          <w:sz w:val="20"/>
          <w:szCs w:val="20"/>
        </w:rPr>
        <w:t xml:space="preserve">The results of the </w:t>
      </w:r>
      <w:r w:rsidR="00E46D41">
        <w:rPr>
          <w:rFonts w:ascii="Verdana" w:hAnsi="Verdana"/>
          <w:color w:val="000000" w:themeColor="text1"/>
          <w:sz w:val="20"/>
          <w:szCs w:val="20"/>
        </w:rPr>
        <w:t xml:space="preserve">SIB Licensees </w:t>
      </w:r>
      <w:r w:rsidRPr="009B3482">
        <w:rPr>
          <w:rFonts w:ascii="Verdana" w:hAnsi="Verdana"/>
          <w:color w:val="000000" w:themeColor="text1"/>
          <w:sz w:val="20"/>
          <w:szCs w:val="20"/>
        </w:rPr>
        <w:t xml:space="preserve">risk </w:t>
      </w:r>
      <w:r w:rsidR="00A76573" w:rsidRPr="009B3482">
        <w:rPr>
          <w:rFonts w:ascii="Verdana" w:hAnsi="Verdana"/>
          <w:color w:val="000000" w:themeColor="text1"/>
          <w:sz w:val="20"/>
          <w:szCs w:val="20"/>
        </w:rPr>
        <w:t xml:space="preserve">assessment </w:t>
      </w:r>
      <w:r w:rsidR="00E46D41">
        <w:rPr>
          <w:rFonts w:ascii="Verdana" w:hAnsi="Verdana"/>
          <w:color w:val="000000" w:themeColor="text1"/>
          <w:sz w:val="20"/>
          <w:szCs w:val="20"/>
        </w:rPr>
        <w:t>are consistent with</w:t>
      </w:r>
      <w:r w:rsidRPr="009B3482">
        <w:rPr>
          <w:rFonts w:ascii="Verdana" w:hAnsi="Verdana"/>
          <w:color w:val="000000" w:themeColor="text1"/>
          <w:sz w:val="20"/>
          <w:szCs w:val="20"/>
        </w:rPr>
        <w:t xml:space="preserve"> the </w:t>
      </w:r>
      <w:r w:rsidR="00A231EA" w:rsidRPr="009B3482">
        <w:rPr>
          <w:rFonts w:ascii="Verdana" w:hAnsi="Verdana"/>
          <w:color w:val="000000" w:themeColor="text1"/>
          <w:sz w:val="20"/>
          <w:szCs w:val="20"/>
        </w:rPr>
        <w:t xml:space="preserve">original </w:t>
      </w:r>
      <w:r w:rsidRPr="009B3482">
        <w:rPr>
          <w:rFonts w:ascii="Verdana" w:hAnsi="Verdana"/>
          <w:color w:val="000000" w:themeColor="text1"/>
          <w:sz w:val="20"/>
          <w:szCs w:val="20"/>
        </w:rPr>
        <w:t xml:space="preserve">findings in the </w:t>
      </w:r>
      <w:r w:rsidR="00A231EA" w:rsidRPr="009B3482">
        <w:rPr>
          <w:rFonts w:ascii="Verdana" w:hAnsi="Verdana"/>
          <w:color w:val="000000" w:themeColor="text1"/>
          <w:sz w:val="20"/>
          <w:szCs w:val="20"/>
        </w:rPr>
        <w:t xml:space="preserve">2015 </w:t>
      </w:r>
      <w:r w:rsidRPr="009B3482">
        <w:rPr>
          <w:rFonts w:ascii="Verdana" w:hAnsi="Verdana"/>
          <w:color w:val="000000" w:themeColor="text1"/>
          <w:sz w:val="20"/>
          <w:szCs w:val="20"/>
        </w:rPr>
        <w:t xml:space="preserve">NRA </w:t>
      </w:r>
      <w:r w:rsidR="00A231EA" w:rsidRPr="009B3482">
        <w:rPr>
          <w:rFonts w:ascii="Verdana" w:hAnsi="Verdana"/>
          <w:color w:val="000000" w:themeColor="text1"/>
          <w:sz w:val="20"/>
          <w:szCs w:val="20"/>
        </w:rPr>
        <w:t xml:space="preserve">whereby </w:t>
      </w:r>
      <w:r w:rsidRPr="009B3482">
        <w:rPr>
          <w:rFonts w:ascii="Verdana" w:hAnsi="Verdana"/>
          <w:color w:val="000000" w:themeColor="text1"/>
          <w:sz w:val="20"/>
          <w:szCs w:val="20"/>
        </w:rPr>
        <w:t xml:space="preserve">the </w:t>
      </w:r>
      <w:r w:rsidR="00E46D41">
        <w:rPr>
          <w:rFonts w:ascii="Verdana" w:hAnsi="Verdana"/>
          <w:color w:val="000000" w:themeColor="text1"/>
          <w:sz w:val="20"/>
          <w:szCs w:val="20"/>
        </w:rPr>
        <w:t>securities investment business sector</w:t>
      </w:r>
      <w:r w:rsidR="00A231EA" w:rsidRPr="009B3482">
        <w:rPr>
          <w:rFonts w:ascii="Verdana" w:hAnsi="Verdana"/>
          <w:color w:val="000000" w:themeColor="text1"/>
          <w:sz w:val="20"/>
          <w:szCs w:val="20"/>
        </w:rPr>
        <w:t xml:space="preserve"> </w:t>
      </w:r>
      <w:r w:rsidRPr="009B3482">
        <w:rPr>
          <w:rFonts w:ascii="Verdana" w:hAnsi="Verdana"/>
          <w:color w:val="000000" w:themeColor="text1"/>
          <w:sz w:val="20"/>
          <w:szCs w:val="20"/>
        </w:rPr>
        <w:t>carr</w:t>
      </w:r>
      <w:r w:rsidR="00E101E5">
        <w:rPr>
          <w:rFonts w:ascii="Verdana" w:hAnsi="Verdana"/>
          <w:color w:val="000000" w:themeColor="text1"/>
          <w:sz w:val="20"/>
          <w:szCs w:val="20"/>
        </w:rPr>
        <w:t>y</w:t>
      </w:r>
      <w:r w:rsidRPr="009B3482">
        <w:rPr>
          <w:rFonts w:ascii="Verdana" w:hAnsi="Verdana"/>
          <w:color w:val="000000" w:themeColor="text1"/>
          <w:sz w:val="20"/>
          <w:szCs w:val="20"/>
        </w:rPr>
        <w:t xml:space="preserve"> a medium-high risk.</w:t>
      </w:r>
      <w:r w:rsidR="006545C6">
        <w:rPr>
          <w:rFonts w:ascii="Verdana" w:hAnsi="Verdana"/>
          <w:color w:val="000000" w:themeColor="text1"/>
          <w:sz w:val="20"/>
          <w:szCs w:val="20"/>
        </w:rPr>
        <w:t xml:space="preserve"> Factors such as the geographical span of customers across higher risk jurisdictions, coupled with the </w:t>
      </w:r>
      <w:r w:rsidR="006545C6" w:rsidRPr="00B80904">
        <w:rPr>
          <w:rFonts w:ascii="Verdana" w:hAnsi="Verdana" w:cstheme="minorHAnsi"/>
          <w:color w:val="000000" w:themeColor="text1"/>
          <w:sz w:val="20"/>
          <w:szCs w:val="20"/>
          <w:lang w:val="en-US"/>
        </w:rPr>
        <w:t xml:space="preserve">onboarding and vetting of </w:t>
      </w:r>
      <w:r w:rsidR="006545C6">
        <w:rPr>
          <w:rFonts w:ascii="Verdana" w:hAnsi="Verdana" w:cstheme="minorHAnsi"/>
          <w:color w:val="000000" w:themeColor="text1"/>
          <w:sz w:val="20"/>
          <w:szCs w:val="20"/>
          <w:lang w:val="en-US"/>
        </w:rPr>
        <w:t>customers</w:t>
      </w:r>
      <w:r w:rsidR="006545C6" w:rsidRPr="00B80904">
        <w:rPr>
          <w:rFonts w:ascii="Verdana" w:hAnsi="Verdana" w:cstheme="minorHAnsi"/>
          <w:color w:val="000000" w:themeColor="text1"/>
          <w:sz w:val="20"/>
          <w:szCs w:val="20"/>
          <w:lang w:val="en-US"/>
        </w:rPr>
        <w:t xml:space="preserve"> through non-face-to-face channels,</w:t>
      </w:r>
      <w:r w:rsidR="006545C6">
        <w:rPr>
          <w:rFonts w:ascii="Verdana" w:hAnsi="Verdana" w:cstheme="minorHAnsi"/>
          <w:color w:val="000000" w:themeColor="text1"/>
          <w:sz w:val="20"/>
          <w:szCs w:val="20"/>
          <w:lang w:val="en-US"/>
        </w:rPr>
        <w:t xml:space="preserve"> methods of payment and cross border nature</w:t>
      </w:r>
      <w:r w:rsidR="00017990">
        <w:rPr>
          <w:rFonts w:ascii="Verdana" w:hAnsi="Verdana" w:cstheme="minorHAnsi"/>
          <w:color w:val="000000" w:themeColor="text1"/>
          <w:sz w:val="20"/>
          <w:szCs w:val="20"/>
          <w:lang w:val="en-US"/>
        </w:rPr>
        <w:t>, frequency and type</w:t>
      </w:r>
      <w:r w:rsidR="006545C6">
        <w:rPr>
          <w:rFonts w:ascii="Verdana" w:hAnsi="Verdana" w:cstheme="minorHAnsi"/>
          <w:color w:val="000000" w:themeColor="text1"/>
          <w:sz w:val="20"/>
          <w:szCs w:val="20"/>
          <w:lang w:val="en-US"/>
        </w:rPr>
        <w:t xml:space="preserve"> of transactions of these SIB Licensees increase the vulnerability to ML/TF risks</w:t>
      </w:r>
      <w:r w:rsidR="00017990">
        <w:rPr>
          <w:rFonts w:ascii="Verdana" w:hAnsi="Verdana" w:cstheme="minorHAnsi"/>
          <w:color w:val="000000" w:themeColor="text1"/>
          <w:sz w:val="20"/>
          <w:szCs w:val="20"/>
          <w:lang w:val="en-US"/>
        </w:rPr>
        <w:t>.</w:t>
      </w:r>
    </w:p>
    <w:p w14:paraId="66A67D15" w14:textId="77777777" w:rsidR="00A231EA" w:rsidRPr="009B3482" w:rsidRDefault="00A231EA" w:rsidP="00101474">
      <w:pPr>
        <w:pStyle w:val="ListParagraph"/>
        <w:spacing w:line="276" w:lineRule="auto"/>
        <w:ind w:left="0"/>
        <w:jc w:val="both"/>
        <w:rPr>
          <w:rFonts w:ascii="Verdana" w:hAnsi="Verdana"/>
          <w:color w:val="000000" w:themeColor="text1"/>
          <w:sz w:val="20"/>
          <w:szCs w:val="20"/>
        </w:rPr>
      </w:pPr>
    </w:p>
    <w:p w14:paraId="1C198AF0" w14:textId="4D04C0DC" w:rsidR="005C7429" w:rsidRPr="009B3482" w:rsidRDefault="002E1117" w:rsidP="00101474">
      <w:pPr>
        <w:pStyle w:val="ListParagraph"/>
        <w:numPr>
          <w:ilvl w:val="0"/>
          <w:numId w:val="24"/>
        </w:numPr>
        <w:spacing w:line="276" w:lineRule="auto"/>
        <w:jc w:val="both"/>
        <w:rPr>
          <w:rFonts w:ascii="Verdana" w:hAnsi="Verdana"/>
          <w:color w:val="000000" w:themeColor="text1"/>
          <w:sz w:val="20"/>
          <w:szCs w:val="20"/>
        </w:rPr>
      </w:pPr>
      <w:r>
        <w:rPr>
          <w:rFonts w:ascii="Verdana" w:hAnsi="Verdana"/>
          <w:color w:val="000000" w:themeColor="text1"/>
          <w:sz w:val="20"/>
          <w:szCs w:val="20"/>
        </w:rPr>
        <w:t>The inherent risk ratings, assigned to the</w:t>
      </w:r>
      <w:r w:rsidR="005C7429" w:rsidRPr="009B3482">
        <w:rPr>
          <w:rFonts w:ascii="Verdana" w:hAnsi="Verdana"/>
          <w:color w:val="000000" w:themeColor="text1"/>
          <w:sz w:val="20"/>
          <w:szCs w:val="20"/>
        </w:rPr>
        <w:t xml:space="preserve"> </w:t>
      </w:r>
      <w:r>
        <w:rPr>
          <w:rFonts w:ascii="Verdana" w:hAnsi="Verdana"/>
          <w:color w:val="000000" w:themeColor="text1"/>
          <w:sz w:val="20"/>
          <w:szCs w:val="20"/>
        </w:rPr>
        <w:t xml:space="preserve">sectoral risk allocation for </w:t>
      </w:r>
      <w:r w:rsidR="00A71DC5" w:rsidRPr="009B3482">
        <w:rPr>
          <w:rFonts w:ascii="Verdana" w:hAnsi="Verdana"/>
          <w:color w:val="000000" w:themeColor="text1"/>
          <w:sz w:val="20"/>
          <w:szCs w:val="20"/>
        </w:rPr>
        <w:t>SIB Licensee</w:t>
      </w:r>
      <w:r>
        <w:rPr>
          <w:rFonts w:ascii="Verdana" w:hAnsi="Verdana"/>
          <w:color w:val="000000" w:themeColor="text1"/>
          <w:sz w:val="20"/>
          <w:szCs w:val="20"/>
        </w:rPr>
        <w:t>s</w:t>
      </w:r>
      <w:r w:rsidR="00A71DC5" w:rsidRPr="009B3482">
        <w:rPr>
          <w:rFonts w:ascii="Verdana" w:hAnsi="Verdana"/>
          <w:color w:val="000000" w:themeColor="text1"/>
          <w:sz w:val="20"/>
          <w:szCs w:val="20"/>
        </w:rPr>
        <w:t xml:space="preserve"> </w:t>
      </w:r>
      <w:r>
        <w:rPr>
          <w:rFonts w:ascii="Verdana" w:hAnsi="Verdana"/>
          <w:color w:val="000000" w:themeColor="text1"/>
          <w:sz w:val="20"/>
          <w:szCs w:val="20"/>
        </w:rPr>
        <w:t xml:space="preserve">broken down </w:t>
      </w:r>
      <w:r w:rsidR="005C7429" w:rsidRPr="009B3482">
        <w:rPr>
          <w:rFonts w:ascii="Verdana" w:hAnsi="Verdana"/>
          <w:color w:val="000000" w:themeColor="text1"/>
          <w:sz w:val="20"/>
          <w:szCs w:val="20"/>
        </w:rPr>
        <w:t>into structural, customer, product</w:t>
      </w:r>
      <w:r w:rsidR="00757859" w:rsidRPr="009B3482">
        <w:rPr>
          <w:rFonts w:ascii="Verdana" w:hAnsi="Verdana"/>
          <w:color w:val="000000" w:themeColor="text1"/>
          <w:sz w:val="20"/>
          <w:szCs w:val="20"/>
        </w:rPr>
        <w:t xml:space="preserve"> and </w:t>
      </w:r>
      <w:r w:rsidR="005C7429" w:rsidRPr="009B3482">
        <w:rPr>
          <w:rFonts w:ascii="Verdana" w:hAnsi="Verdana"/>
          <w:color w:val="000000" w:themeColor="text1"/>
          <w:sz w:val="20"/>
          <w:szCs w:val="20"/>
        </w:rPr>
        <w:t>service, delivery channel and geographic risk</w:t>
      </w:r>
      <w:r>
        <w:rPr>
          <w:rFonts w:ascii="Verdana" w:hAnsi="Verdana"/>
          <w:color w:val="000000" w:themeColor="text1"/>
          <w:sz w:val="20"/>
          <w:szCs w:val="20"/>
        </w:rPr>
        <w:t>, is as follows</w:t>
      </w:r>
      <w:r w:rsidR="005C7429" w:rsidRPr="009B3482">
        <w:rPr>
          <w:rFonts w:ascii="Verdana" w:hAnsi="Verdana"/>
          <w:color w:val="000000" w:themeColor="text1"/>
          <w:sz w:val="20"/>
          <w:szCs w:val="20"/>
        </w:rPr>
        <w:t>:</w:t>
      </w:r>
    </w:p>
    <w:p w14:paraId="1AF3D9C7" w14:textId="77777777" w:rsidR="005C7429" w:rsidRPr="00101474" w:rsidRDefault="005C7429" w:rsidP="00101474">
      <w:pPr>
        <w:pStyle w:val="ListParagraph"/>
        <w:jc w:val="both"/>
        <w:rPr>
          <w:rFonts w:ascii="Verdana" w:hAnsi="Verdana"/>
          <w:color w:val="000000" w:themeColor="text1"/>
          <w:sz w:val="20"/>
          <w:szCs w:val="20"/>
        </w:rPr>
      </w:pPr>
    </w:p>
    <w:tbl>
      <w:tblPr>
        <w:tblStyle w:val="TableGrid"/>
        <w:tblW w:w="8550" w:type="dxa"/>
        <w:tblInd w:w="535" w:type="dxa"/>
        <w:tblLook w:val="04A0" w:firstRow="1" w:lastRow="0" w:firstColumn="1" w:lastColumn="0" w:noHBand="0" w:noVBand="1"/>
      </w:tblPr>
      <w:tblGrid>
        <w:gridCol w:w="3015"/>
        <w:gridCol w:w="5535"/>
      </w:tblGrid>
      <w:tr w:rsidR="00F936F2" w:rsidRPr="00674312" w14:paraId="3E1DDE68" w14:textId="77777777" w:rsidTr="00BB152E">
        <w:tc>
          <w:tcPr>
            <w:tcW w:w="3015" w:type="dxa"/>
            <w:shd w:val="clear" w:color="auto" w:fill="FFC000"/>
          </w:tcPr>
          <w:p w14:paraId="17F670CD" w14:textId="5A5E3882" w:rsidR="005C7429" w:rsidRPr="00674312" w:rsidRDefault="00674312" w:rsidP="00101474">
            <w:pPr>
              <w:spacing w:before="100" w:beforeAutospacing="1" w:after="100" w:afterAutospacing="1"/>
              <w:jc w:val="both"/>
              <w:rPr>
                <w:rFonts w:ascii="Verdana" w:eastAsia="Times New Roman" w:hAnsi="Verdana" w:cs="Times New Roman"/>
                <w:color w:val="191919"/>
                <w:sz w:val="20"/>
                <w:szCs w:val="20"/>
                <w:lang w:val="en-US" w:eastAsia="en-GB"/>
              </w:rPr>
            </w:pPr>
            <w:bookmarkStart w:id="9" w:name="_Hlk30520226"/>
            <w:r>
              <w:rPr>
                <w:rFonts w:ascii="Verdana" w:eastAsia="Times New Roman" w:hAnsi="Verdana" w:cs="Times New Roman"/>
                <w:color w:val="191919"/>
                <w:sz w:val="20"/>
                <w:szCs w:val="20"/>
                <w:lang w:val="en-US" w:eastAsia="en-GB"/>
              </w:rPr>
              <w:t>Nature, Size and Complexity</w:t>
            </w:r>
          </w:p>
        </w:tc>
        <w:tc>
          <w:tcPr>
            <w:tcW w:w="5535" w:type="dxa"/>
            <w:shd w:val="clear" w:color="auto" w:fill="FFC000"/>
          </w:tcPr>
          <w:p w14:paraId="64522337" w14:textId="0BCC8532" w:rsidR="005C7429" w:rsidRPr="00674312" w:rsidRDefault="00A21504" w:rsidP="00101474">
            <w:pPr>
              <w:spacing w:before="100" w:beforeAutospacing="1" w:after="100" w:afterAutospacing="1"/>
              <w:jc w:val="both"/>
              <w:rPr>
                <w:rFonts w:ascii="Verdana" w:eastAsia="Times New Roman" w:hAnsi="Verdana" w:cs="Times New Roman"/>
                <w:color w:val="191919"/>
                <w:sz w:val="20"/>
                <w:szCs w:val="20"/>
                <w:lang w:val="en-US" w:eastAsia="en-GB"/>
              </w:rPr>
            </w:pPr>
            <w:r>
              <w:rPr>
                <w:rFonts w:ascii="Verdana" w:eastAsia="Times New Roman" w:hAnsi="Verdana" w:cs="Times New Roman"/>
                <w:color w:val="191919"/>
                <w:sz w:val="20"/>
                <w:szCs w:val="20"/>
                <w:lang w:val="en-US" w:eastAsia="en-GB"/>
              </w:rPr>
              <w:t>Medium-high</w:t>
            </w:r>
          </w:p>
        </w:tc>
      </w:tr>
      <w:tr w:rsidR="005C7429" w:rsidRPr="00101474" w14:paraId="536D7FE0" w14:textId="77777777" w:rsidTr="00B47CAF">
        <w:tc>
          <w:tcPr>
            <w:tcW w:w="3015" w:type="dxa"/>
            <w:tcBorders>
              <w:bottom w:val="single" w:sz="4" w:space="0" w:color="auto"/>
            </w:tcBorders>
            <w:shd w:val="clear" w:color="auto" w:fill="FFC000" w:themeFill="accent4"/>
          </w:tcPr>
          <w:p w14:paraId="1AEA0510" w14:textId="77777777" w:rsidR="005C7429" w:rsidRPr="00101474" w:rsidRDefault="005C7429" w:rsidP="00101474">
            <w:pPr>
              <w:spacing w:before="100" w:beforeAutospacing="1" w:after="100" w:afterAutospacing="1"/>
              <w:jc w:val="both"/>
              <w:rPr>
                <w:rFonts w:ascii="Verdana" w:eastAsia="Times New Roman" w:hAnsi="Verdana" w:cs="Times New Roman"/>
                <w:color w:val="191919"/>
                <w:sz w:val="20"/>
                <w:szCs w:val="20"/>
                <w:lang w:val="en-US" w:eastAsia="en-GB"/>
              </w:rPr>
            </w:pPr>
            <w:r w:rsidRPr="00101474">
              <w:rPr>
                <w:rFonts w:ascii="Verdana" w:eastAsia="Times New Roman" w:hAnsi="Verdana" w:cs="Times New Roman"/>
                <w:color w:val="191919"/>
                <w:sz w:val="20"/>
                <w:szCs w:val="20"/>
                <w:lang w:val="en-US" w:eastAsia="en-GB"/>
              </w:rPr>
              <w:t>Customer Risks</w:t>
            </w:r>
          </w:p>
        </w:tc>
        <w:tc>
          <w:tcPr>
            <w:tcW w:w="5535" w:type="dxa"/>
            <w:tcBorders>
              <w:bottom w:val="single" w:sz="4" w:space="0" w:color="auto"/>
            </w:tcBorders>
            <w:shd w:val="clear" w:color="auto" w:fill="FFC000" w:themeFill="accent4"/>
          </w:tcPr>
          <w:p w14:paraId="1ED10304" w14:textId="77777777" w:rsidR="005C7429" w:rsidRPr="00101474" w:rsidRDefault="002A44ED" w:rsidP="00101474">
            <w:pPr>
              <w:spacing w:before="100" w:beforeAutospacing="1" w:after="100" w:afterAutospacing="1"/>
              <w:jc w:val="both"/>
              <w:rPr>
                <w:rFonts w:ascii="Verdana" w:eastAsia="Times New Roman" w:hAnsi="Verdana" w:cs="Times New Roman"/>
                <w:color w:val="191919"/>
                <w:sz w:val="20"/>
                <w:szCs w:val="20"/>
                <w:lang w:val="en-US" w:eastAsia="en-GB"/>
              </w:rPr>
            </w:pPr>
            <w:r w:rsidRPr="00101474">
              <w:rPr>
                <w:rFonts w:ascii="Verdana" w:eastAsia="Times New Roman" w:hAnsi="Verdana" w:cs="Times New Roman"/>
                <w:color w:val="191919"/>
                <w:sz w:val="20"/>
                <w:szCs w:val="20"/>
                <w:lang w:val="en-US" w:eastAsia="en-GB"/>
              </w:rPr>
              <w:t>Medium-</w:t>
            </w:r>
            <w:r w:rsidR="00A76573" w:rsidRPr="00101474">
              <w:rPr>
                <w:rFonts w:ascii="Verdana" w:eastAsia="Times New Roman" w:hAnsi="Verdana" w:cs="Times New Roman"/>
                <w:color w:val="191919"/>
                <w:sz w:val="20"/>
                <w:szCs w:val="20"/>
                <w:lang w:val="en-US" w:eastAsia="en-GB"/>
              </w:rPr>
              <w:t>high</w:t>
            </w:r>
          </w:p>
        </w:tc>
      </w:tr>
      <w:tr w:rsidR="005C7429" w:rsidRPr="00101474" w14:paraId="40BCFAE1" w14:textId="77777777" w:rsidTr="00B47CAF">
        <w:tc>
          <w:tcPr>
            <w:tcW w:w="3015" w:type="dxa"/>
            <w:shd w:val="clear" w:color="auto" w:fill="FF0000"/>
          </w:tcPr>
          <w:p w14:paraId="2ACFA2E5" w14:textId="45BE30B4" w:rsidR="005C7429" w:rsidRPr="00101474" w:rsidRDefault="005E3090" w:rsidP="00101474">
            <w:pPr>
              <w:spacing w:before="100" w:beforeAutospacing="1" w:after="100" w:afterAutospacing="1"/>
              <w:jc w:val="both"/>
              <w:rPr>
                <w:rFonts w:ascii="Verdana" w:eastAsia="Times New Roman" w:hAnsi="Verdana" w:cs="Times New Roman"/>
                <w:color w:val="191919"/>
                <w:sz w:val="20"/>
                <w:szCs w:val="20"/>
                <w:lang w:val="en-US" w:eastAsia="en-GB"/>
              </w:rPr>
            </w:pPr>
            <w:r>
              <w:rPr>
                <w:rFonts w:ascii="Verdana" w:eastAsia="Times New Roman" w:hAnsi="Verdana" w:cs="Times New Roman"/>
                <w:color w:val="191919"/>
                <w:sz w:val="20"/>
                <w:szCs w:val="20"/>
                <w:lang w:val="en-US" w:eastAsia="en-GB"/>
              </w:rPr>
              <w:t xml:space="preserve">Transaction, </w:t>
            </w:r>
            <w:r w:rsidR="005C7429" w:rsidRPr="00101474">
              <w:rPr>
                <w:rFonts w:ascii="Verdana" w:eastAsia="Times New Roman" w:hAnsi="Verdana" w:cs="Times New Roman"/>
                <w:color w:val="191919"/>
                <w:sz w:val="20"/>
                <w:szCs w:val="20"/>
                <w:lang w:val="en-US" w:eastAsia="en-GB"/>
              </w:rPr>
              <w:t>Product</w:t>
            </w:r>
            <w:r>
              <w:rPr>
                <w:rFonts w:ascii="Verdana" w:eastAsia="Times New Roman" w:hAnsi="Verdana" w:cs="Times New Roman"/>
                <w:color w:val="191919"/>
                <w:sz w:val="20"/>
                <w:szCs w:val="20"/>
                <w:lang w:val="en-US" w:eastAsia="en-GB"/>
              </w:rPr>
              <w:t xml:space="preserve"> and </w:t>
            </w:r>
            <w:r w:rsidR="005C7429" w:rsidRPr="00101474">
              <w:rPr>
                <w:rFonts w:ascii="Verdana" w:eastAsia="Times New Roman" w:hAnsi="Verdana" w:cs="Times New Roman"/>
                <w:color w:val="191919"/>
                <w:sz w:val="20"/>
                <w:szCs w:val="20"/>
                <w:lang w:val="en-US" w:eastAsia="en-GB"/>
              </w:rPr>
              <w:t>Service Risks</w:t>
            </w:r>
          </w:p>
        </w:tc>
        <w:tc>
          <w:tcPr>
            <w:tcW w:w="5535" w:type="dxa"/>
            <w:shd w:val="clear" w:color="auto" w:fill="FF0000"/>
          </w:tcPr>
          <w:p w14:paraId="7AA901F5" w14:textId="323FD1D4" w:rsidR="005C7429" w:rsidRPr="00101474" w:rsidRDefault="00B47CAF" w:rsidP="00101474">
            <w:pPr>
              <w:spacing w:before="100" w:beforeAutospacing="1" w:after="100" w:afterAutospacing="1"/>
              <w:jc w:val="both"/>
              <w:rPr>
                <w:rFonts w:ascii="Verdana" w:eastAsia="Times New Roman" w:hAnsi="Verdana" w:cs="Times New Roman"/>
                <w:color w:val="191919"/>
                <w:sz w:val="20"/>
                <w:szCs w:val="20"/>
                <w:lang w:val="en-US" w:eastAsia="en-GB"/>
              </w:rPr>
            </w:pPr>
            <w:r>
              <w:rPr>
                <w:rFonts w:ascii="Verdana" w:eastAsia="Times New Roman" w:hAnsi="Verdana" w:cs="Times New Roman"/>
                <w:color w:val="191919"/>
                <w:sz w:val="20"/>
                <w:szCs w:val="20"/>
                <w:lang w:val="en-US" w:eastAsia="en-GB"/>
              </w:rPr>
              <w:t>High</w:t>
            </w:r>
          </w:p>
        </w:tc>
      </w:tr>
      <w:tr w:rsidR="005C7429" w:rsidRPr="00101474" w14:paraId="08DB8DFF" w14:textId="77777777" w:rsidTr="005E3090">
        <w:tc>
          <w:tcPr>
            <w:tcW w:w="3015" w:type="dxa"/>
            <w:tcBorders>
              <w:bottom w:val="single" w:sz="4" w:space="0" w:color="auto"/>
            </w:tcBorders>
            <w:shd w:val="clear" w:color="auto" w:fill="FFC000"/>
          </w:tcPr>
          <w:p w14:paraId="2CF172B7" w14:textId="77777777" w:rsidR="005C7429" w:rsidRPr="00101474" w:rsidRDefault="005C7429" w:rsidP="00101474">
            <w:pPr>
              <w:spacing w:before="100" w:beforeAutospacing="1" w:after="100" w:afterAutospacing="1"/>
              <w:jc w:val="both"/>
              <w:rPr>
                <w:rFonts w:ascii="Verdana" w:eastAsia="Times New Roman" w:hAnsi="Verdana" w:cs="Times New Roman"/>
                <w:color w:val="191919"/>
                <w:sz w:val="20"/>
                <w:szCs w:val="20"/>
                <w:lang w:val="en-US" w:eastAsia="en-GB"/>
              </w:rPr>
            </w:pPr>
            <w:r w:rsidRPr="00101474">
              <w:rPr>
                <w:rFonts w:ascii="Verdana" w:eastAsia="Times New Roman" w:hAnsi="Verdana" w:cs="Times New Roman"/>
                <w:color w:val="191919"/>
                <w:sz w:val="20"/>
                <w:szCs w:val="20"/>
                <w:lang w:val="en-US" w:eastAsia="en-GB"/>
              </w:rPr>
              <w:t>Delivery Channel Risks</w:t>
            </w:r>
          </w:p>
        </w:tc>
        <w:tc>
          <w:tcPr>
            <w:tcW w:w="5535" w:type="dxa"/>
            <w:tcBorders>
              <w:bottom w:val="single" w:sz="4" w:space="0" w:color="auto"/>
            </w:tcBorders>
            <w:shd w:val="clear" w:color="auto" w:fill="FFC000"/>
          </w:tcPr>
          <w:p w14:paraId="45CA9C50" w14:textId="77777777" w:rsidR="005C7429" w:rsidRPr="00101474" w:rsidRDefault="00E2786A" w:rsidP="00101474">
            <w:pPr>
              <w:spacing w:before="100" w:beforeAutospacing="1" w:after="100" w:afterAutospacing="1"/>
              <w:jc w:val="both"/>
              <w:rPr>
                <w:rFonts w:ascii="Verdana" w:eastAsia="Times New Roman" w:hAnsi="Verdana" w:cs="Times New Roman"/>
                <w:color w:val="191919"/>
                <w:sz w:val="20"/>
                <w:szCs w:val="20"/>
                <w:lang w:val="en-US" w:eastAsia="en-GB"/>
              </w:rPr>
            </w:pPr>
            <w:r w:rsidRPr="00101474">
              <w:rPr>
                <w:rFonts w:ascii="Verdana" w:eastAsia="Times New Roman" w:hAnsi="Verdana" w:cs="Times New Roman"/>
                <w:color w:val="191919"/>
                <w:sz w:val="20"/>
                <w:szCs w:val="20"/>
                <w:lang w:val="en-US" w:eastAsia="en-GB"/>
              </w:rPr>
              <w:t>Medium-high</w:t>
            </w:r>
          </w:p>
        </w:tc>
      </w:tr>
      <w:tr w:rsidR="005E3090" w:rsidRPr="00101474" w14:paraId="697B0CB7" w14:textId="77777777" w:rsidTr="005E3090">
        <w:tc>
          <w:tcPr>
            <w:tcW w:w="3015" w:type="dxa"/>
            <w:shd w:val="clear" w:color="auto" w:fill="FFC000"/>
          </w:tcPr>
          <w:p w14:paraId="200B7E83" w14:textId="3FF66A59" w:rsidR="005E3090" w:rsidRPr="00101474" w:rsidRDefault="005E3090" w:rsidP="00101474">
            <w:pPr>
              <w:spacing w:before="100" w:beforeAutospacing="1" w:after="100" w:afterAutospacing="1"/>
              <w:jc w:val="both"/>
              <w:rPr>
                <w:rFonts w:ascii="Verdana" w:eastAsia="Times New Roman" w:hAnsi="Verdana" w:cs="Times New Roman"/>
                <w:color w:val="191919"/>
                <w:sz w:val="20"/>
                <w:szCs w:val="20"/>
                <w:lang w:val="en-US" w:eastAsia="en-GB"/>
              </w:rPr>
            </w:pPr>
            <w:r>
              <w:rPr>
                <w:rFonts w:ascii="Verdana" w:eastAsia="Times New Roman" w:hAnsi="Verdana" w:cs="Times New Roman"/>
                <w:color w:val="191919"/>
                <w:sz w:val="20"/>
                <w:szCs w:val="20"/>
                <w:lang w:val="en-US" w:eastAsia="en-GB"/>
              </w:rPr>
              <w:t>Geographic Risks</w:t>
            </w:r>
          </w:p>
        </w:tc>
        <w:tc>
          <w:tcPr>
            <w:tcW w:w="5535" w:type="dxa"/>
            <w:shd w:val="clear" w:color="auto" w:fill="FFC000"/>
          </w:tcPr>
          <w:p w14:paraId="74011B23" w14:textId="0C77FEB1" w:rsidR="005E3090" w:rsidRPr="00101474" w:rsidRDefault="005E3090" w:rsidP="00101474">
            <w:pPr>
              <w:spacing w:before="100" w:beforeAutospacing="1" w:after="100" w:afterAutospacing="1"/>
              <w:jc w:val="both"/>
              <w:rPr>
                <w:rFonts w:ascii="Verdana" w:eastAsia="Times New Roman" w:hAnsi="Verdana" w:cs="Times New Roman"/>
                <w:color w:val="191919"/>
                <w:sz w:val="20"/>
                <w:szCs w:val="20"/>
                <w:lang w:val="en-US" w:eastAsia="en-GB"/>
              </w:rPr>
            </w:pPr>
            <w:r>
              <w:rPr>
                <w:rFonts w:ascii="Verdana" w:eastAsia="Times New Roman" w:hAnsi="Verdana" w:cs="Times New Roman"/>
                <w:color w:val="191919"/>
                <w:sz w:val="20"/>
                <w:szCs w:val="20"/>
                <w:lang w:val="en-US" w:eastAsia="en-GB"/>
              </w:rPr>
              <w:t>Medium-high</w:t>
            </w:r>
          </w:p>
        </w:tc>
      </w:tr>
      <w:tr w:rsidR="005C7429" w:rsidRPr="00101474" w14:paraId="21A097D1" w14:textId="77777777" w:rsidTr="00351EB1">
        <w:tc>
          <w:tcPr>
            <w:tcW w:w="3015" w:type="dxa"/>
            <w:shd w:val="clear" w:color="auto" w:fill="FFC000"/>
          </w:tcPr>
          <w:p w14:paraId="7A91A0E5" w14:textId="77777777" w:rsidR="005C7429" w:rsidRPr="00101474" w:rsidRDefault="005C7429" w:rsidP="00101474">
            <w:pPr>
              <w:spacing w:before="100" w:beforeAutospacing="1" w:after="100" w:afterAutospacing="1"/>
              <w:jc w:val="both"/>
              <w:rPr>
                <w:rFonts w:ascii="Verdana" w:eastAsia="Times New Roman" w:hAnsi="Verdana" w:cs="Times New Roman"/>
                <w:b/>
                <w:bCs/>
                <w:color w:val="191919"/>
                <w:sz w:val="20"/>
                <w:szCs w:val="20"/>
                <w:lang w:val="en-US" w:eastAsia="en-GB"/>
              </w:rPr>
            </w:pPr>
            <w:r w:rsidRPr="00101474">
              <w:rPr>
                <w:rFonts w:ascii="Verdana" w:eastAsia="Times New Roman" w:hAnsi="Verdana" w:cs="Times New Roman"/>
                <w:b/>
                <w:bCs/>
                <w:color w:val="191919"/>
                <w:sz w:val="20"/>
                <w:szCs w:val="20"/>
                <w:lang w:val="en-US" w:eastAsia="en-GB"/>
              </w:rPr>
              <w:t>Overall</w:t>
            </w:r>
          </w:p>
        </w:tc>
        <w:tc>
          <w:tcPr>
            <w:tcW w:w="5535" w:type="dxa"/>
            <w:shd w:val="clear" w:color="auto" w:fill="FFC000"/>
          </w:tcPr>
          <w:p w14:paraId="3FD67704" w14:textId="5F85E4AF" w:rsidR="005C7429" w:rsidRPr="00101474" w:rsidRDefault="00351EB1" w:rsidP="00101474">
            <w:pPr>
              <w:spacing w:before="100" w:beforeAutospacing="1" w:after="100" w:afterAutospacing="1"/>
              <w:jc w:val="both"/>
              <w:rPr>
                <w:rFonts w:ascii="Verdana" w:eastAsia="Times New Roman" w:hAnsi="Verdana" w:cs="Times New Roman"/>
                <w:b/>
                <w:bCs/>
                <w:color w:val="191919"/>
                <w:sz w:val="20"/>
                <w:szCs w:val="20"/>
                <w:lang w:val="en-US" w:eastAsia="en-GB"/>
              </w:rPr>
            </w:pPr>
            <w:r w:rsidRPr="00101474">
              <w:rPr>
                <w:rFonts w:ascii="Verdana" w:eastAsia="Times New Roman" w:hAnsi="Verdana" w:cs="Times New Roman"/>
                <w:b/>
                <w:bCs/>
                <w:color w:val="191919"/>
                <w:sz w:val="20"/>
                <w:szCs w:val="20"/>
                <w:lang w:val="en-US" w:eastAsia="en-GB"/>
              </w:rPr>
              <w:t>M</w:t>
            </w:r>
            <w:r w:rsidR="005C7429" w:rsidRPr="00101474">
              <w:rPr>
                <w:rFonts w:ascii="Verdana" w:eastAsia="Times New Roman" w:hAnsi="Verdana" w:cs="Times New Roman"/>
                <w:b/>
                <w:bCs/>
                <w:color w:val="191919"/>
                <w:sz w:val="20"/>
                <w:szCs w:val="20"/>
                <w:lang w:val="en-US" w:eastAsia="en-GB"/>
              </w:rPr>
              <w:t>edium-high</w:t>
            </w:r>
          </w:p>
        </w:tc>
      </w:tr>
      <w:bookmarkEnd w:id="9"/>
    </w:tbl>
    <w:p w14:paraId="28ECEBB8" w14:textId="2ABB7C56" w:rsidR="00957CD8" w:rsidRDefault="00957CD8" w:rsidP="00101474">
      <w:pPr>
        <w:pStyle w:val="ListParagraph"/>
        <w:spacing w:line="276" w:lineRule="auto"/>
        <w:ind w:left="0"/>
        <w:jc w:val="both"/>
        <w:rPr>
          <w:rFonts w:ascii="Verdana" w:hAnsi="Verdana"/>
          <w:color w:val="000000" w:themeColor="text1"/>
          <w:sz w:val="20"/>
          <w:szCs w:val="20"/>
        </w:rPr>
      </w:pPr>
    </w:p>
    <w:p w14:paraId="191ECF77" w14:textId="77777777" w:rsidR="00017990" w:rsidRPr="00307B3E" w:rsidRDefault="00017990" w:rsidP="00017990">
      <w:pPr>
        <w:pStyle w:val="ListParagraph"/>
        <w:numPr>
          <w:ilvl w:val="0"/>
          <w:numId w:val="8"/>
        </w:numPr>
        <w:spacing w:line="276" w:lineRule="auto"/>
        <w:ind w:left="709" w:hanging="709"/>
        <w:jc w:val="both"/>
        <w:rPr>
          <w:rFonts w:ascii="Verdana" w:hAnsi="Verdana" w:cs="Times New Roman"/>
          <w:b/>
          <w:sz w:val="20"/>
          <w:szCs w:val="20"/>
        </w:rPr>
      </w:pPr>
      <w:r>
        <w:rPr>
          <w:rFonts w:ascii="Verdana" w:hAnsi="Verdana" w:cs="Times New Roman"/>
          <w:b/>
          <w:sz w:val="20"/>
          <w:szCs w:val="20"/>
        </w:rPr>
        <w:t>RISK MITIGATING MEASURES</w:t>
      </w:r>
    </w:p>
    <w:p w14:paraId="4E09B988" w14:textId="77777777" w:rsidR="00017990" w:rsidRPr="009B3482" w:rsidRDefault="00017990" w:rsidP="00017990">
      <w:pPr>
        <w:pStyle w:val="ListParagraph"/>
        <w:numPr>
          <w:ilvl w:val="0"/>
          <w:numId w:val="24"/>
        </w:numPr>
        <w:spacing w:line="276" w:lineRule="auto"/>
        <w:jc w:val="both"/>
        <w:rPr>
          <w:rFonts w:ascii="Verdana" w:hAnsi="Verdana"/>
          <w:color w:val="000000" w:themeColor="text1"/>
          <w:sz w:val="20"/>
          <w:szCs w:val="20"/>
        </w:rPr>
      </w:pPr>
      <w:r>
        <w:rPr>
          <w:rFonts w:ascii="Verdana" w:hAnsi="Verdana"/>
          <w:color w:val="000000" w:themeColor="text1"/>
          <w:sz w:val="20"/>
          <w:szCs w:val="20"/>
        </w:rPr>
        <w:t>CIMA</w:t>
      </w:r>
      <w:r w:rsidRPr="009B3482">
        <w:rPr>
          <w:rFonts w:ascii="Verdana" w:hAnsi="Verdana"/>
          <w:color w:val="000000" w:themeColor="text1"/>
          <w:sz w:val="20"/>
          <w:szCs w:val="20"/>
        </w:rPr>
        <w:t xml:space="preserve"> </w:t>
      </w:r>
      <w:r>
        <w:rPr>
          <w:rFonts w:ascii="Verdana" w:hAnsi="Verdana"/>
          <w:color w:val="000000" w:themeColor="text1"/>
          <w:sz w:val="20"/>
          <w:szCs w:val="20"/>
        </w:rPr>
        <w:t xml:space="preserve">utilizes supervisory tools, including the following, </w:t>
      </w:r>
      <w:r w:rsidRPr="009B3482">
        <w:rPr>
          <w:rFonts w:ascii="Verdana" w:hAnsi="Verdana"/>
          <w:color w:val="000000" w:themeColor="text1"/>
          <w:sz w:val="20"/>
          <w:szCs w:val="20"/>
        </w:rPr>
        <w:t>to mitigate the ML/TF exposures of its SIB Licensees:</w:t>
      </w:r>
    </w:p>
    <w:p w14:paraId="661F842D" w14:textId="77777777" w:rsidR="00017990" w:rsidRDefault="00017990" w:rsidP="00017990">
      <w:pPr>
        <w:pStyle w:val="ListParagraph"/>
        <w:numPr>
          <w:ilvl w:val="0"/>
          <w:numId w:val="35"/>
        </w:numPr>
        <w:spacing w:after="200" w:line="276" w:lineRule="auto"/>
        <w:jc w:val="both"/>
        <w:rPr>
          <w:rFonts w:ascii="Verdana" w:hAnsi="Verdana"/>
          <w:sz w:val="20"/>
          <w:szCs w:val="20"/>
        </w:rPr>
      </w:pPr>
      <w:r w:rsidRPr="009B3482">
        <w:rPr>
          <w:rFonts w:ascii="Verdana" w:hAnsi="Verdana"/>
          <w:sz w:val="20"/>
          <w:szCs w:val="20"/>
        </w:rPr>
        <w:t>Enhanced risk-based supervisory framework</w:t>
      </w:r>
      <w:r>
        <w:rPr>
          <w:rFonts w:ascii="Verdana" w:hAnsi="Verdana"/>
          <w:sz w:val="20"/>
          <w:szCs w:val="20"/>
        </w:rPr>
        <w:t>,</w:t>
      </w:r>
      <w:r w:rsidRPr="009B3482">
        <w:rPr>
          <w:rFonts w:ascii="Verdana" w:hAnsi="Verdana"/>
          <w:sz w:val="20"/>
          <w:szCs w:val="20"/>
        </w:rPr>
        <w:t xml:space="preserve"> including risk assessment of licensees for their ML/TF exposure;</w:t>
      </w:r>
    </w:p>
    <w:p w14:paraId="621E9028" w14:textId="77777777" w:rsidR="00017990" w:rsidRPr="009B3482" w:rsidRDefault="00017990" w:rsidP="00017990">
      <w:pPr>
        <w:pStyle w:val="ListParagraph"/>
        <w:numPr>
          <w:ilvl w:val="0"/>
          <w:numId w:val="35"/>
        </w:numPr>
        <w:spacing w:after="200" w:line="276" w:lineRule="auto"/>
        <w:jc w:val="both"/>
        <w:rPr>
          <w:rFonts w:ascii="Verdana" w:hAnsi="Verdana"/>
          <w:sz w:val="20"/>
          <w:szCs w:val="20"/>
        </w:rPr>
      </w:pPr>
      <w:r w:rsidRPr="009B3482">
        <w:rPr>
          <w:rFonts w:ascii="Verdana" w:hAnsi="Verdana"/>
          <w:sz w:val="20"/>
          <w:szCs w:val="20"/>
        </w:rPr>
        <w:t xml:space="preserve">Enhanced international corporation with overseas regulators; </w:t>
      </w:r>
    </w:p>
    <w:p w14:paraId="498D3841" w14:textId="77777777" w:rsidR="00017990" w:rsidRDefault="00017990" w:rsidP="00017990">
      <w:pPr>
        <w:pStyle w:val="ListParagraph"/>
        <w:numPr>
          <w:ilvl w:val="0"/>
          <w:numId w:val="35"/>
        </w:numPr>
        <w:spacing w:after="200" w:line="276" w:lineRule="auto"/>
        <w:jc w:val="both"/>
        <w:rPr>
          <w:rFonts w:ascii="Verdana" w:hAnsi="Verdana"/>
          <w:sz w:val="20"/>
          <w:szCs w:val="20"/>
        </w:rPr>
      </w:pPr>
      <w:r>
        <w:rPr>
          <w:rFonts w:ascii="Verdana" w:hAnsi="Verdana"/>
          <w:sz w:val="20"/>
          <w:szCs w:val="20"/>
        </w:rPr>
        <w:t>Increased</w:t>
      </w:r>
      <w:r w:rsidRPr="009B3482">
        <w:rPr>
          <w:rFonts w:ascii="Verdana" w:hAnsi="Verdana"/>
          <w:sz w:val="20"/>
          <w:szCs w:val="20"/>
        </w:rPr>
        <w:t xml:space="preserve"> AML/CFT focused on-site inspections</w:t>
      </w:r>
      <w:r>
        <w:rPr>
          <w:rFonts w:ascii="Verdana" w:hAnsi="Verdana"/>
          <w:sz w:val="20"/>
          <w:szCs w:val="20"/>
        </w:rPr>
        <w:t>,</w:t>
      </w:r>
      <w:r w:rsidRPr="009B3482">
        <w:rPr>
          <w:rFonts w:ascii="Verdana" w:hAnsi="Verdana"/>
          <w:sz w:val="20"/>
          <w:szCs w:val="20"/>
        </w:rPr>
        <w:t xml:space="preserve"> </w:t>
      </w:r>
      <w:r>
        <w:rPr>
          <w:rFonts w:ascii="Verdana" w:hAnsi="Verdana"/>
          <w:sz w:val="20"/>
          <w:szCs w:val="20"/>
        </w:rPr>
        <w:t>with a focus on areas such as:</w:t>
      </w:r>
      <w:r w:rsidRPr="009B3482">
        <w:rPr>
          <w:rFonts w:ascii="Verdana" w:hAnsi="Verdana"/>
          <w:sz w:val="20"/>
          <w:szCs w:val="20"/>
        </w:rPr>
        <w:t xml:space="preserve"> </w:t>
      </w:r>
    </w:p>
    <w:p w14:paraId="49B3FAC4" w14:textId="77777777" w:rsidR="00017990" w:rsidRDefault="00017990" w:rsidP="00017990">
      <w:pPr>
        <w:pStyle w:val="ListParagraph"/>
        <w:numPr>
          <w:ilvl w:val="1"/>
          <w:numId w:val="35"/>
        </w:numPr>
        <w:spacing w:after="200" w:line="276" w:lineRule="auto"/>
        <w:jc w:val="both"/>
        <w:rPr>
          <w:rFonts w:ascii="Verdana" w:hAnsi="Verdana"/>
          <w:sz w:val="20"/>
          <w:szCs w:val="20"/>
        </w:rPr>
      </w:pPr>
      <w:r w:rsidRPr="009B3482">
        <w:rPr>
          <w:rFonts w:ascii="Verdana" w:hAnsi="Verdana"/>
          <w:sz w:val="20"/>
          <w:szCs w:val="20"/>
        </w:rPr>
        <w:t xml:space="preserve">the SIB Licensees risk-based approach, </w:t>
      </w:r>
    </w:p>
    <w:p w14:paraId="18A81349" w14:textId="77777777" w:rsidR="00017990" w:rsidRDefault="00017990" w:rsidP="00017990">
      <w:pPr>
        <w:pStyle w:val="ListParagraph"/>
        <w:numPr>
          <w:ilvl w:val="1"/>
          <w:numId w:val="35"/>
        </w:numPr>
        <w:spacing w:after="200" w:line="276" w:lineRule="auto"/>
        <w:jc w:val="both"/>
        <w:rPr>
          <w:rFonts w:ascii="Verdana" w:hAnsi="Verdana"/>
          <w:sz w:val="20"/>
          <w:szCs w:val="20"/>
        </w:rPr>
      </w:pPr>
      <w:r w:rsidRPr="009B3482">
        <w:rPr>
          <w:rFonts w:ascii="Verdana" w:hAnsi="Verdana"/>
          <w:sz w:val="20"/>
          <w:szCs w:val="20"/>
        </w:rPr>
        <w:t xml:space="preserve">assessments of </w:t>
      </w:r>
      <w:r>
        <w:rPr>
          <w:rFonts w:ascii="Verdana" w:hAnsi="Verdana"/>
          <w:sz w:val="20"/>
          <w:szCs w:val="20"/>
        </w:rPr>
        <w:t xml:space="preserve">their </w:t>
      </w:r>
      <w:r w:rsidRPr="009B3482">
        <w:rPr>
          <w:rFonts w:ascii="Verdana" w:hAnsi="Verdana"/>
          <w:sz w:val="20"/>
          <w:szCs w:val="20"/>
        </w:rPr>
        <w:t>AML/CFT operations</w:t>
      </w:r>
      <w:r>
        <w:rPr>
          <w:rFonts w:ascii="Verdana" w:hAnsi="Verdana"/>
          <w:sz w:val="20"/>
          <w:szCs w:val="20"/>
        </w:rPr>
        <w:t>,</w:t>
      </w:r>
      <w:r w:rsidRPr="009B3482">
        <w:rPr>
          <w:rFonts w:ascii="Verdana" w:hAnsi="Verdana"/>
          <w:sz w:val="20"/>
          <w:szCs w:val="20"/>
        </w:rPr>
        <w:t xml:space="preserve"> </w:t>
      </w:r>
    </w:p>
    <w:p w14:paraId="02F8A872" w14:textId="77777777" w:rsidR="00017990" w:rsidRDefault="00017990" w:rsidP="00017990">
      <w:pPr>
        <w:pStyle w:val="ListParagraph"/>
        <w:numPr>
          <w:ilvl w:val="1"/>
          <w:numId w:val="35"/>
        </w:numPr>
        <w:spacing w:after="200" w:line="276" w:lineRule="auto"/>
        <w:jc w:val="both"/>
        <w:rPr>
          <w:rFonts w:ascii="Verdana" w:hAnsi="Verdana"/>
          <w:sz w:val="20"/>
          <w:szCs w:val="20"/>
        </w:rPr>
      </w:pPr>
      <w:r w:rsidRPr="009B3482">
        <w:rPr>
          <w:rFonts w:ascii="Verdana" w:hAnsi="Verdana"/>
          <w:sz w:val="20"/>
          <w:szCs w:val="20"/>
        </w:rPr>
        <w:t>suitability, capacity and resourcing of suitable AML officers and/or other compliance staff</w:t>
      </w:r>
      <w:r>
        <w:rPr>
          <w:rFonts w:ascii="Verdana" w:hAnsi="Verdana"/>
          <w:sz w:val="20"/>
          <w:szCs w:val="20"/>
        </w:rPr>
        <w:t>;</w:t>
      </w:r>
    </w:p>
    <w:p w14:paraId="1862D77C" w14:textId="77777777" w:rsidR="00017990" w:rsidRDefault="00017990" w:rsidP="00017990">
      <w:pPr>
        <w:pStyle w:val="ListParagraph"/>
        <w:numPr>
          <w:ilvl w:val="1"/>
          <w:numId w:val="35"/>
        </w:numPr>
        <w:spacing w:after="200" w:line="276" w:lineRule="auto"/>
        <w:jc w:val="both"/>
        <w:rPr>
          <w:rFonts w:ascii="Verdana" w:hAnsi="Verdana"/>
          <w:sz w:val="20"/>
          <w:szCs w:val="20"/>
        </w:rPr>
      </w:pPr>
      <w:r>
        <w:rPr>
          <w:rFonts w:ascii="Verdana" w:hAnsi="Verdana"/>
          <w:sz w:val="20"/>
          <w:szCs w:val="20"/>
        </w:rPr>
        <w:t>i</w:t>
      </w:r>
      <w:r w:rsidRPr="009B3482">
        <w:rPr>
          <w:rFonts w:ascii="Verdana" w:hAnsi="Verdana"/>
          <w:sz w:val="20"/>
          <w:szCs w:val="20"/>
        </w:rPr>
        <w:t>mplement</w:t>
      </w:r>
      <w:r>
        <w:rPr>
          <w:rFonts w:ascii="Verdana" w:hAnsi="Verdana"/>
          <w:sz w:val="20"/>
          <w:szCs w:val="20"/>
        </w:rPr>
        <w:t>ation of their</w:t>
      </w:r>
      <w:r w:rsidRPr="009B3482">
        <w:rPr>
          <w:rFonts w:ascii="Verdana" w:hAnsi="Verdana"/>
          <w:sz w:val="20"/>
          <w:szCs w:val="20"/>
        </w:rPr>
        <w:t xml:space="preserve"> risk management controls and supervisory systems</w:t>
      </w:r>
      <w:r>
        <w:rPr>
          <w:rFonts w:ascii="Verdana" w:hAnsi="Verdana"/>
          <w:sz w:val="20"/>
          <w:szCs w:val="20"/>
        </w:rPr>
        <w:t>.</w:t>
      </w:r>
    </w:p>
    <w:p w14:paraId="22F18120" w14:textId="77777777" w:rsidR="00017990" w:rsidRPr="00D719B4" w:rsidRDefault="00017990" w:rsidP="00017990">
      <w:pPr>
        <w:pStyle w:val="ListParagraph"/>
        <w:numPr>
          <w:ilvl w:val="0"/>
          <w:numId w:val="35"/>
        </w:numPr>
        <w:spacing w:after="200" w:line="276" w:lineRule="auto"/>
        <w:jc w:val="both"/>
        <w:rPr>
          <w:rFonts w:ascii="Verdana" w:hAnsi="Verdana"/>
          <w:sz w:val="20"/>
          <w:szCs w:val="20"/>
        </w:rPr>
      </w:pPr>
      <w:r w:rsidRPr="00D719B4">
        <w:rPr>
          <w:rFonts w:ascii="Verdana" w:hAnsi="Verdana"/>
          <w:sz w:val="20"/>
          <w:szCs w:val="20"/>
        </w:rPr>
        <w:t>Such inspections aim to ensure that SIB Licensees have effective programs</w:t>
      </w:r>
      <w:r>
        <w:rPr>
          <w:rFonts w:ascii="Verdana" w:hAnsi="Verdana"/>
          <w:sz w:val="20"/>
          <w:szCs w:val="20"/>
        </w:rPr>
        <w:t xml:space="preserve"> for AML/CFT compliance, including in areas relating to the</w:t>
      </w:r>
      <w:r w:rsidRPr="00D719B4">
        <w:rPr>
          <w:rFonts w:ascii="Verdana" w:hAnsi="Verdana"/>
          <w:sz w:val="20"/>
          <w:szCs w:val="20"/>
        </w:rPr>
        <w:t xml:space="preserve"> monitoring </w:t>
      </w:r>
      <w:r>
        <w:rPr>
          <w:rFonts w:ascii="Verdana" w:hAnsi="Verdana"/>
          <w:sz w:val="20"/>
          <w:szCs w:val="20"/>
        </w:rPr>
        <w:t xml:space="preserve">of </w:t>
      </w:r>
      <w:r w:rsidRPr="00D719B4">
        <w:rPr>
          <w:rFonts w:ascii="Verdana" w:hAnsi="Verdana"/>
          <w:sz w:val="20"/>
          <w:szCs w:val="20"/>
        </w:rPr>
        <w:t xml:space="preserve">cross-border transactions, approval process of non-face to face </w:t>
      </w:r>
      <w:r>
        <w:rPr>
          <w:rFonts w:ascii="Verdana" w:hAnsi="Verdana"/>
          <w:sz w:val="20"/>
          <w:szCs w:val="20"/>
        </w:rPr>
        <w:t>customers</w:t>
      </w:r>
      <w:r w:rsidRPr="00D719B4">
        <w:rPr>
          <w:rFonts w:ascii="Verdana" w:hAnsi="Verdana"/>
          <w:sz w:val="20"/>
          <w:szCs w:val="20"/>
        </w:rPr>
        <w:t xml:space="preserve"> </w:t>
      </w:r>
      <w:r w:rsidRPr="00D719B4">
        <w:rPr>
          <w:rFonts w:ascii="Verdana" w:hAnsi="Verdana"/>
          <w:sz w:val="20"/>
          <w:szCs w:val="20"/>
        </w:rPr>
        <w:t xml:space="preserve">and enhanced due diligence processes undertaken for </w:t>
      </w:r>
      <w:r>
        <w:rPr>
          <w:rFonts w:ascii="Verdana" w:hAnsi="Verdana"/>
          <w:sz w:val="20"/>
          <w:szCs w:val="20"/>
        </w:rPr>
        <w:t>customers</w:t>
      </w:r>
      <w:r w:rsidRPr="00D719B4">
        <w:rPr>
          <w:rFonts w:ascii="Verdana" w:hAnsi="Verdana"/>
          <w:sz w:val="20"/>
          <w:szCs w:val="20"/>
        </w:rPr>
        <w:t xml:space="preserve"> </w:t>
      </w:r>
      <w:r w:rsidRPr="00D719B4">
        <w:rPr>
          <w:rFonts w:ascii="Verdana" w:hAnsi="Verdana"/>
          <w:sz w:val="20"/>
          <w:szCs w:val="20"/>
        </w:rPr>
        <w:t xml:space="preserve">from higher risk jurisdictions. </w:t>
      </w:r>
    </w:p>
    <w:p w14:paraId="25F36146" w14:textId="77777777" w:rsidR="00017990" w:rsidRPr="005E3090" w:rsidRDefault="00017990" w:rsidP="00017990">
      <w:pPr>
        <w:pStyle w:val="ListParagraph"/>
        <w:numPr>
          <w:ilvl w:val="0"/>
          <w:numId w:val="35"/>
        </w:numPr>
        <w:spacing w:after="200" w:line="276" w:lineRule="auto"/>
        <w:jc w:val="both"/>
        <w:rPr>
          <w:rFonts w:ascii="Verdana" w:hAnsi="Verdana"/>
          <w:sz w:val="20"/>
          <w:szCs w:val="20"/>
        </w:rPr>
      </w:pPr>
      <w:r w:rsidRPr="005E3090">
        <w:rPr>
          <w:rFonts w:ascii="Verdana" w:hAnsi="Verdana"/>
          <w:sz w:val="20"/>
          <w:szCs w:val="20"/>
        </w:rPr>
        <w:t>Issuance of securities investment business sector specific Guidance Notes; and</w:t>
      </w:r>
    </w:p>
    <w:p w14:paraId="04E77A33" w14:textId="77777777" w:rsidR="00017990" w:rsidRPr="00675EDB" w:rsidRDefault="00017990" w:rsidP="00017990">
      <w:pPr>
        <w:pStyle w:val="ListParagraph"/>
        <w:numPr>
          <w:ilvl w:val="0"/>
          <w:numId w:val="35"/>
        </w:numPr>
        <w:spacing w:after="200" w:line="276" w:lineRule="auto"/>
        <w:jc w:val="both"/>
        <w:rPr>
          <w:rFonts w:ascii="Verdana" w:hAnsi="Verdana"/>
          <w:sz w:val="20"/>
          <w:szCs w:val="20"/>
        </w:rPr>
      </w:pPr>
      <w:r w:rsidRPr="009B3482">
        <w:rPr>
          <w:rFonts w:ascii="Verdana" w:hAnsi="Verdana"/>
          <w:sz w:val="20"/>
          <w:szCs w:val="20"/>
        </w:rPr>
        <w:lastRenderedPageBreak/>
        <w:t>AML/CFT Training and outreach programs</w:t>
      </w:r>
      <w:r>
        <w:rPr>
          <w:rFonts w:ascii="Verdana" w:hAnsi="Verdana"/>
          <w:sz w:val="20"/>
          <w:szCs w:val="20"/>
        </w:rPr>
        <w:t>.</w:t>
      </w:r>
    </w:p>
    <w:p w14:paraId="543BC309" w14:textId="77777777" w:rsidR="00017990" w:rsidRDefault="00017990" w:rsidP="00017990">
      <w:pPr>
        <w:pStyle w:val="ListParagraph"/>
        <w:spacing w:line="276" w:lineRule="auto"/>
        <w:ind w:left="709"/>
        <w:jc w:val="both"/>
        <w:rPr>
          <w:rFonts w:ascii="Verdana" w:hAnsi="Verdana" w:cs="Times New Roman"/>
          <w:b/>
          <w:sz w:val="20"/>
          <w:szCs w:val="20"/>
        </w:rPr>
      </w:pPr>
    </w:p>
    <w:p w14:paraId="6D06643A" w14:textId="4AC07455" w:rsidR="00C95E30" w:rsidRPr="005D2F48" w:rsidRDefault="00C95E30" w:rsidP="002534FE">
      <w:pPr>
        <w:pStyle w:val="ListParagraph"/>
        <w:numPr>
          <w:ilvl w:val="0"/>
          <w:numId w:val="8"/>
        </w:numPr>
        <w:spacing w:line="276" w:lineRule="auto"/>
        <w:ind w:left="709" w:hanging="709"/>
        <w:jc w:val="both"/>
        <w:rPr>
          <w:rFonts w:ascii="Verdana" w:hAnsi="Verdana" w:cs="Times New Roman"/>
          <w:b/>
          <w:sz w:val="20"/>
          <w:szCs w:val="20"/>
        </w:rPr>
      </w:pPr>
      <w:r w:rsidRPr="005D2F48">
        <w:rPr>
          <w:rFonts w:ascii="Verdana" w:hAnsi="Verdana" w:cs="Times New Roman"/>
          <w:b/>
          <w:sz w:val="20"/>
          <w:szCs w:val="20"/>
        </w:rPr>
        <w:t>ANALYSIS</w:t>
      </w:r>
    </w:p>
    <w:p w14:paraId="293FFC82" w14:textId="77777777" w:rsidR="00C95E30" w:rsidRPr="005D2F48" w:rsidRDefault="00C95E30" w:rsidP="00101474">
      <w:pPr>
        <w:spacing w:line="276" w:lineRule="auto"/>
        <w:jc w:val="both"/>
        <w:rPr>
          <w:rFonts w:ascii="Verdana" w:hAnsi="Verdana"/>
          <w:b/>
          <w:color w:val="000000" w:themeColor="text1"/>
          <w:sz w:val="20"/>
          <w:szCs w:val="20"/>
        </w:rPr>
      </w:pPr>
    </w:p>
    <w:p w14:paraId="16C6CF63" w14:textId="3A469F9E" w:rsidR="00B20636" w:rsidRDefault="00674312" w:rsidP="00101474">
      <w:pPr>
        <w:spacing w:line="276" w:lineRule="auto"/>
        <w:jc w:val="both"/>
        <w:rPr>
          <w:rFonts w:ascii="Verdana" w:hAnsi="Verdana"/>
          <w:b/>
          <w:color w:val="000000" w:themeColor="text1"/>
          <w:sz w:val="20"/>
          <w:szCs w:val="20"/>
        </w:rPr>
      </w:pPr>
      <w:r w:rsidRPr="005D2F48">
        <w:rPr>
          <w:rFonts w:ascii="Verdana" w:hAnsi="Verdana"/>
          <w:b/>
          <w:color w:val="000000" w:themeColor="text1"/>
          <w:sz w:val="20"/>
          <w:szCs w:val="20"/>
        </w:rPr>
        <w:t>Nature, Size and Complexity</w:t>
      </w:r>
      <w:r w:rsidR="00B20636" w:rsidRPr="005D2F48">
        <w:rPr>
          <w:rFonts w:ascii="Verdana" w:hAnsi="Verdana"/>
          <w:b/>
          <w:color w:val="000000" w:themeColor="text1"/>
          <w:sz w:val="20"/>
          <w:szCs w:val="20"/>
        </w:rPr>
        <w:t xml:space="preserve"> Risks</w:t>
      </w:r>
    </w:p>
    <w:p w14:paraId="471AC1EA" w14:textId="4DAB8498" w:rsidR="00E61EE7" w:rsidRDefault="00E61EE7" w:rsidP="00101474">
      <w:pPr>
        <w:spacing w:line="276" w:lineRule="auto"/>
        <w:jc w:val="both"/>
        <w:rPr>
          <w:rFonts w:ascii="Verdana" w:hAnsi="Verdana"/>
          <w:b/>
          <w:color w:val="000000" w:themeColor="text1"/>
          <w:sz w:val="20"/>
          <w:szCs w:val="20"/>
        </w:rPr>
      </w:pPr>
    </w:p>
    <w:tbl>
      <w:tblPr>
        <w:tblW w:w="93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E61EE7" w:rsidRPr="004900E8" w14:paraId="227AD1B7" w14:textId="77777777" w:rsidTr="00877173">
        <w:tc>
          <w:tcPr>
            <w:tcW w:w="4590" w:type="dxa"/>
            <w:shd w:val="clear" w:color="auto" w:fill="auto"/>
            <w:vAlign w:val="bottom"/>
          </w:tcPr>
          <w:p w14:paraId="688DF5B6" w14:textId="77777777" w:rsidR="00E61EE7" w:rsidRPr="004900E8" w:rsidRDefault="00E61EE7" w:rsidP="00877173">
            <w:pPr>
              <w:jc w:val="both"/>
              <w:rPr>
                <w:rFonts w:ascii="Verdana" w:hAnsi="Verdana"/>
                <w:bCs/>
                <w:sz w:val="20"/>
                <w:szCs w:val="20"/>
              </w:rPr>
            </w:pPr>
            <w:r w:rsidRPr="004900E8">
              <w:rPr>
                <w:rFonts w:ascii="Verdana" w:hAnsi="Verdana"/>
                <w:bCs/>
                <w:sz w:val="20"/>
                <w:szCs w:val="20"/>
              </w:rPr>
              <w:t xml:space="preserve">Number of SIB Licensees </w:t>
            </w:r>
          </w:p>
        </w:tc>
        <w:tc>
          <w:tcPr>
            <w:tcW w:w="4788" w:type="dxa"/>
            <w:shd w:val="clear" w:color="auto" w:fill="auto"/>
          </w:tcPr>
          <w:p w14:paraId="291840CD" w14:textId="77777777" w:rsidR="00E61EE7" w:rsidRPr="004900E8" w:rsidRDefault="00E61EE7" w:rsidP="00877173">
            <w:pPr>
              <w:jc w:val="both"/>
              <w:rPr>
                <w:rFonts w:ascii="Verdana" w:hAnsi="Verdana"/>
                <w:sz w:val="20"/>
                <w:szCs w:val="20"/>
              </w:rPr>
            </w:pPr>
            <w:r w:rsidRPr="004900E8">
              <w:rPr>
                <w:rFonts w:ascii="Verdana" w:hAnsi="Verdana"/>
                <w:sz w:val="20"/>
                <w:szCs w:val="20"/>
              </w:rPr>
              <w:t>29 (out of 35 active SIB Licensees)</w:t>
            </w:r>
          </w:p>
        </w:tc>
      </w:tr>
      <w:tr w:rsidR="00E61EE7" w:rsidRPr="004900E8" w14:paraId="746F558A" w14:textId="77777777" w:rsidTr="00877173">
        <w:tc>
          <w:tcPr>
            <w:tcW w:w="4590" w:type="dxa"/>
            <w:shd w:val="clear" w:color="auto" w:fill="auto"/>
            <w:vAlign w:val="bottom"/>
          </w:tcPr>
          <w:p w14:paraId="5CCC19C4" w14:textId="77777777" w:rsidR="00E61EE7" w:rsidRPr="004900E8" w:rsidRDefault="00E61EE7" w:rsidP="00877173">
            <w:pPr>
              <w:jc w:val="both"/>
              <w:rPr>
                <w:rFonts w:ascii="Verdana" w:hAnsi="Verdana"/>
                <w:bCs/>
                <w:sz w:val="20"/>
                <w:szCs w:val="20"/>
              </w:rPr>
            </w:pPr>
            <w:r w:rsidRPr="004900E8">
              <w:rPr>
                <w:rFonts w:ascii="Verdana" w:hAnsi="Verdana"/>
                <w:bCs/>
                <w:sz w:val="20"/>
                <w:szCs w:val="20"/>
              </w:rPr>
              <w:t>Value of all assets under management (AUM)</w:t>
            </w:r>
          </w:p>
        </w:tc>
        <w:tc>
          <w:tcPr>
            <w:tcW w:w="4788" w:type="dxa"/>
            <w:shd w:val="clear" w:color="auto" w:fill="auto"/>
          </w:tcPr>
          <w:p w14:paraId="1D056E90" w14:textId="77777777" w:rsidR="00E61EE7" w:rsidRPr="004900E8" w:rsidRDefault="00E61EE7" w:rsidP="00877173">
            <w:pPr>
              <w:jc w:val="both"/>
              <w:rPr>
                <w:rFonts w:ascii="Verdana" w:hAnsi="Verdana"/>
                <w:sz w:val="20"/>
                <w:szCs w:val="20"/>
              </w:rPr>
            </w:pPr>
            <w:r w:rsidRPr="004900E8">
              <w:rPr>
                <w:rFonts w:ascii="Verdana" w:hAnsi="Verdana"/>
                <w:sz w:val="20"/>
                <w:szCs w:val="20"/>
              </w:rPr>
              <w:t>US$16,934,545,342</w:t>
            </w:r>
          </w:p>
        </w:tc>
      </w:tr>
      <w:tr w:rsidR="00E61EE7" w:rsidRPr="004900E8" w14:paraId="7F9F70C4" w14:textId="77777777" w:rsidTr="00877173">
        <w:tc>
          <w:tcPr>
            <w:tcW w:w="4590" w:type="dxa"/>
            <w:shd w:val="clear" w:color="auto" w:fill="auto"/>
            <w:vAlign w:val="bottom"/>
          </w:tcPr>
          <w:p w14:paraId="6E31770E" w14:textId="77777777" w:rsidR="00E61EE7" w:rsidRPr="004900E8" w:rsidRDefault="00E61EE7" w:rsidP="00877173">
            <w:pPr>
              <w:jc w:val="both"/>
              <w:rPr>
                <w:rFonts w:ascii="Verdana" w:hAnsi="Verdana"/>
                <w:bCs/>
                <w:sz w:val="20"/>
                <w:szCs w:val="20"/>
              </w:rPr>
            </w:pPr>
            <w:r w:rsidRPr="004900E8">
              <w:rPr>
                <w:rFonts w:ascii="Verdana" w:hAnsi="Verdana"/>
                <w:bCs/>
                <w:sz w:val="20"/>
                <w:szCs w:val="20"/>
              </w:rPr>
              <w:t>SIB Licensees with highest AUM</w:t>
            </w:r>
          </w:p>
        </w:tc>
        <w:tc>
          <w:tcPr>
            <w:tcW w:w="4788" w:type="dxa"/>
            <w:shd w:val="clear" w:color="auto" w:fill="auto"/>
          </w:tcPr>
          <w:p w14:paraId="7AB151E3" w14:textId="77777777" w:rsidR="00E61EE7" w:rsidRPr="004900E8" w:rsidRDefault="00E61EE7" w:rsidP="00877173">
            <w:pPr>
              <w:jc w:val="both"/>
              <w:rPr>
                <w:rFonts w:ascii="Verdana" w:hAnsi="Verdana"/>
                <w:sz w:val="20"/>
                <w:szCs w:val="20"/>
              </w:rPr>
            </w:pPr>
            <w:r w:rsidRPr="004900E8">
              <w:rPr>
                <w:rFonts w:ascii="Verdana" w:hAnsi="Verdana"/>
                <w:sz w:val="20"/>
                <w:szCs w:val="20"/>
              </w:rPr>
              <w:t>3 SIB Licensees account for 79% (45%, 25% and 9% respectively) AUM</w:t>
            </w:r>
          </w:p>
        </w:tc>
      </w:tr>
      <w:tr w:rsidR="00E61EE7" w:rsidRPr="004900E8" w14:paraId="5FBE9344" w14:textId="77777777" w:rsidTr="00877173">
        <w:tc>
          <w:tcPr>
            <w:tcW w:w="4590" w:type="dxa"/>
            <w:shd w:val="clear" w:color="auto" w:fill="auto"/>
            <w:vAlign w:val="bottom"/>
          </w:tcPr>
          <w:p w14:paraId="22B6006C" w14:textId="77777777" w:rsidR="00E61EE7" w:rsidRPr="004900E8" w:rsidRDefault="00E61EE7" w:rsidP="00877173">
            <w:pPr>
              <w:jc w:val="both"/>
              <w:rPr>
                <w:rFonts w:ascii="Verdana" w:hAnsi="Verdana"/>
                <w:bCs/>
                <w:sz w:val="20"/>
                <w:szCs w:val="20"/>
              </w:rPr>
            </w:pPr>
            <w:r w:rsidRPr="004900E8">
              <w:rPr>
                <w:rFonts w:ascii="Verdana" w:hAnsi="Verdana"/>
                <w:bCs/>
                <w:sz w:val="20"/>
                <w:szCs w:val="20"/>
              </w:rPr>
              <w:t>Number of customers</w:t>
            </w:r>
          </w:p>
        </w:tc>
        <w:tc>
          <w:tcPr>
            <w:tcW w:w="4788" w:type="dxa"/>
            <w:shd w:val="clear" w:color="auto" w:fill="auto"/>
          </w:tcPr>
          <w:p w14:paraId="3B3AF465" w14:textId="672C9AC1" w:rsidR="00E61EE7" w:rsidRPr="004900E8" w:rsidRDefault="00E61EE7" w:rsidP="00877173">
            <w:pPr>
              <w:jc w:val="both"/>
              <w:rPr>
                <w:rFonts w:ascii="Verdana" w:hAnsi="Verdana"/>
                <w:sz w:val="20"/>
                <w:szCs w:val="20"/>
              </w:rPr>
            </w:pPr>
            <w:r w:rsidRPr="004900E8">
              <w:rPr>
                <w:rFonts w:ascii="Verdana" w:hAnsi="Verdana"/>
                <w:sz w:val="20"/>
                <w:szCs w:val="20"/>
              </w:rPr>
              <w:t>42,</w:t>
            </w:r>
            <w:r w:rsidR="005E3090">
              <w:rPr>
                <w:rFonts w:ascii="Verdana" w:hAnsi="Verdana"/>
                <w:sz w:val="20"/>
                <w:szCs w:val="20"/>
              </w:rPr>
              <w:t>331</w:t>
            </w:r>
          </w:p>
        </w:tc>
      </w:tr>
      <w:tr w:rsidR="00E61EE7" w:rsidRPr="004900E8" w14:paraId="0AA52A5F" w14:textId="77777777" w:rsidTr="00877173">
        <w:tc>
          <w:tcPr>
            <w:tcW w:w="4590" w:type="dxa"/>
            <w:shd w:val="clear" w:color="auto" w:fill="auto"/>
            <w:vAlign w:val="bottom"/>
          </w:tcPr>
          <w:p w14:paraId="2D2489F8" w14:textId="77777777" w:rsidR="00E61EE7" w:rsidRPr="004900E8" w:rsidRDefault="00E61EE7" w:rsidP="00877173">
            <w:pPr>
              <w:jc w:val="both"/>
              <w:rPr>
                <w:rFonts w:ascii="Verdana" w:hAnsi="Verdana"/>
                <w:bCs/>
                <w:sz w:val="20"/>
                <w:szCs w:val="20"/>
              </w:rPr>
            </w:pPr>
            <w:r w:rsidRPr="004900E8">
              <w:rPr>
                <w:rFonts w:ascii="Verdana" w:hAnsi="Verdana"/>
                <w:bCs/>
                <w:sz w:val="20"/>
                <w:szCs w:val="20"/>
              </w:rPr>
              <w:t xml:space="preserve">Main </w:t>
            </w:r>
            <w:r>
              <w:rPr>
                <w:rFonts w:ascii="Verdana" w:hAnsi="Verdana"/>
                <w:bCs/>
                <w:sz w:val="20"/>
                <w:szCs w:val="20"/>
              </w:rPr>
              <w:t>customer</w:t>
            </w:r>
            <w:r w:rsidRPr="004900E8">
              <w:rPr>
                <w:rFonts w:ascii="Verdana" w:hAnsi="Verdana"/>
                <w:bCs/>
                <w:sz w:val="20"/>
                <w:szCs w:val="20"/>
              </w:rPr>
              <w:t xml:space="preserve"> types executing transactions</w:t>
            </w:r>
          </w:p>
        </w:tc>
        <w:tc>
          <w:tcPr>
            <w:tcW w:w="4788" w:type="dxa"/>
            <w:shd w:val="clear" w:color="auto" w:fill="auto"/>
          </w:tcPr>
          <w:p w14:paraId="6DCDC901" w14:textId="77777777" w:rsidR="00E61EE7" w:rsidRPr="004900E8" w:rsidRDefault="00E61EE7" w:rsidP="00877173">
            <w:pPr>
              <w:jc w:val="both"/>
              <w:rPr>
                <w:rFonts w:ascii="Verdana" w:hAnsi="Verdana"/>
                <w:sz w:val="20"/>
                <w:szCs w:val="20"/>
              </w:rPr>
            </w:pPr>
            <w:r w:rsidRPr="004900E8">
              <w:rPr>
                <w:rFonts w:ascii="Verdana" w:hAnsi="Verdana"/>
                <w:sz w:val="20"/>
                <w:szCs w:val="20"/>
              </w:rPr>
              <w:t>Individuals, High Net Worth (HNW) individuals, HNW corporates and corporate customers</w:t>
            </w:r>
          </w:p>
        </w:tc>
      </w:tr>
      <w:tr w:rsidR="00E61EE7" w:rsidRPr="004900E8" w14:paraId="0374C43C" w14:textId="77777777" w:rsidTr="00877173">
        <w:tc>
          <w:tcPr>
            <w:tcW w:w="4590" w:type="dxa"/>
            <w:shd w:val="clear" w:color="auto" w:fill="auto"/>
            <w:vAlign w:val="bottom"/>
          </w:tcPr>
          <w:p w14:paraId="7D572D7D" w14:textId="67BE5FCA" w:rsidR="00E61EE7" w:rsidRPr="004900E8" w:rsidRDefault="00E61EE7" w:rsidP="00877173">
            <w:pPr>
              <w:jc w:val="both"/>
              <w:rPr>
                <w:rFonts w:ascii="Verdana" w:hAnsi="Verdana"/>
                <w:bCs/>
                <w:sz w:val="20"/>
                <w:szCs w:val="20"/>
              </w:rPr>
            </w:pPr>
            <w:r w:rsidRPr="004900E8">
              <w:rPr>
                <w:rFonts w:ascii="Verdana" w:hAnsi="Verdana"/>
                <w:bCs/>
                <w:sz w:val="20"/>
                <w:szCs w:val="20"/>
              </w:rPr>
              <w:t xml:space="preserve">% </w:t>
            </w:r>
            <w:r w:rsidR="000F062D">
              <w:rPr>
                <w:rFonts w:ascii="Verdana" w:hAnsi="Verdana"/>
                <w:bCs/>
                <w:sz w:val="20"/>
                <w:szCs w:val="20"/>
              </w:rPr>
              <w:t>SIB Licensees</w:t>
            </w:r>
            <w:r w:rsidR="000F062D" w:rsidRPr="004900E8">
              <w:rPr>
                <w:rFonts w:ascii="Verdana" w:hAnsi="Verdana"/>
                <w:bCs/>
                <w:sz w:val="20"/>
                <w:szCs w:val="20"/>
              </w:rPr>
              <w:t xml:space="preserve"> </w:t>
            </w:r>
            <w:r w:rsidRPr="004900E8">
              <w:rPr>
                <w:rFonts w:ascii="Verdana" w:hAnsi="Verdana"/>
                <w:bCs/>
                <w:sz w:val="20"/>
                <w:szCs w:val="20"/>
              </w:rPr>
              <w:t>using introducers</w:t>
            </w:r>
          </w:p>
        </w:tc>
        <w:tc>
          <w:tcPr>
            <w:tcW w:w="4788" w:type="dxa"/>
            <w:shd w:val="clear" w:color="auto" w:fill="auto"/>
          </w:tcPr>
          <w:p w14:paraId="14791058" w14:textId="77777777" w:rsidR="00E61EE7" w:rsidRPr="004900E8" w:rsidRDefault="00E61EE7" w:rsidP="00877173">
            <w:pPr>
              <w:jc w:val="both"/>
              <w:rPr>
                <w:rFonts w:ascii="Verdana" w:hAnsi="Verdana"/>
                <w:sz w:val="20"/>
                <w:szCs w:val="20"/>
              </w:rPr>
            </w:pPr>
            <w:r w:rsidRPr="004900E8">
              <w:rPr>
                <w:rFonts w:ascii="Verdana" w:hAnsi="Verdana"/>
                <w:sz w:val="20"/>
                <w:szCs w:val="20"/>
              </w:rPr>
              <w:t xml:space="preserve">10% </w:t>
            </w:r>
          </w:p>
        </w:tc>
      </w:tr>
      <w:tr w:rsidR="00E61EE7" w:rsidRPr="004900E8" w14:paraId="3561FA3F" w14:textId="77777777" w:rsidTr="00877173">
        <w:tc>
          <w:tcPr>
            <w:tcW w:w="4590" w:type="dxa"/>
            <w:shd w:val="clear" w:color="auto" w:fill="auto"/>
            <w:vAlign w:val="bottom"/>
          </w:tcPr>
          <w:p w14:paraId="3198D11E" w14:textId="77777777" w:rsidR="00E61EE7" w:rsidRPr="004900E8" w:rsidRDefault="00E61EE7" w:rsidP="00877173">
            <w:pPr>
              <w:jc w:val="both"/>
              <w:rPr>
                <w:rFonts w:ascii="Verdana" w:hAnsi="Verdana"/>
                <w:bCs/>
                <w:sz w:val="20"/>
                <w:szCs w:val="20"/>
              </w:rPr>
            </w:pPr>
            <w:r w:rsidRPr="004900E8">
              <w:rPr>
                <w:rFonts w:ascii="Verdana" w:hAnsi="Verdana"/>
                <w:bCs/>
                <w:sz w:val="20"/>
                <w:szCs w:val="20"/>
              </w:rPr>
              <w:t>Number of transactions</w:t>
            </w:r>
          </w:p>
        </w:tc>
        <w:tc>
          <w:tcPr>
            <w:tcW w:w="4788" w:type="dxa"/>
            <w:shd w:val="clear" w:color="auto" w:fill="auto"/>
          </w:tcPr>
          <w:p w14:paraId="4E9B42E4" w14:textId="77777777" w:rsidR="00E61EE7" w:rsidRPr="004900E8" w:rsidRDefault="00E61EE7" w:rsidP="00877173">
            <w:pPr>
              <w:jc w:val="both"/>
              <w:rPr>
                <w:rFonts w:ascii="Verdana" w:hAnsi="Verdana"/>
                <w:sz w:val="20"/>
                <w:szCs w:val="20"/>
              </w:rPr>
            </w:pPr>
            <w:r w:rsidRPr="004900E8">
              <w:rPr>
                <w:rFonts w:ascii="Verdana" w:hAnsi="Verdana"/>
                <w:sz w:val="20"/>
                <w:szCs w:val="20"/>
              </w:rPr>
              <w:t>6,228,244</w:t>
            </w:r>
          </w:p>
        </w:tc>
      </w:tr>
      <w:tr w:rsidR="00E61EE7" w:rsidRPr="004900E8" w14:paraId="186750FB" w14:textId="77777777" w:rsidTr="00877173">
        <w:tc>
          <w:tcPr>
            <w:tcW w:w="4590" w:type="dxa"/>
            <w:shd w:val="clear" w:color="auto" w:fill="auto"/>
            <w:vAlign w:val="bottom"/>
          </w:tcPr>
          <w:p w14:paraId="0ACA1F6D" w14:textId="0D6DC285" w:rsidR="00E61EE7" w:rsidRPr="004900E8" w:rsidRDefault="00E61EE7" w:rsidP="00877173">
            <w:pPr>
              <w:jc w:val="both"/>
              <w:rPr>
                <w:rFonts w:ascii="Verdana" w:hAnsi="Verdana"/>
                <w:bCs/>
                <w:sz w:val="20"/>
                <w:szCs w:val="20"/>
              </w:rPr>
            </w:pPr>
            <w:r w:rsidRPr="004900E8">
              <w:rPr>
                <w:rFonts w:ascii="Verdana" w:hAnsi="Verdana"/>
                <w:bCs/>
                <w:sz w:val="20"/>
                <w:szCs w:val="20"/>
              </w:rPr>
              <w:t xml:space="preserve">Main </w:t>
            </w:r>
            <w:r>
              <w:rPr>
                <w:rFonts w:ascii="Verdana" w:hAnsi="Verdana"/>
                <w:bCs/>
                <w:sz w:val="20"/>
                <w:szCs w:val="20"/>
              </w:rPr>
              <w:t>customer</w:t>
            </w:r>
            <w:r w:rsidRPr="004900E8">
              <w:rPr>
                <w:rFonts w:ascii="Verdana" w:hAnsi="Verdana"/>
                <w:bCs/>
                <w:sz w:val="20"/>
                <w:szCs w:val="20"/>
              </w:rPr>
              <w:t xml:space="preserve"> </w:t>
            </w:r>
            <w:r w:rsidR="00113EA6">
              <w:rPr>
                <w:rFonts w:ascii="Verdana" w:hAnsi="Verdana"/>
                <w:bCs/>
                <w:sz w:val="20"/>
                <w:szCs w:val="20"/>
              </w:rPr>
              <w:t>jurisdictions</w:t>
            </w:r>
          </w:p>
        </w:tc>
        <w:tc>
          <w:tcPr>
            <w:tcW w:w="4788" w:type="dxa"/>
            <w:shd w:val="clear" w:color="auto" w:fill="auto"/>
          </w:tcPr>
          <w:p w14:paraId="07245897" w14:textId="77777777" w:rsidR="00E61EE7" w:rsidRPr="004900E8" w:rsidRDefault="00E61EE7" w:rsidP="00877173">
            <w:pPr>
              <w:jc w:val="both"/>
              <w:rPr>
                <w:rFonts w:ascii="Verdana" w:hAnsi="Verdana"/>
                <w:sz w:val="20"/>
                <w:szCs w:val="20"/>
              </w:rPr>
            </w:pPr>
            <w:r w:rsidRPr="004900E8">
              <w:rPr>
                <w:rFonts w:ascii="Verdana" w:hAnsi="Verdana"/>
                <w:sz w:val="20"/>
                <w:szCs w:val="20"/>
              </w:rPr>
              <w:t>China (69%), Japan (7%), Cayman Islands (</w:t>
            </w:r>
            <w:r>
              <w:rPr>
                <w:rFonts w:ascii="Verdana" w:hAnsi="Verdana"/>
                <w:sz w:val="20"/>
                <w:szCs w:val="20"/>
              </w:rPr>
              <w:t>3</w:t>
            </w:r>
            <w:r w:rsidRPr="004900E8">
              <w:rPr>
                <w:rFonts w:ascii="Verdana" w:hAnsi="Verdana"/>
                <w:sz w:val="20"/>
                <w:szCs w:val="20"/>
              </w:rPr>
              <w:t>%) and Venezuela (2%).</w:t>
            </w:r>
          </w:p>
        </w:tc>
      </w:tr>
    </w:tbl>
    <w:p w14:paraId="726D0D36" w14:textId="07905508" w:rsidR="00E61EE7" w:rsidRDefault="00E61EE7" w:rsidP="00101474">
      <w:pPr>
        <w:spacing w:line="276" w:lineRule="auto"/>
        <w:jc w:val="both"/>
        <w:rPr>
          <w:rFonts w:ascii="Verdana" w:hAnsi="Verdana"/>
          <w:b/>
          <w:color w:val="000000" w:themeColor="text1"/>
          <w:sz w:val="20"/>
          <w:szCs w:val="20"/>
        </w:rPr>
      </w:pPr>
    </w:p>
    <w:p w14:paraId="3C820634" w14:textId="46CC1EA4" w:rsidR="00B933B4" w:rsidRDefault="00B933B4" w:rsidP="00CF22F3">
      <w:pPr>
        <w:pStyle w:val="ListParagraph"/>
        <w:numPr>
          <w:ilvl w:val="0"/>
          <w:numId w:val="24"/>
        </w:numPr>
        <w:spacing w:line="276" w:lineRule="auto"/>
        <w:jc w:val="both"/>
        <w:rPr>
          <w:rFonts w:ascii="Verdana" w:hAnsi="Verdana"/>
          <w:color w:val="000000" w:themeColor="text1"/>
          <w:sz w:val="20"/>
          <w:szCs w:val="20"/>
        </w:rPr>
      </w:pPr>
      <w:r w:rsidRPr="005D2F48">
        <w:rPr>
          <w:rFonts w:ascii="Verdana" w:hAnsi="Verdana"/>
          <w:color w:val="000000" w:themeColor="text1"/>
          <w:sz w:val="20"/>
          <w:szCs w:val="20"/>
        </w:rPr>
        <w:t xml:space="preserve">The SIBL is the main law regulating the securities </w:t>
      </w:r>
      <w:r w:rsidR="00A94665" w:rsidRPr="005D2F48">
        <w:rPr>
          <w:rFonts w:ascii="Verdana" w:hAnsi="Verdana"/>
          <w:color w:val="000000" w:themeColor="text1"/>
          <w:sz w:val="20"/>
          <w:szCs w:val="20"/>
        </w:rPr>
        <w:t>investment business industry</w:t>
      </w:r>
      <w:r w:rsidRPr="005D2F48">
        <w:rPr>
          <w:rFonts w:ascii="Verdana" w:hAnsi="Verdana"/>
          <w:color w:val="000000" w:themeColor="text1"/>
          <w:sz w:val="20"/>
          <w:szCs w:val="20"/>
        </w:rPr>
        <w:t xml:space="preserve"> in the Cayman Islands and sets out CIMA’s mandate in relation to SIB Licensees </w:t>
      </w:r>
      <w:r w:rsidR="00125BBE">
        <w:rPr>
          <w:rFonts w:ascii="Verdana" w:hAnsi="Verdana"/>
          <w:color w:val="000000" w:themeColor="text1"/>
          <w:sz w:val="20"/>
          <w:szCs w:val="20"/>
        </w:rPr>
        <w:t xml:space="preserve">that </w:t>
      </w:r>
      <w:r w:rsidRPr="005D2F48">
        <w:rPr>
          <w:rFonts w:ascii="Verdana" w:hAnsi="Verdana"/>
          <w:color w:val="000000" w:themeColor="text1"/>
          <w:sz w:val="20"/>
          <w:szCs w:val="20"/>
        </w:rPr>
        <w:t xml:space="preserve">are licensed and regulated by the Authority pursuant to section 6 of the SIBL. </w:t>
      </w:r>
    </w:p>
    <w:p w14:paraId="0B93022E" w14:textId="77777777" w:rsidR="00435332" w:rsidRDefault="00435332" w:rsidP="00435332">
      <w:pPr>
        <w:pStyle w:val="ListParagraph"/>
        <w:spacing w:line="276" w:lineRule="auto"/>
        <w:ind w:left="540"/>
        <w:jc w:val="both"/>
        <w:rPr>
          <w:rFonts w:ascii="Verdana" w:hAnsi="Verdana"/>
          <w:color w:val="000000" w:themeColor="text1"/>
          <w:sz w:val="20"/>
          <w:szCs w:val="20"/>
        </w:rPr>
      </w:pPr>
    </w:p>
    <w:p w14:paraId="0B798B92" w14:textId="577715D6" w:rsidR="00435332" w:rsidRDefault="00435332" w:rsidP="00435332">
      <w:pPr>
        <w:pStyle w:val="ListParagraph"/>
        <w:numPr>
          <w:ilvl w:val="0"/>
          <w:numId w:val="24"/>
        </w:numPr>
        <w:spacing w:line="276" w:lineRule="auto"/>
        <w:jc w:val="both"/>
        <w:rPr>
          <w:rFonts w:ascii="Verdana" w:hAnsi="Verdana"/>
          <w:color w:val="000000" w:themeColor="text1"/>
          <w:sz w:val="20"/>
          <w:szCs w:val="20"/>
        </w:rPr>
      </w:pPr>
      <w:r w:rsidRPr="005D2F48">
        <w:rPr>
          <w:rFonts w:ascii="Verdana" w:hAnsi="Verdana"/>
          <w:color w:val="000000" w:themeColor="text1"/>
          <w:sz w:val="20"/>
          <w:szCs w:val="20"/>
        </w:rPr>
        <w:t xml:space="preserve">The nature of the securities investment </w:t>
      </w:r>
      <w:r w:rsidR="005E3090">
        <w:rPr>
          <w:rFonts w:ascii="Verdana" w:hAnsi="Verdana"/>
          <w:color w:val="000000" w:themeColor="text1"/>
          <w:sz w:val="20"/>
          <w:szCs w:val="20"/>
        </w:rPr>
        <w:t xml:space="preserve">business </w:t>
      </w:r>
      <w:r w:rsidRPr="005D2F48">
        <w:rPr>
          <w:rFonts w:ascii="Verdana" w:hAnsi="Verdana"/>
          <w:color w:val="000000" w:themeColor="text1"/>
          <w:sz w:val="20"/>
          <w:szCs w:val="20"/>
        </w:rPr>
        <w:t xml:space="preserve">sector for SIB Licensees </w:t>
      </w:r>
      <w:r w:rsidR="001E5FD8">
        <w:rPr>
          <w:rFonts w:ascii="Verdana" w:hAnsi="Verdana"/>
          <w:color w:val="000000" w:themeColor="text1"/>
          <w:sz w:val="20"/>
          <w:szCs w:val="20"/>
        </w:rPr>
        <w:t>considers</w:t>
      </w:r>
      <w:r w:rsidRPr="005D2F48">
        <w:rPr>
          <w:rFonts w:ascii="Verdana" w:hAnsi="Verdana"/>
          <w:color w:val="000000" w:themeColor="text1"/>
          <w:sz w:val="20"/>
          <w:szCs w:val="20"/>
        </w:rPr>
        <w:t xml:space="preserve"> the </w:t>
      </w:r>
      <w:r>
        <w:rPr>
          <w:rFonts w:ascii="Verdana" w:hAnsi="Verdana"/>
          <w:color w:val="000000" w:themeColor="text1"/>
          <w:sz w:val="20"/>
          <w:szCs w:val="20"/>
        </w:rPr>
        <w:t>customer</w:t>
      </w:r>
      <w:r w:rsidRPr="005D2F48">
        <w:rPr>
          <w:rFonts w:ascii="Verdana" w:hAnsi="Verdana"/>
          <w:color w:val="000000" w:themeColor="text1"/>
          <w:sz w:val="20"/>
          <w:szCs w:val="20"/>
        </w:rPr>
        <w:t xml:space="preserve"> base and overall objective and strategies aimed to be undertaken to facilitate </w:t>
      </w:r>
      <w:r>
        <w:rPr>
          <w:rFonts w:ascii="Verdana" w:hAnsi="Verdana"/>
          <w:color w:val="000000" w:themeColor="text1"/>
          <w:sz w:val="20"/>
          <w:szCs w:val="20"/>
        </w:rPr>
        <w:t>customer</w:t>
      </w:r>
      <w:r w:rsidRPr="005D2F48">
        <w:rPr>
          <w:rFonts w:ascii="Verdana" w:hAnsi="Verdana"/>
          <w:color w:val="000000" w:themeColor="text1"/>
          <w:sz w:val="20"/>
          <w:szCs w:val="20"/>
        </w:rPr>
        <w:t>s according to their risk profiles. The sector has been evolving and becoming more global in nature, providing opportunities for more cross-border transactions with a relative degree of anonymity, thus increasing ML/TF vulnerabilities.</w:t>
      </w:r>
    </w:p>
    <w:p w14:paraId="665FE682" w14:textId="77777777" w:rsidR="0058313D" w:rsidRPr="0058313D" w:rsidRDefault="0058313D" w:rsidP="0058313D">
      <w:pPr>
        <w:pStyle w:val="ListParagraph"/>
        <w:rPr>
          <w:rFonts w:ascii="Verdana" w:hAnsi="Verdana"/>
          <w:color w:val="000000" w:themeColor="text1"/>
          <w:sz w:val="20"/>
          <w:szCs w:val="20"/>
        </w:rPr>
      </w:pPr>
    </w:p>
    <w:p w14:paraId="2D9932CE" w14:textId="4804E9F8" w:rsidR="00D719B4" w:rsidRDefault="00D719B4" w:rsidP="00D719B4">
      <w:pPr>
        <w:pStyle w:val="ListParagraph"/>
        <w:numPr>
          <w:ilvl w:val="0"/>
          <w:numId w:val="24"/>
        </w:numPr>
        <w:spacing w:line="276" w:lineRule="auto"/>
        <w:jc w:val="both"/>
        <w:rPr>
          <w:rFonts w:ascii="Verdana" w:hAnsi="Verdana"/>
          <w:color w:val="000000" w:themeColor="text1"/>
          <w:sz w:val="20"/>
          <w:szCs w:val="20"/>
        </w:rPr>
      </w:pPr>
      <w:r w:rsidRPr="005E3090">
        <w:rPr>
          <w:rFonts w:ascii="Verdana" w:hAnsi="Verdana"/>
          <w:color w:val="000000" w:themeColor="text1"/>
          <w:sz w:val="20"/>
          <w:szCs w:val="20"/>
        </w:rPr>
        <w:t xml:space="preserve">The </w:t>
      </w:r>
      <w:r>
        <w:rPr>
          <w:rFonts w:ascii="Verdana" w:hAnsi="Verdana"/>
          <w:color w:val="000000" w:themeColor="text1"/>
          <w:sz w:val="20"/>
          <w:szCs w:val="20"/>
        </w:rPr>
        <w:t xml:space="preserve">information </w:t>
      </w:r>
      <w:r w:rsidRPr="005E3090">
        <w:rPr>
          <w:rFonts w:ascii="Verdana" w:hAnsi="Verdana"/>
          <w:color w:val="000000" w:themeColor="text1"/>
          <w:sz w:val="20"/>
          <w:szCs w:val="20"/>
        </w:rPr>
        <w:t xml:space="preserve">below </w:t>
      </w:r>
      <w:r>
        <w:rPr>
          <w:rFonts w:ascii="Verdana" w:hAnsi="Verdana"/>
          <w:color w:val="000000" w:themeColor="text1"/>
          <w:sz w:val="20"/>
          <w:szCs w:val="20"/>
        </w:rPr>
        <w:t>was extracted from the</w:t>
      </w:r>
      <w:r w:rsidRPr="005E3090">
        <w:rPr>
          <w:rFonts w:ascii="Verdana" w:hAnsi="Verdana"/>
          <w:color w:val="000000" w:themeColor="text1"/>
          <w:sz w:val="20"/>
          <w:szCs w:val="20"/>
        </w:rPr>
        <w:t xml:space="preserve"> AML/CFT Forms</w:t>
      </w:r>
      <w:r>
        <w:rPr>
          <w:rFonts w:ascii="Verdana" w:hAnsi="Verdana"/>
          <w:color w:val="000000" w:themeColor="text1"/>
          <w:sz w:val="20"/>
          <w:szCs w:val="20"/>
        </w:rPr>
        <w:t xml:space="preserve"> submitted by SIB Licensees:</w:t>
      </w:r>
      <w:r w:rsidRPr="005E3090">
        <w:rPr>
          <w:color w:val="000000" w:themeColor="text1"/>
          <w:vertAlign w:val="superscript"/>
        </w:rPr>
        <w:footnoteReference w:id="5"/>
      </w:r>
    </w:p>
    <w:p w14:paraId="7F90AB07" w14:textId="77777777" w:rsidR="003D7517" w:rsidRPr="005E3090" w:rsidRDefault="003D7517" w:rsidP="00675EDB">
      <w:pPr>
        <w:pStyle w:val="ListParagraph"/>
        <w:spacing w:line="276" w:lineRule="auto"/>
        <w:ind w:left="540"/>
        <w:jc w:val="both"/>
        <w:rPr>
          <w:rFonts w:ascii="Verdana" w:hAnsi="Verdana"/>
          <w:color w:val="000000" w:themeColor="text1"/>
          <w:sz w:val="20"/>
          <w:szCs w:val="20"/>
        </w:rPr>
      </w:pPr>
    </w:p>
    <w:p w14:paraId="67A98385" w14:textId="790486FF" w:rsidR="00EC1E8F" w:rsidRDefault="000857E8" w:rsidP="008042EF">
      <w:pPr>
        <w:pStyle w:val="ListParagraph"/>
        <w:numPr>
          <w:ilvl w:val="0"/>
          <w:numId w:val="24"/>
        </w:numPr>
        <w:spacing w:line="276" w:lineRule="auto"/>
        <w:jc w:val="both"/>
        <w:rPr>
          <w:rFonts w:ascii="Verdana" w:hAnsi="Verdana"/>
          <w:color w:val="000000" w:themeColor="text1"/>
          <w:sz w:val="20"/>
          <w:szCs w:val="20"/>
        </w:rPr>
      </w:pPr>
      <w:r w:rsidRPr="0018660C">
        <w:rPr>
          <w:rFonts w:ascii="Verdana" w:hAnsi="Verdana"/>
          <w:color w:val="000000" w:themeColor="text1"/>
          <w:sz w:val="20"/>
          <w:szCs w:val="20"/>
        </w:rPr>
        <w:t>There were 3</w:t>
      </w:r>
      <w:r w:rsidR="00B933B4" w:rsidRPr="0018660C">
        <w:rPr>
          <w:rFonts w:ascii="Verdana" w:hAnsi="Verdana"/>
          <w:color w:val="000000" w:themeColor="text1"/>
          <w:sz w:val="20"/>
          <w:szCs w:val="20"/>
        </w:rPr>
        <w:t>5</w:t>
      </w:r>
      <w:r w:rsidRPr="0018660C">
        <w:rPr>
          <w:rFonts w:ascii="Verdana" w:hAnsi="Verdana"/>
          <w:color w:val="000000" w:themeColor="text1"/>
          <w:sz w:val="20"/>
          <w:szCs w:val="20"/>
        </w:rPr>
        <w:t xml:space="preserve"> SIB Licensees (34 Full and one Restricted)</w:t>
      </w:r>
      <w:r w:rsidR="00B933B4" w:rsidRPr="0018660C">
        <w:rPr>
          <w:rFonts w:ascii="Verdana" w:hAnsi="Verdana"/>
          <w:color w:val="000000" w:themeColor="text1"/>
          <w:sz w:val="20"/>
          <w:szCs w:val="20"/>
        </w:rPr>
        <w:t xml:space="preserve"> as at December 2019</w:t>
      </w:r>
      <w:r w:rsidRPr="0018660C">
        <w:rPr>
          <w:rFonts w:ascii="Verdana" w:hAnsi="Verdana"/>
          <w:color w:val="000000" w:themeColor="text1"/>
          <w:sz w:val="20"/>
          <w:szCs w:val="20"/>
        </w:rPr>
        <w:t xml:space="preserve">, </w:t>
      </w:r>
      <w:r w:rsidR="00492807">
        <w:rPr>
          <w:rFonts w:ascii="Verdana" w:hAnsi="Verdana"/>
          <w:color w:val="000000" w:themeColor="text1"/>
          <w:sz w:val="20"/>
          <w:szCs w:val="20"/>
        </w:rPr>
        <w:t xml:space="preserve">which provide a range of </w:t>
      </w:r>
      <w:r w:rsidRPr="0018660C">
        <w:rPr>
          <w:rFonts w:ascii="Verdana" w:hAnsi="Verdana"/>
          <w:color w:val="000000" w:themeColor="text1"/>
          <w:sz w:val="20"/>
          <w:szCs w:val="20"/>
        </w:rPr>
        <w:t xml:space="preserve"> licensable activities conducted in or from within the Cayman Islands</w:t>
      </w:r>
      <w:r w:rsidR="00492807">
        <w:rPr>
          <w:rFonts w:ascii="Verdana" w:hAnsi="Verdana"/>
          <w:color w:val="000000" w:themeColor="text1"/>
          <w:sz w:val="20"/>
          <w:szCs w:val="20"/>
        </w:rPr>
        <w:t>. SIBL Licensees</w:t>
      </w:r>
      <w:r w:rsidR="009D1F03" w:rsidRPr="0018660C">
        <w:rPr>
          <w:rFonts w:ascii="Verdana" w:hAnsi="Verdana"/>
          <w:color w:val="000000" w:themeColor="text1"/>
          <w:sz w:val="20"/>
          <w:szCs w:val="20"/>
        </w:rPr>
        <w:t xml:space="preserve"> range from small owner managed operations to large global organizations</w:t>
      </w:r>
      <w:r w:rsidRPr="0018660C">
        <w:rPr>
          <w:rFonts w:ascii="Verdana" w:hAnsi="Verdana"/>
          <w:color w:val="000000" w:themeColor="text1"/>
          <w:sz w:val="20"/>
          <w:szCs w:val="20"/>
        </w:rPr>
        <w:t>. The majority</w:t>
      </w:r>
      <w:r w:rsidR="00A94665" w:rsidRPr="0018660C">
        <w:rPr>
          <w:rFonts w:ascii="Verdana" w:hAnsi="Verdana"/>
          <w:color w:val="000000" w:themeColor="text1"/>
          <w:sz w:val="20"/>
          <w:szCs w:val="20"/>
        </w:rPr>
        <w:t>, 76%,</w:t>
      </w:r>
      <w:r w:rsidRPr="0018660C">
        <w:rPr>
          <w:rFonts w:ascii="Verdana" w:hAnsi="Verdana"/>
          <w:color w:val="000000" w:themeColor="text1"/>
          <w:sz w:val="20"/>
          <w:szCs w:val="20"/>
        </w:rPr>
        <w:t xml:space="preserve"> of the</w:t>
      </w:r>
      <w:r w:rsidR="00EB06C6" w:rsidRPr="0018660C">
        <w:rPr>
          <w:rFonts w:ascii="Verdana" w:hAnsi="Verdana"/>
          <w:color w:val="000000" w:themeColor="text1"/>
          <w:sz w:val="20"/>
          <w:szCs w:val="20"/>
        </w:rPr>
        <w:t>se</w:t>
      </w:r>
      <w:r w:rsidRPr="0018660C">
        <w:rPr>
          <w:rFonts w:ascii="Verdana" w:hAnsi="Verdana"/>
          <w:color w:val="000000" w:themeColor="text1"/>
          <w:sz w:val="20"/>
          <w:szCs w:val="20"/>
        </w:rPr>
        <w:t xml:space="preserve"> SIB Licensees maintain </w:t>
      </w:r>
      <w:r w:rsidR="00153D5E" w:rsidRPr="0018660C">
        <w:rPr>
          <w:rFonts w:ascii="Verdana" w:hAnsi="Verdana"/>
          <w:color w:val="000000" w:themeColor="text1"/>
          <w:sz w:val="20"/>
          <w:szCs w:val="20"/>
        </w:rPr>
        <w:t xml:space="preserve">a principal place of business </w:t>
      </w:r>
      <w:r w:rsidR="00B155E4" w:rsidRPr="00B155E4">
        <w:rPr>
          <w:rFonts w:ascii="Verdana" w:hAnsi="Verdana"/>
          <w:color w:val="000000" w:themeColor="text1"/>
          <w:sz w:val="20"/>
          <w:szCs w:val="20"/>
        </w:rPr>
        <w:t xml:space="preserve">where business is performed or outsourced </w:t>
      </w:r>
      <w:r w:rsidR="00153D5E" w:rsidRPr="0018660C">
        <w:rPr>
          <w:rFonts w:ascii="Verdana" w:hAnsi="Verdana"/>
          <w:color w:val="000000" w:themeColor="text1"/>
          <w:sz w:val="20"/>
          <w:szCs w:val="20"/>
        </w:rPr>
        <w:t>in the Cayman Islands</w:t>
      </w:r>
      <w:r w:rsidRPr="0018660C">
        <w:rPr>
          <w:rFonts w:ascii="Verdana" w:hAnsi="Verdana"/>
          <w:color w:val="000000" w:themeColor="text1"/>
          <w:sz w:val="20"/>
          <w:szCs w:val="20"/>
        </w:rPr>
        <w:t xml:space="preserve"> and provide more than one licensable activity</w:t>
      </w:r>
      <w:r w:rsidR="00036BDB">
        <w:rPr>
          <w:rFonts w:ascii="Verdana" w:hAnsi="Verdana"/>
          <w:color w:val="000000" w:themeColor="text1"/>
          <w:sz w:val="20"/>
          <w:szCs w:val="20"/>
        </w:rPr>
        <w:t>,</w:t>
      </w:r>
      <w:r w:rsidRPr="0018660C">
        <w:rPr>
          <w:rFonts w:ascii="Verdana" w:hAnsi="Verdana"/>
          <w:color w:val="000000" w:themeColor="text1"/>
          <w:sz w:val="20"/>
          <w:szCs w:val="20"/>
        </w:rPr>
        <w:t xml:space="preserve"> </w:t>
      </w:r>
      <w:r w:rsidR="00036BDB">
        <w:rPr>
          <w:rFonts w:ascii="Verdana" w:hAnsi="Verdana"/>
          <w:color w:val="000000" w:themeColor="text1"/>
          <w:sz w:val="20"/>
          <w:szCs w:val="20"/>
        </w:rPr>
        <w:t>o</w:t>
      </w:r>
      <w:r w:rsidR="00073D71" w:rsidRPr="0018660C">
        <w:rPr>
          <w:rFonts w:ascii="Verdana" w:hAnsi="Verdana"/>
          <w:color w:val="000000" w:themeColor="text1"/>
          <w:sz w:val="20"/>
          <w:szCs w:val="20"/>
        </w:rPr>
        <w:t xml:space="preserve">f </w:t>
      </w:r>
      <w:r w:rsidR="00036BDB">
        <w:rPr>
          <w:rFonts w:ascii="Verdana" w:hAnsi="Verdana"/>
          <w:color w:val="000000" w:themeColor="text1"/>
          <w:sz w:val="20"/>
          <w:szCs w:val="20"/>
        </w:rPr>
        <w:t>which</w:t>
      </w:r>
      <w:r w:rsidR="00073D71" w:rsidRPr="0018660C">
        <w:rPr>
          <w:rFonts w:ascii="Verdana" w:hAnsi="Verdana"/>
          <w:color w:val="000000" w:themeColor="text1"/>
          <w:sz w:val="20"/>
          <w:szCs w:val="20"/>
        </w:rPr>
        <w:t xml:space="preserve"> 69% have an entity within its group (parent, affiliate and/or subsidiary) structure that is based outside of the Cayman Islands</w:t>
      </w:r>
      <w:r w:rsidR="007A1401">
        <w:rPr>
          <w:rFonts w:ascii="Verdana" w:hAnsi="Verdana"/>
          <w:color w:val="000000" w:themeColor="text1"/>
          <w:sz w:val="20"/>
          <w:szCs w:val="20"/>
        </w:rPr>
        <w:t xml:space="preserve"> across 57 jurisdictions</w:t>
      </w:r>
      <w:r w:rsidR="00073D71" w:rsidRPr="0018660C">
        <w:rPr>
          <w:rFonts w:ascii="Verdana" w:hAnsi="Verdana"/>
          <w:color w:val="000000" w:themeColor="text1"/>
          <w:sz w:val="20"/>
          <w:szCs w:val="20"/>
        </w:rPr>
        <w:t>,</w:t>
      </w:r>
      <w:r w:rsidR="0018660C" w:rsidRPr="0018660C">
        <w:rPr>
          <w:rFonts w:ascii="Verdana" w:hAnsi="Verdana"/>
          <w:color w:val="000000" w:themeColor="text1"/>
          <w:sz w:val="20"/>
          <w:szCs w:val="20"/>
        </w:rPr>
        <w:t xml:space="preserve"> </w:t>
      </w:r>
      <w:r w:rsidR="00B155E4">
        <w:rPr>
          <w:rFonts w:ascii="Verdana" w:hAnsi="Verdana"/>
          <w:color w:val="000000" w:themeColor="text1"/>
          <w:sz w:val="20"/>
          <w:szCs w:val="20"/>
        </w:rPr>
        <w:t xml:space="preserve">but </w:t>
      </w:r>
      <w:r w:rsidR="00D719B4">
        <w:rPr>
          <w:rFonts w:ascii="Verdana" w:hAnsi="Verdana"/>
          <w:color w:val="000000" w:themeColor="text1"/>
          <w:sz w:val="20"/>
          <w:szCs w:val="20"/>
        </w:rPr>
        <w:t>primarily</w:t>
      </w:r>
      <w:r w:rsidR="00D719B4" w:rsidRPr="0018660C">
        <w:rPr>
          <w:rFonts w:ascii="Verdana" w:hAnsi="Verdana"/>
          <w:color w:val="000000" w:themeColor="text1"/>
          <w:sz w:val="20"/>
          <w:szCs w:val="20"/>
        </w:rPr>
        <w:t xml:space="preserve"> </w:t>
      </w:r>
      <w:r w:rsidR="007A1401">
        <w:rPr>
          <w:rFonts w:ascii="Verdana" w:hAnsi="Verdana"/>
          <w:color w:val="000000" w:themeColor="text1"/>
          <w:sz w:val="20"/>
          <w:szCs w:val="20"/>
        </w:rPr>
        <w:t xml:space="preserve">in </w:t>
      </w:r>
      <w:r w:rsidR="00D719B4">
        <w:rPr>
          <w:rFonts w:ascii="Verdana" w:hAnsi="Verdana"/>
          <w:color w:val="000000" w:themeColor="text1"/>
          <w:sz w:val="20"/>
          <w:szCs w:val="20"/>
        </w:rPr>
        <w:t xml:space="preserve">the </w:t>
      </w:r>
      <w:r w:rsidR="007A1401">
        <w:rPr>
          <w:rFonts w:ascii="Verdana" w:hAnsi="Verdana"/>
          <w:color w:val="000000" w:themeColor="text1"/>
          <w:sz w:val="20"/>
          <w:szCs w:val="20"/>
        </w:rPr>
        <w:t>British Virgin Islands, Bahamas and Canada</w:t>
      </w:r>
      <w:r w:rsidR="0018660C" w:rsidRPr="0018660C">
        <w:rPr>
          <w:rFonts w:ascii="Verdana" w:hAnsi="Verdana"/>
          <w:color w:val="000000" w:themeColor="text1"/>
          <w:sz w:val="20"/>
          <w:szCs w:val="20"/>
        </w:rPr>
        <w:t>.</w:t>
      </w:r>
    </w:p>
    <w:p w14:paraId="6B2D2A86" w14:textId="77777777" w:rsidR="009226F9" w:rsidRPr="009226F9" w:rsidRDefault="009226F9" w:rsidP="009226F9">
      <w:pPr>
        <w:pStyle w:val="ListParagraph"/>
        <w:rPr>
          <w:rFonts w:ascii="Verdana" w:hAnsi="Verdana"/>
          <w:color w:val="000000" w:themeColor="text1"/>
          <w:sz w:val="20"/>
          <w:szCs w:val="20"/>
        </w:rPr>
      </w:pPr>
    </w:p>
    <w:p w14:paraId="7F8CD9BB" w14:textId="470052CC" w:rsidR="009226F9" w:rsidRPr="005E3090" w:rsidRDefault="009226F9" w:rsidP="009226F9">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 xml:space="preserve">Assets under Management: As of June 2019, a total of $16.9 billion in assets were under management by </w:t>
      </w:r>
      <w:r>
        <w:rPr>
          <w:rFonts w:ascii="Verdana" w:hAnsi="Verdana"/>
          <w:sz w:val="20"/>
          <w:szCs w:val="20"/>
        </w:rPr>
        <w:t xml:space="preserve">the 29 reporting </w:t>
      </w:r>
      <w:r w:rsidRPr="005E3090">
        <w:rPr>
          <w:rFonts w:ascii="Verdana" w:hAnsi="Verdana"/>
          <w:sz w:val="20"/>
          <w:szCs w:val="20"/>
        </w:rPr>
        <w:t>SIB Licensees. 31% of SIB Licensees reported that they have assets under management for 74% of the total population of customers reported</w:t>
      </w:r>
      <w:r w:rsidR="00F857CF">
        <w:rPr>
          <w:rFonts w:ascii="Verdana" w:hAnsi="Verdana"/>
          <w:sz w:val="20"/>
          <w:szCs w:val="20"/>
        </w:rPr>
        <w:t>.</w:t>
      </w:r>
      <w:r w:rsidRPr="005E3090">
        <w:rPr>
          <w:rFonts w:ascii="Verdana" w:hAnsi="Verdana"/>
          <w:sz w:val="20"/>
          <w:szCs w:val="20"/>
        </w:rPr>
        <w:t xml:space="preserve"> </w:t>
      </w:r>
      <w:r>
        <w:rPr>
          <w:rFonts w:ascii="Verdana" w:hAnsi="Verdana"/>
          <w:sz w:val="20"/>
          <w:szCs w:val="20"/>
        </w:rPr>
        <w:t>However</w:t>
      </w:r>
      <w:r w:rsidR="00F857CF">
        <w:rPr>
          <w:rFonts w:ascii="Verdana" w:hAnsi="Verdana"/>
          <w:sz w:val="20"/>
          <w:szCs w:val="20"/>
        </w:rPr>
        <w:t>,</w:t>
      </w:r>
      <w:r>
        <w:rPr>
          <w:rFonts w:ascii="Verdana" w:hAnsi="Verdana"/>
          <w:sz w:val="20"/>
          <w:szCs w:val="20"/>
        </w:rPr>
        <w:t xml:space="preserve"> this is</w:t>
      </w:r>
      <w:r w:rsidRPr="005E3090">
        <w:rPr>
          <w:rFonts w:ascii="Verdana" w:hAnsi="Verdana"/>
          <w:sz w:val="20"/>
          <w:szCs w:val="20"/>
        </w:rPr>
        <w:t xml:space="preserve"> largely attributed to the assets being managed via online trading platforms by the customer directly as opposed to discretionary </w:t>
      </w:r>
      <w:r w:rsidRPr="005E3090">
        <w:rPr>
          <w:rFonts w:ascii="Verdana" w:hAnsi="Verdana"/>
          <w:sz w:val="20"/>
          <w:szCs w:val="20"/>
        </w:rPr>
        <w:lastRenderedPageBreak/>
        <w:t xml:space="preserve">trading by the SIB Licensees </w:t>
      </w:r>
      <w:r>
        <w:rPr>
          <w:rFonts w:ascii="Verdana" w:hAnsi="Verdana"/>
          <w:sz w:val="20"/>
          <w:szCs w:val="20"/>
        </w:rPr>
        <w:t>o</w:t>
      </w:r>
      <w:r w:rsidR="00F857CF">
        <w:rPr>
          <w:rFonts w:ascii="Verdana" w:hAnsi="Verdana"/>
          <w:sz w:val="20"/>
          <w:szCs w:val="20"/>
        </w:rPr>
        <w:t>n</w:t>
      </w:r>
      <w:r>
        <w:rPr>
          <w:rFonts w:ascii="Verdana" w:hAnsi="Verdana"/>
          <w:sz w:val="20"/>
          <w:szCs w:val="20"/>
        </w:rPr>
        <w:t xml:space="preserve"> behalf of the customers</w:t>
      </w:r>
      <w:r w:rsidRPr="005E3090">
        <w:rPr>
          <w:rFonts w:ascii="Verdana" w:hAnsi="Verdana"/>
          <w:sz w:val="20"/>
          <w:szCs w:val="20"/>
        </w:rPr>
        <w:t xml:space="preserve">. Based on these statistics, it is also noted that SIB Licensees that are securities advisors and securities arrangers and/or those that have confirmed that they do not receive customer funds contribute to these percentages.  </w:t>
      </w:r>
      <w:r>
        <w:rPr>
          <w:rFonts w:ascii="Verdana" w:hAnsi="Verdana"/>
          <w:sz w:val="20"/>
          <w:szCs w:val="20"/>
        </w:rPr>
        <w:t xml:space="preserve">The average portfolio size reported by </w:t>
      </w:r>
      <w:r w:rsidRPr="005E3090">
        <w:rPr>
          <w:rFonts w:ascii="Verdana" w:hAnsi="Verdana"/>
          <w:sz w:val="20"/>
          <w:szCs w:val="20"/>
        </w:rPr>
        <w:t xml:space="preserve">SIB Licensees </w:t>
      </w:r>
      <w:r>
        <w:rPr>
          <w:rFonts w:ascii="Verdana" w:hAnsi="Verdana"/>
          <w:sz w:val="20"/>
          <w:szCs w:val="20"/>
        </w:rPr>
        <w:t xml:space="preserve">was - </w:t>
      </w:r>
      <w:r w:rsidRPr="005E3090">
        <w:rPr>
          <w:rFonts w:ascii="Verdana" w:hAnsi="Verdana"/>
          <w:sz w:val="20"/>
          <w:szCs w:val="20"/>
        </w:rPr>
        <w:t xml:space="preserve">under US$5 million for 17% of customers, under US$50 million for 2% of customers and over US$50 million for 7% of customers. </w:t>
      </w:r>
      <w:r>
        <w:rPr>
          <w:rFonts w:ascii="Verdana" w:hAnsi="Verdana"/>
          <w:sz w:val="20"/>
          <w:szCs w:val="20"/>
        </w:rPr>
        <w:t xml:space="preserve">The reporting of assets under administration indicates that </w:t>
      </w:r>
      <w:r w:rsidRPr="005E3090">
        <w:rPr>
          <w:rFonts w:ascii="Verdana" w:hAnsi="Verdana"/>
          <w:sz w:val="20"/>
          <w:szCs w:val="20"/>
        </w:rPr>
        <w:t xml:space="preserve">26% of </w:t>
      </w:r>
      <w:r>
        <w:rPr>
          <w:rFonts w:ascii="Verdana" w:hAnsi="Verdana"/>
          <w:sz w:val="20"/>
          <w:szCs w:val="20"/>
        </w:rPr>
        <w:t xml:space="preserve">the </w:t>
      </w:r>
      <w:r w:rsidRPr="005E3090">
        <w:rPr>
          <w:rFonts w:ascii="Verdana" w:hAnsi="Verdana"/>
          <w:sz w:val="20"/>
          <w:szCs w:val="20"/>
        </w:rPr>
        <w:t xml:space="preserve">SIB Licensees </w:t>
      </w:r>
      <w:r>
        <w:rPr>
          <w:rFonts w:ascii="Verdana" w:hAnsi="Verdana"/>
          <w:sz w:val="20"/>
          <w:szCs w:val="20"/>
        </w:rPr>
        <w:t>manage</w:t>
      </w:r>
      <w:r w:rsidRPr="005E3090">
        <w:rPr>
          <w:rFonts w:ascii="Verdana" w:hAnsi="Verdana"/>
          <w:sz w:val="20"/>
          <w:szCs w:val="20"/>
        </w:rPr>
        <w:t xml:space="preserve"> approximately all </w:t>
      </w:r>
      <w:r>
        <w:rPr>
          <w:rFonts w:ascii="Verdana" w:hAnsi="Verdana"/>
          <w:sz w:val="20"/>
          <w:szCs w:val="20"/>
        </w:rPr>
        <w:t xml:space="preserve">such </w:t>
      </w:r>
      <w:r w:rsidRPr="005E3090">
        <w:rPr>
          <w:rFonts w:ascii="Verdana" w:hAnsi="Verdana"/>
          <w:sz w:val="20"/>
          <w:szCs w:val="20"/>
        </w:rPr>
        <w:t xml:space="preserve">assets and as such </w:t>
      </w:r>
      <w:r>
        <w:rPr>
          <w:rFonts w:ascii="Verdana" w:hAnsi="Verdana"/>
          <w:sz w:val="20"/>
          <w:szCs w:val="20"/>
        </w:rPr>
        <w:t xml:space="preserve">these SIB Licensees </w:t>
      </w:r>
      <w:r w:rsidRPr="005E3090">
        <w:rPr>
          <w:rFonts w:ascii="Verdana" w:hAnsi="Verdana"/>
          <w:sz w:val="20"/>
          <w:szCs w:val="20"/>
        </w:rPr>
        <w:t>would qualify as high risk</w:t>
      </w:r>
      <w:r>
        <w:rPr>
          <w:rFonts w:ascii="Verdana" w:hAnsi="Verdana"/>
          <w:sz w:val="20"/>
          <w:szCs w:val="20"/>
        </w:rPr>
        <w:t>,</w:t>
      </w:r>
      <w:r w:rsidRPr="005E3090">
        <w:rPr>
          <w:rFonts w:ascii="Verdana" w:hAnsi="Verdana"/>
          <w:sz w:val="20"/>
          <w:szCs w:val="20"/>
        </w:rPr>
        <w:t xml:space="preserve"> compared to the rest of the population</w:t>
      </w:r>
      <w:r>
        <w:rPr>
          <w:rFonts w:ascii="Verdana" w:hAnsi="Verdana"/>
          <w:sz w:val="20"/>
          <w:szCs w:val="20"/>
        </w:rPr>
        <w:t>,</w:t>
      </w:r>
      <w:r w:rsidRPr="005E3090">
        <w:rPr>
          <w:rFonts w:ascii="Verdana" w:hAnsi="Verdana"/>
          <w:sz w:val="20"/>
          <w:szCs w:val="20"/>
        </w:rPr>
        <w:t xml:space="preserve"> based on the overall value of </w:t>
      </w:r>
      <w:r>
        <w:rPr>
          <w:rFonts w:ascii="Verdana" w:hAnsi="Verdana"/>
          <w:sz w:val="20"/>
          <w:szCs w:val="20"/>
        </w:rPr>
        <w:t xml:space="preserve">their </w:t>
      </w:r>
      <w:r w:rsidRPr="005E3090">
        <w:rPr>
          <w:rFonts w:ascii="Verdana" w:hAnsi="Verdana"/>
          <w:sz w:val="20"/>
          <w:szCs w:val="20"/>
        </w:rPr>
        <w:t xml:space="preserve">assets under management. </w:t>
      </w:r>
    </w:p>
    <w:p w14:paraId="48C0ACB4" w14:textId="77777777" w:rsidR="00A21504" w:rsidRPr="00A21504" w:rsidRDefault="00A21504" w:rsidP="00A21504">
      <w:pPr>
        <w:pStyle w:val="ListParagraph"/>
        <w:rPr>
          <w:rFonts w:ascii="Verdana" w:hAnsi="Verdana"/>
          <w:color w:val="000000" w:themeColor="text1"/>
          <w:sz w:val="20"/>
          <w:szCs w:val="20"/>
        </w:rPr>
      </w:pPr>
    </w:p>
    <w:p w14:paraId="354094C4" w14:textId="6E0CA351" w:rsidR="00A21504" w:rsidRPr="00675EDB" w:rsidRDefault="000662FC" w:rsidP="00A21504">
      <w:pPr>
        <w:pStyle w:val="ListParagraph"/>
        <w:numPr>
          <w:ilvl w:val="0"/>
          <w:numId w:val="24"/>
        </w:numPr>
        <w:spacing w:line="276" w:lineRule="auto"/>
        <w:jc w:val="both"/>
        <w:rPr>
          <w:rFonts w:ascii="Verdana" w:hAnsi="Verdana"/>
          <w:color w:val="000000" w:themeColor="text1"/>
          <w:sz w:val="20"/>
          <w:szCs w:val="20"/>
        </w:rPr>
      </w:pPr>
      <w:r w:rsidRPr="00675EDB">
        <w:rPr>
          <w:rFonts w:ascii="Verdana" w:hAnsi="Verdana"/>
          <w:color w:val="000000" w:themeColor="text1"/>
          <w:sz w:val="20"/>
          <w:szCs w:val="20"/>
        </w:rPr>
        <w:t>In respect of fund flows</w:t>
      </w:r>
      <w:r w:rsidR="00A21504" w:rsidRPr="00675EDB">
        <w:rPr>
          <w:rFonts w:ascii="Verdana" w:hAnsi="Verdana"/>
          <w:color w:val="000000" w:themeColor="text1"/>
          <w:sz w:val="20"/>
          <w:szCs w:val="20"/>
        </w:rPr>
        <w:t xml:space="preserve">, SIB Licensees </w:t>
      </w:r>
      <w:r w:rsidRPr="00675EDB">
        <w:rPr>
          <w:rFonts w:ascii="Verdana" w:hAnsi="Verdana"/>
          <w:color w:val="000000" w:themeColor="text1"/>
          <w:sz w:val="20"/>
          <w:szCs w:val="20"/>
        </w:rPr>
        <w:t xml:space="preserve">reported that the </w:t>
      </w:r>
      <w:r w:rsidR="00A21504" w:rsidRPr="00675EDB">
        <w:rPr>
          <w:rFonts w:ascii="Verdana" w:hAnsi="Verdana"/>
          <w:color w:val="000000" w:themeColor="text1"/>
          <w:sz w:val="20"/>
          <w:szCs w:val="20"/>
        </w:rPr>
        <w:t>main destinations for customer funds were</w:t>
      </w:r>
      <w:r w:rsidRPr="00675EDB">
        <w:rPr>
          <w:rFonts w:ascii="Verdana" w:hAnsi="Verdana"/>
          <w:color w:val="000000" w:themeColor="text1"/>
          <w:sz w:val="20"/>
          <w:szCs w:val="20"/>
        </w:rPr>
        <w:t xml:space="preserve"> to</w:t>
      </w:r>
      <w:r w:rsidR="00A21504" w:rsidRPr="00675EDB">
        <w:rPr>
          <w:rFonts w:ascii="Verdana" w:hAnsi="Verdana"/>
          <w:color w:val="000000" w:themeColor="text1"/>
          <w:sz w:val="20"/>
          <w:szCs w:val="20"/>
        </w:rPr>
        <w:t xml:space="preserve"> the Cayman Islands, followed by Canada, the United Kingdom and the United States. About 1</w:t>
      </w:r>
      <w:r w:rsidR="001E5FD8" w:rsidRPr="00675EDB">
        <w:rPr>
          <w:rFonts w:ascii="Verdana" w:hAnsi="Verdana"/>
          <w:color w:val="000000" w:themeColor="text1"/>
          <w:sz w:val="20"/>
          <w:szCs w:val="20"/>
        </w:rPr>
        <w:t>7</w:t>
      </w:r>
      <w:r w:rsidR="00A21504" w:rsidRPr="00675EDB">
        <w:rPr>
          <w:rFonts w:ascii="Verdana" w:hAnsi="Verdana"/>
          <w:color w:val="000000" w:themeColor="text1"/>
          <w:sz w:val="20"/>
          <w:szCs w:val="20"/>
        </w:rPr>
        <w:t xml:space="preserve">% of respondents reported </w:t>
      </w:r>
      <w:r w:rsidRPr="00675EDB">
        <w:rPr>
          <w:rFonts w:ascii="Verdana" w:hAnsi="Verdana"/>
          <w:color w:val="000000" w:themeColor="text1"/>
          <w:sz w:val="20"/>
          <w:szCs w:val="20"/>
        </w:rPr>
        <w:t xml:space="preserve">fund flows to </w:t>
      </w:r>
      <w:r w:rsidR="00D719B4" w:rsidRPr="00675EDB">
        <w:rPr>
          <w:rFonts w:ascii="Verdana" w:hAnsi="Verdana"/>
          <w:color w:val="000000" w:themeColor="text1"/>
          <w:sz w:val="20"/>
          <w:szCs w:val="20"/>
        </w:rPr>
        <w:t xml:space="preserve">from </w:t>
      </w:r>
      <w:r w:rsidR="00A21504" w:rsidRPr="00675EDB">
        <w:rPr>
          <w:rFonts w:ascii="Verdana" w:hAnsi="Verdana"/>
          <w:color w:val="000000" w:themeColor="text1"/>
          <w:sz w:val="20"/>
          <w:szCs w:val="20"/>
        </w:rPr>
        <w:t>high-risk jurisdiction</w:t>
      </w:r>
      <w:r w:rsidR="001E5FD8" w:rsidRPr="00675EDB">
        <w:rPr>
          <w:rFonts w:ascii="Verdana" w:hAnsi="Verdana"/>
          <w:color w:val="000000" w:themeColor="text1"/>
          <w:sz w:val="20"/>
          <w:szCs w:val="20"/>
        </w:rPr>
        <w:t xml:space="preserve"> such as Angola, Botswana, Cambodia, Central African Republic, Ghana, Iceland, Iran, Kenya, Libya, Myanmar, Pakistan, Paraguay, Saudi Arabia, Sudan, Vietnam</w:t>
      </w:r>
      <w:r w:rsidR="00A21504" w:rsidRPr="00675EDB">
        <w:rPr>
          <w:rFonts w:ascii="Verdana" w:hAnsi="Verdana"/>
          <w:color w:val="000000" w:themeColor="text1"/>
          <w:sz w:val="20"/>
          <w:szCs w:val="20"/>
        </w:rPr>
        <w:t xml:space="preserve"> </w:t>
      </w:r>
      <w:r w:rsidR="001E5FD8" w:rsidRPr="00675EDB">
        <w:rPr>
          <w:rFonts w:ascii="Verdana" w:hAnsi="Verdana"/>
          <w:color w:val="000000" w:themeColor="text1"/>
          <w:sz w:val="20"/>
          <w:szCs w:val="20"/>
        </w:rPr>
        <w:t>and Zimbabwe</w:t>
      </w:r>
      <w:r w:rsidRPr="00675EDB">
        <w:rPr>
          <w:rFonts w:ascii="Verdana" w:hAnsi="Verdana"/>
          <w:color w:val="000000" w:themeColor="text1"/>
          <w:sz w:val="20"/>
          <w:szCs w:val="20"/>
        </w:rPr>
        <w:t>.</w:t>
      </w:r>
      <w:r w:rsidR="001E5FD8" w:rsidRPr="00675EDB">
        <w:rPr>
          <w:rFonts w:ascii="Verdana" w:hAnsi="Verdana"/>
          <w:color w:val="000000" w:themeColor="text1"/>
          <w:sz w:val="20"/>
          <w:szCs w:val="20"/>
        </w:rPr>
        <w:t xml:space="preserve"> </w:t>
      </w:r>
      <w:r w:rsidR="00A21504" w:rsidRPr="00675EDB">
        <w:rPr>
          <w:rFonts w:ascii="Verdana" w:hAnsi="Verdana"/>
          <w:color w:val="000000" w:themeColor="text1"/>
          <w:sz w:val="20"/>
          <w:szCs w:val="20"/>
        </w:rPr>
        <w:t xml:space="preserve">For customer funds transferred out, the </w:t>
      </w:r>
      <w:r w:rsidRPr="00675EDB">
        <w:rPr>
          <w:rFonts w:ascii="Verdana" w:hAnsi="Verdana"/>
          <w:color w:val="000000" w:themeColor="text1"/>
          <w:sz w:val="20"/>
          <w:szCs w:val="20"/>
        </w:rPr>
        <w:t xml:space="preserve">main </w:t>
      </w:r>
      <w:r w:rsidR="00A21504" w:rsidRPr="00675EDB">
        <w:rPr>
          <w:rFonts w:ascii="Verdana" w:hAnsi="Verdana"/>
          <w:color w:val="000000" w:themeColor="text1"/>
          <w:sz w:val="20"/>
          <w:szCs w:val="20"/>
        </w:rPr>
        <w:t xml:space="preserve">jurisdictions of origin were again identified as </w:t>
      </w:r>
      <w:r w:rsidRPr="00675EDB">
        <w:rPr>
          <w:rFonts w:ascii="Verdana" w:hAnsi="Verdana"/>
          <w:color w:val="000000" w:themeColor="text1"/>
          <w:sz w:val="20"/>
          <w:szCs w:val="20"/>
        </w:rPr>
        <w:t xml:space="preserve">being </w:t>
      </w:r>
      <w:r w:rsidR="00A21504" w:rsidRPr="00675EDB">
        <w:rPr>
          <w:rFonts w:ascii="Verdana" w:hAnsi="Verdana"/>
          <w:color w:val="000000" w:themeColor="text1"/>
          <w:sz w:val="20"/>
          <w:szCs w:val="20"/>
        </w:rPr>
        <w:t>the Cayman Islands, the United Kingdom and United States</w:t>
      </w:r>
      <w:r w:rsidRPr="00675EDB">
        <w:rPr>
          <w:rFonts w:ascii="Verdana" w:hAnsi="Verdana"/>
          <w:color w:val="000000" w:themeColor="text1"/>
          <w:sz w:val="20"/>
          <w:szCs w:val="20"/>
        </w:rPr>
        <w:t>,</w:t>
      </w:r>
      <w:r w:rsidR="00A21504" w:rsidRPr="00675EDB">
        <w:rPr>
          <w:rFonts w:ascii="Verdana" w:hAnsi="Verdana"/>
          <w:color w:val="000000" w:themeColor="text1"/>
          <w:sz w:val="20"/>
          <w:szCs w:val="20"/>
        </w:rPr>
        <w:t xml:space="preserve"> followed by Canada. Of all respondents, 10% reported a high-risk jurisdiction to be the originator of customer funds.</w:t>
      </w:r>
    </w:p>
    <w:p w14:paraId="3C7AF7C1" w14:textId="77777777" w:rsidR="005E3090" w:rsidRPr="008042EF" w:rsidRDefault="005E3090" w:rsidP="005E3090">
      <w:pPr>
        <w:pStyle w:val="ListParagraph"/>
        <w:spacing w:line="276" w:lineRule="auto"/>
        <w:ind w:left="540"/>
        <w:jc w:val="both"/>
        <w:rPr>
          <w:rFonts w:ascii="Verdana" w:hAnsi="Verdana"/>
          <w:sz w:val="20"/>
          <w:szCs w:val="20"/>
        </w:rPr>
      </w:pPr>
    </w:p>
    <w:p w14:paraId="40AA34E6" w14:textId="38A9F003" w:rsidR="00EC1E8F" w:rsidRDefault="00341712" w:rsidP="00CF22F3">
      <w:pPr>
        <w:pStyle w:val="ListParagraph"/>
        <w:numPr>
          <w:ilvl w:val="0"/>
          <w:numId w:val="24"/>
        </w:numPr>
        <w:spacing w:line="276" w:lineRule="auto"/>
        <w:jc w:val="both"/>
        <w:rPr>
          <w:rFonts w:ascii="Verdana" w:hAnsi="Verdana"/>
          <w:color w:val="000000" w:themeColor="text1"/>
          <w:sz w:val="20"/>
          <w:szCs w:val="20"/>
        </w:rPr>
      </w:pPr>
      <w:r w:rsidRPr="0018660C">
        <w:rPr>
          <w:rFonts w:ascii="Verdana" w:hAnsi="Verdana"/>
          <w:color w:val="000000" w:themeColor="text1"/>
          <w:sz w:val="20"/>
          <w:szCs w:val="20"/>
        </w:rPr>
        <w:t xml:space="preserve">14% of </w:t>
      </w:r>
      <w:r w:rsidR="00EB06C6" w:rsidRPr="0018660C">
        <w:rPr>
          <w:rFonts w:ascii="Verdana" w:hAnsi="Verdana"/>
          <w:color w:val="000000" w:themeColor="text1"/>
          <w:sz w:val="20"/>
          <w:szCs w:val="20"/>
        </w:rPr>
        <w:t xml:space="preserve">the </w:t>
      </w:r>
      <w:r w:rsidRPr="0018660C">
        <w:rPr>
          <w:rFonts w:ascii="Verdana" w:hAnsi="Verdana"/>
          <w:color w:val="000000" w:themeColor="text1"/>
          <w:sz w:val="20"/>
          <w:szCs w:val="20"/>
        </w:rPr>
        <w:t>SIB L</w:t>
      </w:r>
      <w:r w:rsidR="00EC1E8F" w:rsidRPr="0018660C">
        <w:rPr>
          <w:rFonts w:ascii="Verdana" w:hAnsi="Verdana"/>
          <w:color w:val="000000" w:themeColor="text1"/>
          <w:sz w:val="20"/>
          <w:szCs w:val="20"/>
        </w:rPr>
        <w:t xml:space="preserve">icensees </w:t>
      </w:r>
      <w:r w:rsidR="003D7517">
        <w:rPr>
          <w:rFonts w:ascii="Verdana" w:hAnsi="Verdana"/>
          <w:color w:val="000000" w:themeColor="text1"/>
          <w:sz w:val="20"/>
          <w:szCs w:val="20"/>
        </w:rPr>
        <w:t xml:space="preserve">that responded to the AML/CFT survey </w:t>
      </w:r>
      <w:r w:rsidR="00EC1E8F" w:rsidRPr="0018660C">
        <w:rPr>
          <w:rFonts w:ascii="Verdana" w:hAnsi="Verdana"/>
          <w:color w:val="000000" w:themeColor="text1"/>
          <w:sz w:val="20"/>
          <w:szCs w:val="20"/>
        </w:rPr>
        <w:t xml:space="preserve">only </w:t>
      </w:r>
      <w:r w:rsidR="00EB266A" w:rsidRPr="0018660C">
        <w:rPr>
          <w:rFonts w:ascii="Verdana" w:hAnsi="Verdana"/>
          <w:color w:val="000000" w:themeColor="text1"/>
          <w:sz w:val="20"/>
          <w:szCs w:val="20"/>
        </w:rPr>
        <w:t>arrang</w:t>
      </w:r>
      <w:r w:rsidR="00EB266A">
        <w:rPr>
          <w:rFonts w:ascii="Verdana" w:hAnsi="Verdana"/>
          <w:color w:val="000000" w:themeColor="text1"/>
          <w:sz w:val="20"/>
          <w:szCs w:val="20"/>
        </w:rPr>
        <w:t>e</w:t>
      </w:r>
      <w:r w:rsidR="00EB266A" w:rsidRPr="0018660C">
        <w:rPr>
          <w:rFonts w:ascii="Verdana" w:hAnsi="Verdana"/>
          <w:color w:val="000000" w:themeColor="text1"/>
          <w:sz w:val="20"/>
          <w:szCs w:val="20"/>
        </w:rPr>
        <w:t xml:space="preserve"> </w:t>
      </w:r>
      <w:r w:rsidRPr="0018660C">
        <w:rPr>
          <w:rFonts w:ascii="Verdana" w:hAnsi="Verdana"/>
          <w:color w:val="000000" w:themeColor="text1"/>
          <w:sz w:val="20"/>
          <w:szCs w:val="20"/>
        </w:rPr>
        <w:t>deals in securities</w:t>
      </w:r>
      <w:r w:rsidR="00CF22F3" w:rsidRPr="0018660C">
        <w:rPr>
          <w:vertAlign w:val="superscript"/>
        </w:rPr>
        <w:footnoteReference w:id="6"/>
      </w:r>
      <w:r w:rsidRPr="0018660C">
        <w:rPr>
          <w:rFonts w:ascii="Verdana" w:hAnsi="Verdana"/>
          <w:color w:val="000000" w:themeColor="text1"/>
          <w:sz w:val="20"/>
          <w:szCs w:val="20"/>
        </w:rPr>
        <w:t xml:space="preserve"> </w:t>
      </w:r>
      <w:r w:rsidR="00EC1E8F" w:rsidRPr="0018660C">
        <w:rPr>
          <w:rFonts w:ascii="Verdana" w:hAnsi="Verdana"/>
          <w:color w:val="000000" w:themeColor="text1"/>
          <w:sz w:val="20"/>
          <w:szCs w:val="20"/>
        </w:rPr>
        <w:t xml:space="preserve">and </w:t>
      </w:r>
      <w:r w:rsidRPr="0018660C">
        <w:rPr>
          <w:rFonts w:ascii="Verdana" w:hAnsi="Verdana"/>
          <w:color w:val="000000" w:themeColor="text1"/>
          <w:sz w:val="20"/>
          <w:szCs w:val="20"/>
        </w:rPr>
        <w:t>advis</w:t>
      </w:r>
      <w:r w:rsidR="00EB266A">
        <w:rPr>
          <w:rFonts w:ascii="Verdana" w:hAnsi="Verdana"/>
          <w:color w:val="000000" w:themeColor="text1"/>
          <w:sz w:val="20"/>
          <w:szCs w:val="20"/>
        </w:rPr>
        <w:t>e</w:t>
      </w:r>
      <w:r w:rsidRPr="0018660C">
        <w:rPr>
          <w:rFonts w:ascii="Verdana" w:hAnsi="Verdana"/>
          <w:color w:val="000000" w:themeColor="text1"/>
          <w:sz w:val="20"/>
          <w:szCs w:val="20"/>
        </w:rPr>
        <w:t xml:space="preserve"> on securities</w:t>
      </w:r>
      <w:r w:rsidR="00CF22F3" w:rsidRPr="0018660C">
        <w:rPr>
          <w:vertAlign w:val="superscript"/>
        </w:rPr>
        <w:footnoteReference w:id="7"/>
      </w:r>
      <w:r w:rsidR="00EC1E8F" w:rsidRPr="0018660C">
        <w:rPr>
          <w:rFonts w:ascii="Verdana" w:hAnsi="Verdana"/>
          <w:color w:val="000000" w:themeColor="text1"/>
          <w:sz w:val="20"/>
          <w:szCs w:val="20"/>
        </w:rPr>
        <w:t xml:space="preserve"> </w:t>
      </w:r>
      <w:r w:rsidRPr="0018660C">
        <w:rPr>
          <w:rFonts w:ascii="Verdana" w:hAnsi="Verdana"/>
          <w:color w:val="000000" w:themeColor="text1"/>
          <w:sz w:val="20"/>
          <w:szCs w:val="20"/>
        </w:rPr>
        <w:t xml:space="preserve">and </w:t>
      </w:r>
      <w:r w:rsidR="00EC1E8F" w:rsidRPr="0018660C">
        <w:rPr>
          <w:rFonts w:ascii="Verdana" w:hAnsi="Verdana"/>
          <w:color w:val="000000" w:themeColor="text1"/>
          <w:sz w:val="20"/>
          <w:szCs w:val="20"/>
        </w:rPr>
        <w:t>pose lower risk</w:t>
      </w:r>
      <w:r w:rsidRPr="0018660C">
        <w:rPr>
          <w:rFonts w:ascii="Verdana" w:hAnsi="Verdana"/>
          <w:color w:val="000000" w:themeColor="text1"/>
          <w:sz w:val="20"/>
          <w:szCs w:val="20"/>
        </w:rPr>
        <w:t xml:space="preserve"> than those dealing in securities which also include market makers</w:t>
      </w:r>
      <w:r w:rsidR="00CF22F3" w:rsidRPr="0018660C">
        <w:rPr>
          <w:vertAlign w:val="superscript"/>
        </w:rPr>
        <w:footnoteReference w:id="8"/>
      </w:r>
      <w:r w:rsidRPr="0018660C">
        <w:rPr>
          <w:rFonts w:ascii="Verdana" w:hAnsi="Verdana"/>
          <w:color w:val="000000" w:themeColor="text1"/>
          <w:sz w:val="20"/>
          <w:szCs w:val="20"/>
        </w:rPr>
        <w:t xml:space="preserve"> </w:t>
      </w:r>
      <w:r w:rsidR="00EC1E8F" w:rsidRPr="0018660C">
        <w:rPr>
          <w:rFonts w:ascii="Verdana" w:hAnsi="Verdana"/>
          <w:color w:val="000000" w:themeColor="text1"/>
          <w:sz w:val="20"/>
          <w:szCs w:val="20"/>
        </w:rPr>
        <w:t>without exercising discretion over the investment activity</w:t>
      </w:r>
      <w:r w:rsidRPr="005D2F48">
        <w:rPr>
          <w:rFonts w:ascii="Verdana" w:hAnsi="Verdana"/>
          <w:color w:val="000000" w:themeColor="text1"/>
          <w:sz w:val="20"/>
          <w:szCs w:val="20"/>
        </w:rPr>
        <w:t xml:space="preserve">. </w:t>
      </w:r>
      <w:r w:rsidR="00270342">
        <w:rPr>
          <w:rFonts w:ascii="Verdana" w:hAnsi="Verdana"/>
          <w:color w:val="000000" w:themeColor="text1"/>
          <w:sz w:val="20"/>
          <w:szCs w:val="20"/>
        </w:rPr>
        <w:t>A</w:t>
      </w:r>
      <w:r w:rsidR="00270342" w:rsidRPr="005D2F48">
        <w:rPr>
          <w:rFonts w:ascii="Verdana" w:hAnsi="Verdana"/>
          <w:color w:val="000000" w:themeColor="text1"/>
          <w:sz w:val="20"/>
          <w:szCs w:val="20"/>
        </w:rPr>
        <w:t xml:space="preserve"> </w:t>
      </w:r>
      <w:r w:rsidR="00EC1E8F" w:rsidRPr="005D2F48">
        <w:rPr>
          <w:rFonts w:ascii="Verdana" w:hAnsi="Verdana"/>
          <w:color w:val="000000" w:themeColor="text1"/>
          <w:sz w:val="20"/>
          <w:szCs w:val="20"/>
        </w:rPr>
        <w:t>highe</w:t>
      </w:r>
      <w:r w:rsidR="001E5FD8">
        <w:rPr>
          <w:rFonts w:ascii="Verdana" w:hAnsi="Verdana"/>
          <w:color w:val="000000" w:themeColor="text1"/>
          <w:sz w:val="20"/>
          <w:szCs w:val="20"/>
        </w:rPr>
        <w:t xml:space="preserve">r </w:t>
      </w:r>
      <w:r w:rsidR="00EC1E8F" w:rsidRPr="005D2F48">
        <w:rPr>
          <w:rFonts w:ascii="Verdana" w:hAnsi="Verdana"/>
          <w:color w:val="000000" w:themeColor="text1"/>
          <w:sz w:val="20"/>
          <w:szCs w:val="20"/>
        </w:rPr>
        <w:t xml:space="preserve">risk </w:t>
      </w:r>
      <w:r w:rsidR="00270342">
        <w:rPr>
          <w:rFonts w:ascii="Verdana" w:hAnsi="Verdana"/>
          <w:color w:val="000000" w:themeColor="text1"/>
          <w:sz w:val="20"/>
          <w:szCs w:val="20"/>
        </w:rPr>
        <w:t xml:space="preserve">is </w:t>
      </w:r>
      <w:r w:rsidR="00EC1E8F" w:rsidRPr="005D2F48">
        <w:rPr>
          <w:rFonts w:ascii="Verdana" w:hAnsi="Verdana"/>
          <w:color w:val="000000" w:themeColor="text1"/>
          <w:sz w:val="20"/>
          <w:szCs w:val="20"/>
        </w:rPr>
        <w:t>posed by</w:t>
      </w:r>
      <w:r w:rsidRPr="005D2F48">
        <w:rPr>
          <w:rFonts w:ascii="Verdana" w:hAnsi="Verdana"/>
          <w:color w:val="000000" w:themeColor="text1"/>
          <w:sz w:val="20"/>
          <w:szCs w:val="20"/>
        </w:rPr>
        <w:t xml:space="preserve"> SIB L</w:t>
      </w:r>
      <w:r w:rsidR="00EC1E8F" w:rsidRPr="005D2F48">
        <w:rPr>
          <w:rFonts w:ascii="Verdana" w:hAnsi="Verdana"/>
          <w:color w:val="000000" w:themeColor="text1"/>
          <w:sz w:val="20"/>
          <w:szCs w:val="20"/>
        </w:rPr>
        <w:t xml:space="preserve">icensees </w:t>
      </w:r>
      <w:r w:rsidR="00CA7B6B" w:rsidRPr="0018660C">
        <w:rPr>
          <w:rFonts w:ascii="Verdana" w:hAnsi="Verdana"/>
          <w:color w:val="000000" w:themeColor="text1"/>
          <w:sz w:val="20"/>
          <w:szCs w:val="20"/>
        </w:rPr>
        <w:t xml:space="preserve">dealing in securities </w:t>
      </w:r>
      <w:r w:rsidR="00CA7B6B">
        <w:rPr>
          <w:rFonts w:ascii="Verdana" w:hAnsi="Verdana"/>
          <w:color w:val="000000" w:themeColor="text1"/>
          <w:sz w:val="20"/>
          <w:szCs w:val="20"/>
        </w:rPr>
        <w:t>with</w:t>
      </w:r>
      <w:r w:rsidR="00270342" w:rsidRPr="005D2F48">
        <w:rPr>
          <w:rFonts w:ascii="Verdana" w:hAnsi="Verdana"/>
          <w:color w:val="000000" w:themeColor="text1"/>
          <w:sz w:val="20"/>
          <w:szCs w:val="20"/>
        </w:rPr>
        <w:t xml:space="preserve"> </w:t>
      </w:r>
      <w:r w:rsidR="00E101E5">
        <w:rPr>
          <w:rFonts w:ascii="Verdana" w:hAnsi="Verdana"/>
          <w:color w:val="000000" w:themeColor="text1"/>
          <w:sz w:val="20"/>
          <w:szCs w:val="20"/>
        </w:rPr>
        <w:t xml:space="preserve">the ability to </w:t>
      </w:r>
      <w:r w:rsidR="00EC1E8F" w:rsidRPr="005D2F48">
        <w:rPr>
          <w:rFonts w:ascii="Verdana" w:hAnsi="Verdana"/>
          <w:color w:val="000000" w:themeColor="text1"/>
          <w:sz w:val="20"/>
          <w:szCs w:val="20"/>
        </w:rPr>
        <w:t>exercise discretion over the investment activities and by</w:t>
      </w:r>
      <w:r w:rsidRPr="005D2F48">
        <w:rPr>
          <w:rFonts w:ascii="Verdana" w:hAnsi="Verdana"/>
          <w:color w:val="000000" w:themeColor="text1"/>
          <w:sz w:val="20"/>
          <w:szCs w:val="20"/>
        </w:rPr>
        <w:t xml:space="preserve"> SIB</w:t>
      </w:r>
      <w:r w:rsidR="00EC1E8F" w:rsidRPr="005D2F48">
        <w:rPr>
          <w:rFonts w:ascii="Verdana" w:hAnsi="Verdana"/>
          <w:color w:val="000000" w:themeColor="text1"/>
          <w:sz w:val="20"/>
          <w:szCs w:val="20"/>
        </w:rPr>
        <w:t xml:space="preserve"> Licensees </w:t>
      </w:r>
      <w:r w:rsidRPr="005D2F48">
        <w:rPr>
          <w:rFonts w:ascii="Verdana" w:hAnsi="Verdana"/>
          <w:color w:val="000000" w:themeColor="text1"/>
          <w:sz w:val="20"/>
          <w:szCs w:val="20"/>
        </w:rPr>
        <w:t>managing securities</w:t>
      </w:r>
      <w:r w:rsidR="00CF22F3" w:rsidRPr="005D2F48">
        <w:rPr>
          <w:vertAlign w:val="superscript"/>
        </w:rPr>
        <w:footnoteReference w:id="9"/>
      </w:r>
      <w:r w:rsidRPr="005D2F48">
        <w:rPr>
          <w:rFonts w:ascii="Verdana" w:hAnsi="Verdana"/>
          <w:color w:val="000000" w:themeColor="text1"/>
          <w:sz w:val="20"/>
          <w:szCs w:val="20"/>
        </w:rPr>
        <w:t xml:space="preserve">; which </w:t>
      </w:r>
      <w:r w:rsidR="00CA7B6B">
        <w:rPr>
          <w:rFonts w:ascii="Verdana" w:hAnsi="Verdana"/>
          <w:color w:val="000000" w:themeColor="text1"/>
          <w:sz w:val="20"/>
          <w:szCs w:val="20"/>
        </w:rPr>
        <w:t>comprises</w:t>
      </w:r>
      <w:r w:rsidRPr="005D2F48">
        <w:rPr>
          <w:rFonts w:ascii="Verdana" w:hAnsi="Verdana"/>
          <w:color w:val="000000" w:themeColor="text1"/>
          <w:sz w:val="20"/>
          <w:szCs w:val="20"/>
        </w:rPr>
        <w:t xml:space="preserve"> the remaining 86% of the SIB Licensees.</w:t>
      </w:r>
    </w:p>
    <w:p w14:paraId="19222E8C" w14:textId="77777777" w:rsidR="00CA7B6B" w:rsidRDefault="00CA7B6B" w:rsidP="009D1F03">
      <w:pPr>
        <w:spacing w:line="276" w:lineRule="auto"/>
        <w:jc w:val="both"/>
        <w:rPr>
          <w:rFonts w:ascii="Verdana" w:hAnsi="Verdana"/>
          <w:sz w:val="20"/>
          <w:szCs w:val="20"/>
          <w:u w:val="single"/>
        </w:rPr>
      </w:pPr>
    </w:p>
    <w:p w14:paraId="57081913" w14:textId="3DAC616C" w:rsidR="009D1F03" w:rsidRPr="005D2F48" w:rsidRDefault="009D1F03" w:rsidP="009D1F03">
      <w:pPr>
        <w:spacing w:line="276" w:lineRule="auto"/>
        <w:jc w:val="both"/>
        <w:rPr>
          <w:rFonts w:ascii="Verdana" w:hAnsi="Verdana"/>
          <w:sz w:val="20"/>
          <w:szCs w:val="20"/>
          <w:u w:val="single"/>
        </w:rPr>
      </w:pPr>
      <w:r w:rsidRPr="005D2F48">
        <w:rPr>
          <w:rFonts w:ascii="Verdana" w:hAnsi="Verdana"/>
          <w:sz w:val="20"/>
          <w:szCs w:val="20"/>
          <w:u w:val="single"/>
        </w:rPr>
        <w:t>Conclusion for Risk Category on Nature, Size and Complexity of the Sector</w:t>
      </w:r>
    </w:p>
    <w:p w14:paraId="172AA9D8" w14:textId="77777777" w:rsidR="00882CA4" w:rsidRDefault="00F1506C" w:rsidP="00A21504">
      <w:pPr>
        <w:pStyle w:val="ListParagraph"/>
        <w:numPr>
          <w:ilvl w:val="0"/>
          <w:numId w:val="24"/>
        </w:numPr>
        <w:spacing w:line="276" w:lineRule="auto"/>
        <w:jc w:val="both"/>
        <w:rPr>
          <w:rFonts w:ascii="Verdana" w:hAnsi="Verdana"/>
          <w:sz w:val="20"/>
          <w:szCs w:val="20"/>
        </w:rPr>
      </w:pPr>
      <w:r>
        <w:rPr>
          <w:rFonts w:ascii="Verdana" w:hAnsi="Verdana"/>
          <w:sz w:val="20"/>
          <w:szCs w:val="20"/>
        </w:rPr>
        <w:t xml:space="preserve">Although the data shows that </w:t>
      </w:r>
      <w:r w:rsidR="00F857CF">
        <w:rPr>
          <w:rFonts w:ascii="Verdana" w:hAnsi="Verdana"/>
          <w:sz w:val="20"/>
          <w:szCs w:val="20"/>
        </w:rPr>
        <w:t xml:space="preserve">SIB Licensees </w:t>
      </w:r>
      <w:r>
        <w:rPr>
          <w:rFonts w:ascii="Verdana" w:hAnsi="Verdana"/>
          <w:sz w:val="20"/>
          <w:szCs w:val="20"/>
        </w:rPr>
        <w:t>have an international customer base p</w:t>
      </w:r>
      <w:r w:rsidR="00F857CF">
        <w:rPr>
          <w:rFonts w:ascii="Verdana" w:hAnsi="Verdana"/>
          <w:sz w:val="20"/>
          <w:szCs w:val="20"/>
        </w:rPr>
        <w:t xml:space="preserve">redominantly </w:t>
      </w:r>
      <w:r>
        <w:rPr>
          <w:rFonts w:ascii="Verdana" w:hAnsi="Verdana"/>
          <w:sz w:val="20"/>
          <w:szCs w:val="20"/>
        </w:rPr>
        <w:t>outside of</w:t>
      </w:r>
      <w:r w:rsidR="00F857CF">
        <w:rPr>
          <w:rFonts w:ascii="Verdana" w:hAnsi="Verdana"/>
          <w:sz w:val="20"/>
          <w:szCs w:val="20"/>
        </w:rPr>
        <w:t xml:space="preserve"> the Cayman Islands</w:t>
      </w:r>
      <w:r>
        <w:rPr>
          <w:rFonts w:ascii="Verdana" w:hAnsi="Verdana"/>
          <w:sz w:val="20"/>
          <w:szCs w:val="20"/>
        </w:rPr>
        <w:t>, a significant numbe</w:t>
      </w:r>
      <w:r w:rsidR="00882CA4">
        <w:rPr>
          <w:rFonts w:ascii="Verdana" w:hAnsi="Verdana"/>
          <w:sz w:val="20"/>
          <w:szCs w:val="20"/>
        </w:rPr>
        <w:t xml:space="preserve">r, 98%, </w:t>
      </w:r>
      <w:r>
        <w:rPr>
          <w:rFonts w:ascii="Verdana" w:hAnsi="Verdana"/>
          <w:sz w:val="20"/>
          <w:szCs w:val="20"/>
        </w:rPr>
        <w:t>of these clients are domiciled in countries with an equivalent AML/CFT framework</w:t>
      </w:r>
      <w:r w:rsidR="00F857CF">
        <w:rPr>
          <w:rFonts w:ascii="Verdana" w:hAnsi="Verdana"/>
          <w:sz w:val="20"/>
          <w:szCs w:val="20"/>
        </w:rPr>
        <w:t xml:space="preserve">. </w:t>
      </w:r>
    </w:p>
    <w:p w14:paraId="73177F8A" w14:textId="77777777" w:rsidR="00882CA4" w:rsidRDefault="00882CA4" w:rsidP="00882CA4">
      <w:pPr>
        <w:pStyle w:val="ListParagraph"/>
        <w:spacing w:line="276" w:lineRule="auto"/>
        <w:ind w:left="540"/>
        <w:jc w:val="both"/>
        <w:rPr>
          <w:rFonts w:ascii="Verdana" w:hAnsi="Verdana"/>
          <w:sz w:val="20"/>
          <w:szCs w:val="20"/>
        </w:rPr>
      </w:pPr>
    </w:p>
    <w:p w14:paraId="4436665F" w14:textId="658D0E77" w:rsidR="00F857CF" w:rsidRDefault="00882CA4" w:rsidP="00A21504">
      <w:pPr>
        <w:pStyle w:val="ListParagraph"/>
        <w:numPr>
          <w:ilvl w:val="0"/>
          <w:numId w:val="24"/>
        </w:numPr>
        <w:spacing w:line="276" w:lineRule="auto"/>
        <w:jc w:val="both"/>
        <w:rPr>
          <w:rFonts w:ascii="Verdana" w:hAnsi="Verdana"/>
          <w:sz w:val="20"/>
          <w:szCs w:val="20"/>
        </w:rPr>
      </w:pPr>
      <w:r>
        <w:rPr>
          <w:rFonts w:ascii="Verdana" w:hAnsi="Verdana"/>
          <w:sz w:val="20"/>
          <w:szCs w:val="20"/>
        </w:rPr>
        <w:t>While</w:t>
      </w:r>
      <w:r w:rsidR="00F857CF">
        <w:rPr>
          <w:rFonts w:ascii="Verdana" w:hAnsi="Verdana"/>
          <w:sz w:val="20"/>
          <w:szCs w:val="20"/>
        </w:rPr>
        <w:t xml:space="preserve"> 10% of </w:t>
      </w:r>
      <w:r>
        <w:rPr>
          <w:rFonts w:ascii="Verdana" w:hAnsi="Verdana"/>
          <w:sz w:val="20"/>
          <w:szCs w:val="20"/>
        </w:rPr>
        <w:t xml:space="preserve">the </w:t>
      </w:r>
      <w:r w:rsidR="00F857CF">
        <w:rPr>
          <w:rFonts w:ascii="Verdana" w:hAnsi="Verdana"/>
          <w:sz w:val="20"/>
          <w:szCs w:val="20"/>
        </w:rPr>
        <w:t>SIB Licensee</w:t>
      </w:r>
      <w:r>
        <w:rPr>
          <w:rFonts w:ascii="Verdana" w:hAnsi="Verdana"/>
          <w:sz w:val="20"/>
          <w:szCs w:val="20"/>
        </w:rPr>
        <w:t xml:space="preserve"> respondents</w:t>
      </w:r>
      <w:r w:rsidR="00F857CF">
        <w:rPr>
          <w:rFonts w:ascii="Verdana" w:hAnsi="Verdana"/>
          <w:sz w:val="20"/>
          <w:szCs w:val="20"/>
        </w:rPr>
        <w:t xml:space="preserve"> account for 79% of assets under management</w:t>
      </w:r>
      <w:r>
        <w:rPr>
          <w:rFonts w:ascii="Verdana" w:hAnsi="Verdana"/>
          <w:sz w:val="20"/>
          <w:szCs w:val="20"/>
        </w:rPr>
        <w:t>, they account for only</w:t>
      </w:r>
      <w:r w:rsidR="003E3BDB">
        <w:rPr>
          <w:rFonts w:ascii="Verdana" w:hAnsi="Verdana"/>
          <w:sz w:val="20"/>
          <w:szCs w:val="20"/>
        </w:rPr>
        <w:t xml:space="preserve"> 0.3% of </w:t>
      </w:r>
      <w:r>
        <w:rPr>
          <w:rFonts w:ascii="Verdana" w:hAnsi="Verdana"/>
          <w:sz w:val="20"/>
          <w:szCs w:val="20"/>
        </w:rPr>
        <w:t>the total reported</w:t>
      </w:r>
      <w:r w:rsidR="00F857CF">
        <w:rPr>
          <w:rFonts w:ascii="Verdana" w:hAnsi="Verdana"/>
          <w:sz w:val="20"/>
          <w:szCs w:val="20"/>
        </w:rPr>
        <w:t xml:space="preserve"> transactions</w:t>
      </w:r>
      <w:r w:rsidR="003E3BDB">
        <w:rPr>
          <w:rFonts w:ascii="Verdana" w:hAnsi="Verdana"/>
          <w:sz w:val="20"/>
          <w:szCs w:val="20"/>
        </w:rPr>
        <w:t xml:space="preserve">. </w:t>
      </w:r>
    </w:p>
    <w:p w14:paraId="4D27CC1F" w14:textId="77777777" w:rsidR="00F857CF" w:rsidRDefault="00F857CF" w:rsidP="00882CA4">
      <w:pPr>
        <w:pStyle w:val="ListParagraph"/>
        <w:spacing w:line="276" w:lineRule="auto"/>
        <w:ind w:left="540"/>
        <w:jc w:val="both"/>
        <w:rPr>
          <w:rFonts w:ascii="Verdana" w:hAnsi="Verdana"/>
          <w:sz w:val="20"/>
          <w:szCs w:val="20"/>
        </w:rPr>
      </w:pPr>
    </w:p>
    <w:p w14:paraId="5F9EC89D" w14:textId="14A09FFC" w:rsidR="00584FB8" w:rsidRPr="005D2F48" w:rsidRDefault="009D1F03" w:rsidP="009D1F03">
      <w:pPr>
        <w:pStyle w:val="ListParagraph"/>
        <w:numPr>
          <w:ilvl w:val="0"/>
          <w:numId w:val="24"/>
        </w:numPr>
        <w:spacing w:line="276" w:lineRule="auto"/>
        <w:jc w:val="both"/>
        <w:rPr>
          <w:rFonts w:ascii="Verdana" w:hAnsi="Verdana"/>
          <w:color w:val="000000" w:themeColor="text1"/>
          <w:sz w:val="20"/>
          <w:szCs w:val="20"/>
        </w:rPr>
      </w:pPr>
      <w:r w:rsidRPr="005D2F48">
        <w:rPr>
          <w:rFonts w:ascii="Verdana" w:hAnsi="Verdana"/>
          <w:color w:val="000000" w:themeColor="text1"/>
          <w:sz w:val="20"/>
          <w:szCs w:val="20"/>
        </w:rPr>
        <w:t>SIB Licensees that engage in s</w:t>
      </w:r>
      <w:r w:rsidR="00584FB8" w:rsidRPr="005D2F48">
        <w:rPr>
          <w:rFonts w:ascii="Verdana" w:hAnsi="Verdana"/>
          <w:color w:val="000000" w:themeColor="text1"/>
          <w:sz w:val="20"/>
          <w:szCs w:val="20"/>
        </w:rPr>
        <w:t xml:space="preserve">ecurities arranging and advising </w:t>
      </w:r>
      <w:r w:rsidRPr="005D2F48">
        <w:rPr>
          <w:rFonts w:ascii="Verdana" w:hAnsi="Verdana"/>
          <w:color w:val="000000" w:themeColor="text1"/>
          <w:sz w:val="20"/>
          <w:szCs w:val="20"/>
        </w:rPr>
        <w:t>are</w:t>
      </w:r>
      <w:r w:rsidR="00584FB8" w:rsidRPr="005D2F48">
        <w:rPr>
          <w:rFonts w:ascii="Verdana" w:hAnsi="Verdana"/>
          <w:color w:val="000000" w:themeColor="text1"/>
          <w:sz w:val="20"/>
          <w:szCs w:val="20"/>
        </w:rPr>
        <w:t xml:space="preserve"> deemed</w:t>
      </w:r>
      <w:r w:rsidRPr="005D2F48">
        <w:rPr>
          <w:rFonts w:ascii="Verdana" w:hAnsi="Verdana"/>
          <w:color w:val="000000" w:themeColor="text1"/>
          <w:sz w:val="20"/>
          <w:szCs w:val="20"/>
        </w:rPr>
        <w:t xml:space="preserve"> to be</w:t>
      </w:r>
      <w:r w:rsidR="00584FB8" w:rsidRPr="005D2F48">
        <w:rPr>
          <w:rFonts w:ascii="Verdana" w:hAnsi="Verdana"/>
          <w:color w:val="000000" w:themeColor="text1"/>
          <w:sz w:val="20"/>
          <w:szCs w:val="20"/>
        </w:rPr>
        <w:t xml:space="preserve"> less risky than broker dealers, market makers and securities managers</w:t>
      </w:r>
      <w:r w:rsidR="00E101E5">
        <w:rPr>
          <w:rFonts w:ascii="Verdana" w:hAnsi="Verdana"/>
          <w:color w:val="000000" w:themeColor="text1"/>
          <w:sz w:val="20"/>
          <w:szCs w:val="20"/>
        </w:rPr>
        <w:t xml:space="preserve">. This is because </w:t>
      </w:r>
      <w:r w:rsidR="00584FB8" w:rsidRPr="005D2F48">
        <w:rPr>
          <w:rFonts w:ascii="Verdana" w:hAnsi="Verdana"/>
          <w:color w:val="000000" w:themeColor="text1"/>
          <w:sz w:val="20"/>
          <w:szCs w:val="20"/>
        </w:rPr>
        <w:t xml:space="preserve">a securities advisor may not </w:t>
      </w:r>
      <w:r w:rsidR="006C66B0">
        <w:rPr>
          <w:rFonts w:ascii="Verdana" w:hAnsi="Verdana"/>
          <w:color w:val="000000" w:themeColor="text1"/>
          <w:sz w:val="20"/>
          <w:szCs w:val="20"/>
        </w:rPr>
        <w:t xml:space="preserve">be </w:t>
      </w:r>
      <w:r w:rsidR="00584FB8" w:rsidRPr="005D2F48">
        <w:rPr>
          <w:rFonts w:ascii="Verdana" w:hAnsi="Verdana"/>
          <w:color w:val="000000" w:themeColor="text1"/>
          <w:sz w:val="20"/>
          <w:szCs w:val="20"/>
        </w:rPr>
        <w:t xml:space="preserve">directly involved with the exchange of funds from their </w:t>
      </w:r>
      <w:r w:rsidR="0035452C" w:rsidRPr="005D2F48">
        <w:rPr>
          <w:rFonts w:ascii="Verdana" w:hAnsi="Verdana"/>
          <w:color w:val="000000" w:themeColor="text1"/>
          <w:sz w:val="20"/>
          <w:szCs w:val="20"/>
        </w:rPr>
        <w:lastRenderedPageBreak/>
        <w:t>customers</w:t>
      </w:r>
      <w:r w:rsidR="004048F9">
        <w:rPr>
          <w:rFonts w:ascii="Verdana" w:hAnsi="Verdana"/>
          <w:color w:val="000000" w:themeColor="text1"/>
          <w:sz w:val="20"/>
          <w:szCs w:val="20"/>
        </w:rPr>
        <w:t xml:space="preserve">.  However, </w:t>
      </w:r>
      <w:r w:rsidR="005D2F48" w:rsidRPr="005D2F48">
        <w:rPr>
          <w:rFonts w:ascii="Verdana" w:hAnsi="Verdana"/>
          <w:color w:val="000000" w:themeColor="text1"/>
          <w:sz w:val="20"/>
          <w:szCs w:val="20"/>
        </w:rPr>
        <w:t xml:space="preserve">given that the SIB Licensees </w:t>
      </w:r>
      <w:r w:rsidR="004048F9">
        <w:rPr>
          <w:rFonts w:ascii="Verdana" w:hAnsi="Verdana"/>
          <w:color w:val="000000" w:themeColor="text1"/>
          <w:sz w:val="20"/>
          <w:szCs w:val="20"/>
        </w:rPr>
        <w:t xml:space="preserve">engaged in these activities </w:t>
      </w:r>
      <w:r w:rsidR="005D2F48" w:rsidRPr="005D2F48">
        <w:rPr>
          <w:rFonts w:ascii="Verdana" w:hAnsi="Verdana"/>
          <w:color w:val="000000" w:themeColor="text1"/>
          <w:sz w:val="20"/>
          <w:szCs w:val="20"/>
        </w:rPr>
        <w:t xml:space="preserve">account for 86% of the total population, this risk is categorized as </w:t>
      </w:r>
      <w:r w:rsidR="00675EDB">
        <w:rPr>
          <w:rFonts w:ascii="Verdana" w:hAnsi="Verdana"/>
          <w:color w:val="000000" w:themeColor="text1"/>
          <w:sz w:val="20"/>
          <w:szCs w:val="20"/>
        </w:rPr>
        <w:t xml:space="preserve">medium </w:t>
      </w:r>
      <w:r w:rsidR="005D2F48" w:rsidRPr="005D2F48">
        <w:rPr>
          <w:rFonts w:ascii="Verdana" w:hAnsi="Verdana"/>
          <w:color w:val="000000" w:themeColor="text1"/>
          <w:sz w:val="20"/>
          <w:szCs w:val="20"/>
        </w:rPr>
        <w:t>high</w:t>
      </w:r>
      <w:r w:rsidR="00584FB8" w:rsidRPr="005D2F48">
        <w:rPr>
          <w:rFonts w:ascii="Verdana" w:hAnsi="Verdana"/>
          <w:color w:val="000000" w:themeColor="text1"/>
          <w:sz w:val="20"/>
          <w:szCs w:val="20"/>
        </w:rPr>
        <w:t xml:space="preserve">. </w:t>
      </w:r>
    </w:p>
    <w:p w14:paraId="4C3123B5" w14:textId="573F4260" w:rsidR="00717D76" w:rsidRDefault="00717D76" w:rsidP="00717D76">
      <w:pPr>
        <w:pStyle w:val="ListParagraph"/>
        <w:spacing w:line="276" w:lineRule="auto"/>
        <w:ind w:left="540"/>
        <w:jc w:val="both"/>
        <w:rPr>
          <w:rFonts w:ascii="Verdana" w:hAnsi="Verdana"/>
          <w:color w:val="000000" w:themeColor="text1"/>
          <w:sz w:val="20"/>
          <w:szCs w:val="20"/>
          <w:highlight w:val="yellow"/>
        </w:rPr>
      </w:pPr>
    </w:p>
    <w:tbl>
      <w:tblPr>
        <w:tblStyle w:val="TableGrid"/>
        <w:tblW w:w="6750" w:type="dxa"/>
        <w:tblInd w:w="108" w:type="dxa"/>
        <w:shd w:val="clear" w:color="auto" w:fill="FFC000"/>
        <w:tblLook w:val="04A0" w:firstRow="1" w:lastRow="0" w:firstColumn="1" w:lastColumn="0" w:noHBand="0" w:noVBand="1"/>
      </w:tblPr>
      <w:tblGrid>
        <w:gridCol w:w="6750"/>
      </w:tblGrid>
      <w:tr w:rsidR="00717D76" w:rsidRPr="00B47CAF" w14:paraId="777D9FD5" w14:textId="77777777" w:rsidTr="00675EDB">
        <w:tc>
          <w:tcPr>
            <w:tcW w:w="6750" w:type="dxa"/>
            <w:shd w:val="clear" w:color="auto" w:fill="FFC000"/>
          </w:tcPr>
          <w:p w14:paraId="26DFEC6C" w14:textId="2BF302F2" w:rsidR="00717D76" w:rsidRPr="00B47CAF" w:rsidRDefault="00717D76" w:rsidP="008042EF">
            <w:pPr>
              <w:jc w:val="both"/>
              <w:rPr>
                <w:rFonts w:ascii="Verdana" w:hAnsi="Verdana"/>
                <w:b/>
                <w:sz w:val="20"/>
                <w:szCs w:val="20"/>
              </w:rPr>
            </w:pPr>
            <w:r>
              <w:rPr>
                <w:rFonts w:ascii="Verdana" w:hAnsi="Verdana"/>
                <w:b/>
                <w:sz w:val="20"/>
                <w:szCs w:val="20"/>
              </w:rPr>
              <w:t>Nature, Size and Complexity Risks</w:t>
            </w:r>
            <w:r w:rsidRPr="00B47CAF">
              <w:rPr>
                <w:rFonts w:ascii="Verdana" w:hAnsi="Verdana"/>
                <w:b/>
                <w:sz w:val="20"/>
                <w:szCs w:val="20"/>
              </w:rPr>
              <w:t xml:space="preserve"> </w:t>
            </w:r>
          </w:p>
        </w:tc>
      </w:tr>
      <w:tr w:rsidR="00717D76" w:rsidRPr="00B47CAF" w14:paraId="538CBC35" w14:textId="77777777" w:rsidTr="00675EDB">
        <w:tc>
          <w:tcPr>
            <w:tcW w:w="6750" w:type="dxa"/>
            <w:shd w:val="clear" w:color="auto" w:fill="FFC000"/>
          </w:tcPr>
          <w:p w14:paraId="29699BDA" w14:textId="70B0F669" w:rsidR="00717D76" w:rsidRPr="00B47CAF" w:rsidRDefault="00717D76" w:rsidP="008042EF">
            <w:pPr>
              <w:pStyle w:val="ListParagraph"/>
              <w:ind w:left="0"/>
              <w:rPr>
                <w:rFonts w:ascii="Verdana" w:hAnsi="Verdana"/>
                <w:sz w:val="20"/>
                <w:szCs w:val="20"/>
              </w:rPr>
            </w:pPr>
            <w:r w:rsidRPr="00B47CAF">
              <w:rPr>
                <w:rFonts w:ascii="Verdana" w:hAnsi="Verdana"/>
                <w:sz w:val="20"/>
                <w:szCs w:val="20"/>
              </w:rPr>
              <w:t xml:space="preserve">Risk rating: </w:t>
            </w:r>
            <w:r w:rsidR="005E3090">
              <w:rPr>
                <w:rFonts w:ascii="Verdana" w:hAnsi="Verdana"/>
                <w:b/>
                <w:sz w:val="20"/>
                <w:szCs w:val="20"/>
              </w:rPr>
              <w:t>Medium High</w:t>
            </w:r>
          </w:p>
        </w:tc>
      </w:tr>
    </w:tbl>
    <w:p w14:paraId="219AB05D" w14:textId="77777777" w:rsidR="004E3CD9" w:rsidRPr="00101474" w:rsidRDefault="004E3CD9" w:rsidP="00101474">
      <w:pPr>
        <w:spacing w:line="276" w:lineRule="auto"/>
        <w:jc w:val="both"/>
        <w:rPr>
          <w:rFonts w:ascii="Verdana" w:hAnsi="Verdana"/>
          <w:b/>
          <w:color w:val="000000" w:themeColor="text1"/>
          <w:sz w:val="20"/>
          <w:szCs w:val="20"/>
        </w:rPr>
      </w:pPr>
    </w:p>
    <w:p w14:paraId="466C96EF" w14:textId="4AF4ED63" w:rsidR="00063C5E" w:rsidRPr="006C6355" w:rsidRDefault="008B63BE" w:rsidP="00101474">
      <w:pPr>
        <w:spacing w:line="276" w:lineRule="auto"/>
        <w:jc w:val="both"/>
        <w:rPr>
          <w:rFonts w:ascii="Verdana" w:hAnsi="Verdana"/>
          <w:b/>
          <w:color w:val="000000" w:themeColor="text1"/>
          <w:sz w:val="20"/>
          <w:szCs w:val="20"/>
        </w:rPr>
      </w:pPr>
      <w:r w:rsidRPr="006C6355">
        <w:rPr>
          <w:rFonts w:ascii="Verdana" w:hAnsi="Verdana"/>
          <w:b/>
          <w:color w:val="000000" w:themeColor="text1"/>
          <w:sz w:val="20"/>
          <w:szCs w:val="20"/>
        </w:rPr>
        <w:t>Customer</w:t>
      </w:r>
      <w:r w:rsidR="0074559C" w:rsidRPr="006C6355">
        <w:rPr>
          <w:rFonts w:ascii="Verdana" w:hAnsi="Verdana"/>
          <w:b/>
          <w:color w:val="000000" w:themeColor="text1"/>
          <w:sz w:val="20"/>
          <w:szCs w:val="20"/>
        </w:rPr>
        <w:t xml:space="preserve"> </w:t>
      </w:r>
      <w:r w:rsidRPr="006C6355">
        <w:rPr>
          <w:rFonts w:ascii="Verdana" w:hAnsi="Verdana"/>
          <w:b/>
          <w:color w:val="000000" w:themeColor="text1"/>
          <w:sz w:val="20"/>
          <w:szCs w:val="20"/>
        </w:rPr>
        <w:t>Risks</w:t>
      </w:r>
    </w:p>
    <w:p w14:paraId="4EE71CAD" w14:textId="77777777" w:rsidR="00552E43" w:rsidRPr="006C6355" w:rsidRDefault="00552E43" w:rsidP="00101474">
      <w:pPr>
        <w:spacing w:line="276" w:lineRule="auto"/>
        <w:jc w:val="both"/>
        <w:rPr>
          <w:rFonts w:ascii="Verdana" w:hAnsi="Verdana"/>
          <w:b/>
          <w:color w:val="000000" w:themeColor="text1"/>
          <w:sz w:val="20"/>
          <w:szCs w:val="20"/>
        </w:rPr>
      </w:pPr>
    </w:p>
    <w:p w14:paraId="1343E820" w14:textId="296F3492" w:rsidR="00C37028" w:rsidRPr="006C6355" w:rsidRDefault="009C75B4" w:rsidP="005E3090">
      <w:pPr>
        <w:pStyle w:val="ListParagraph"/>
        <w:numPr>
          <w:ilvl w:val="0"/>
          <w:numId w:val="24"/>
        </w:numPr>
        <w:spacing w:line="276" w:lineRule="auto"/>
        <w:jc w:val="both"/>
        <w:rPr>
          <w:rFonts w:ascii="Verdana" w:hAnsi="Verdana"/>
          <w:color w:val="000000" w:themeColor="text1"/>
          <w:sz w:val="20"/>
          <w:szCs w:val="20"/>
        </w:rPr>
      </w:pPr>
      <w:r w:rsidRPr="006C6355">
        <w:rPr>
          <w:rFonts w:ascii="Verdana" w:hAnsi="Verdana"/>
          <w:color w:val="000000" w:themeColor="text1"/>
          <w:sz w:val="20"/>
          <w:szCs w:val="20"/>
        </w:rPr>
        <w:t>SIB Licensees</w:t>
      </w:r>
      <w:r w:rsidR="00552E43" w:rsidRPr="006C6355">
        <w:rPr>
          <w:rFonts w:ascii="Verdana" w:hAnsi="Verdana"/>
          <w:color w:val="000000" w:themeColor="text1"/>
          <w:sz w:val="20"/>
          <w:szCs w:val="20"/>
        </w:rPr>
        <w:t xml:space="preserve"> </w:t>
      </w:r>
      <w:r w:rsidR="0022546E">
        <w:rPr>
          <w:rFonts w:ascii="Verdana" w:hAnsi="Verdana"/>
          <w:color w:val="000000" w:themeColor="text1"/>
          <w:sz w:val="20"/>
          <w:szCs w:val="20"/>
        </w:rPr>
        <w:t xml:space="preserve">responding to the survey </w:t>
      </w:r>
      <w:r w:rsidR="001E3783" w:rsidRPr="006C6355">
        <w:rPr>
          <w:rFonts w:ascii="Verdana" w:hAnsi="Verdana"/>
          <w:color w:val="000000" w:themeColor="text1"/>
          <w:sz w:val="20"/>
          <w:szCs w:val="20"/>
        </w:rPr>
        <w:t xml:space="preserve">reported a total of </w:t>
      </w:r>
      <w:r w:rsidR="00EB06C6" w:rsidRPr="006C6355">
        <w:rPr>
          <w:rFonts w:ascii="Verdana" w:hAnsi="Verdana"/>
          <w:color w:val="000000" w:themeColor="text1"/>
          <w:sz w:val="20"/>
          <w:szCs w:val="20"/>
        </w:rPr>
        <w:t>42,</w:t>
      </w:r>
      <w:r w:rsidR="005E3090">
        <w:rPr>
          <w:rFonts w:ascii="Verdana" w:hAnsi="Verdana"/>
          <w:color w:val="000000" w:themeColor="text1"/>
          <w:sz w:val="20"/>
          <w:szCs w:val="20"/>
        </w:rPr>
        <w:t>331</w:t>
      </w:r>
      <w:r w:rsidR="005E3090" w:rsidRPr="006C6355">
        <w:rPr>
          <w:rFonts w:ascii="Verdana" w:hAnsi="Verdana"/>
          <w:color w:val="000000" w:themeColor="text1"/>
          <w:sz w:val="20"/>
          <w:szCs w:val="20"/>
        </w:rPr>
        <w:t xml:space="preserve"> </w:t>
      </w:r>
      <w:r w:rsidR="00552E43" w:rsidRPr="006C6355">
        <w:rPr>
          <w:rFonts w:ascii="Verdana" w:hAnsi="Verdana"/>
          <w:color w:val="000000" w:themeColor="text1"/>
          <w:sz w:val="20"/>
          <w:szCs w:val="20"/>
        </w:rPr>
        <w:t>customers</w:t>
      </w:r>
      <w:r w:rsidR="00181FE8" w:rsidRPr="006C6355">
        <w:rPr>
          <w:rFonts w:ascii="Verdana" w:hAnsi="Verdana"/>
          <w:color w:val="000000" w:themeColor="text1"/>
          <w:sz w:val="20"/>
          <w:szCs w:val="20"/>
        </w:rPr>
        <w:t xml:space="preserve">, </w:t>
      </w:r>
      <w:r w:rsidR="006C6355" w:rsidRPr="006C6355">
        <w:rPr>
          <w:rFonts w:ascii="Verdana" w:hAnsi="Verdana"/>
          <w:color w:val="000000" w:themeColor="text1"/>
          <w:sz w:val="20"/>
          <w:szCs w:val="20"/>
        </w:rPr>
        <w:t>81</w:t>
      </w:r>
      <w:r w:rsidR="00181FE8" w:rsidRPr="006C6355">
        <w:rPr>
          <w:rFonts w:ascii="Verdana" w:hAnsi="Verdana"/>
          <w:color w:val="000000" w:themeColor="text1"/>
          <w:sz w:val="20"/>
          <w:szCs w:val="20"/>
        </w:rPr>
        <w:t xml:space="preserve">% of which </w:t>
      </w:r>
      <w:r w:rsidR="00F1620F" w:rsidRPr="006C6355">
        <w:rPr>
          <w:rFonts w:ascii="Verdana" w:hAnsi="Verdana"/>
          <w:color w:val="000000" w:themeColor="text1"/>
          <w:sz w:val="20"/>
          <w:szCs w:val="20"/>
        </w:rPr>
        <w:t xml:space="preserve">predominantly originate </w:t>
      </w:r>
      <w:r w:rsidR="00181FE8" w:rsidRPr="006C6355">
        <w:rPr>
          <w:rFonts w:ascii="Verdana" w:hAnsi="Verdana"/>
          <w:color w:val="000000" w:themeColor="text1"/>
          <w:sz w:val="20"/>
          <w:szCs w:val="20"/>
        </w:rPr>
        <w:t>from f</w:t>
      </w:r>
      <w:r w:rsidR="006C6355" w:rsidRPr="006C6355">
        <w:rPr>
          <w:rFonts w:ascii="Verdana" w:hAnsi="Verdana"/>
          <w:color w:val="000000" w:themeColor="text1"/>
          <w:sz w:val="20"/>
          <w:szCs w:val="20"/>
        </w:rPr>
        <w:t>our</w:t>
      </w:r>
      <w:r w:rsidR="00181FE8" w:rsidRPr="006C6355">
        <w:rPr>
          <w:rFonts w:ascii="Verdana" w:hAnsi="Verdana"/>
          <w:color w:val="000000" w:themeColor="text1"/>
          <w:sz w:val="20"/>
          <w:szCs w:val="20"/>
        </w:rPr>
        <w:t xml:space="preserve"> </w:t>
      </w:r>
      <w:r w:rsidR="00113EA6">
        <w:rPr>
          <w:rFonts w:ascii="Verdana" w:hAnsi="Verdana"/>
          <w:color w:val="000000" w:themeColor="text1"/>
          <w:sz w:val="20"/>
          <w:szCs w:val="20"/>
        </w:rPr>
        <w:t>jurisdictions</w:t>
      </w:r>
      <w:r w:rsidR="00BF3382" w:rsidRPr="006C6355">
        <w:rPr>
          <w:rFonts w:ascii="Verdana" w:hAnsi="Verdana"/>
          <w:color w:val="000000" w:themeColor="text1"/>
          <w:sz w:val="20"/>
          <w:szCs w:val="20"/>
        </w:rPr>
        <w:t xml:space="preserve">, namely </w:t>
      </w:r>
      <w:r w:rsidR="006C6355" w:rsidRPr="006C6355">
        <w:rPr>
          <w:rFonts w:ascii="Verdana" w:hAnsi="Verdana"/>
          <w:color w:val="000000" w:themeColor="text1"/>
          <w:sz w:val="20"/>
          <w:szCs w:val="20"/>
        </w:rPr>
        <w:t>China</w:t>
      </w:r>
      <w:r w:rsidR="00A41B06" w:rsidRPr="006C6355">
        <w:rPr>
          <w:rFonts w:ascii="Verdana" w:hAnsi="Verdana"/>
          <w:color w:val="000000" w:themeColor="text1"/>
          <w:sz w:val="20"/>
          <w:szCs w:val="20"/>
        </w:rPr>
        <w:t xml:space="preserve"> </w:t>
      </w:r>
      <w:r w:rsidR="009506A5" w:rsidRPr="006C6355">
        <w:rPr>
          <w:rFonts w:ascii="Verdana" w:hAnsi="Verdana"/>
          <w:color w:val="000000" w:themeColor="text1"/>
          <w:sz w:val="20"/>
          <w:szCs w:val="20"/>
        </w:rPr>
        <w:t>(</w:t>
      </w:r>
      <w:r w:rsidR="006C6355" w:rsidRPr="006C6355">
        <w:rPr>
          <w:rFonts w:ascii="Verdana" w:hAnsi="Verdana"/>
          <w:color w:val="000000" w:themeColor="text1"/>
          <w:sz w:val="20"/>
          <w:szCs w:val="20"/>
        </w:rPr>
        <w:t>69</w:t>
      </w:r>
      <w:r w:rsidR="009506A5" w:rsidRPr="006C6355">
        <w:rPr>
          <w:rFonts w:ascii="Verdana" w:hAnsi="Verdana"/>
          <w:color w:val="000000" w:themeColor="text1"/>
          <w:sz w:val="20"/>
          <w:szCs w:val="20"/>
        </w:rPr>
        <w:t>%)</w:t>
      </w:r>
      <w:r w:rsidR="00181FE8" w:rsidRPr="006C6355">
        <w:rPr>
          <w:rFonts w:ascii="Verdana" w:hAnsi="Verdana"/>
          <w:color w:val="000000" w:themeColor="text1"/>
          <w:sz w:val="20"/>
          <w:szCs w:val="20"/>
        </w:rPr>
        <w:t xml:space="preserve">, </w:t>
      </w:r>
      <w:r w:rsidR="006C6355" w:rsidRPr="006C6355">
        <w:rPr>
          <w:rFonts w:ascii="Verdana" w:hAnsi="Verdana"/>
          <w:color w:val="000000" w:themeColor="text1"/>
          <w:sz w:val="20"/>
          <w:szCs w:val="20"/>
        </w:rPr>
        <w:t>Japan</w:t>
      </w:r>
      <w:r w:rsidR="009506A5" w:rsidRPr="006C6355">
        <w:rPr>
          <w:rFonts w:ascii="Verdana" w:hAnsi="Verdana"/>
          <w:color w:val="000000" w:themeColor="text1"/>
          <w:sz w:val="20"/>
          <w:szCs w:val="20"/>
        </w:rPr>
        <w:t xml:space="preserve"> (</w:t>
      </w:r>
      <w:r w:rsidR="006C6355" w:rsidRPr="006C6355">
        <w:rPr>
          <w:rFonts w:ascii="Verdana" w:hAnsi="Verdana"/>
          <w:color w:val="000000" w:themeColor="text1"/>
          <w:sz w:val="20"/>
          <w:szCs w:val="20"/>
        </w:rPr>
        <w:t>7</w:t>
      </w:r>
      <w:r w:rsidR="009506A5" w:rsidRPr="006C6355">
        <w:rPr>
          <w:rFonts w:ascii="Verdana" w:hAnsi="Verdana"/>
          <w:color w:val="000000" w:themeColor="text1"/>
          <w:sz w:val="20"/>
          <w:szCs w:val="20"/>
        </w:rPr>
        <w:t>%)</w:t>
      </w:r>
      <w:r w:rsidR="00181FE8" w:rsidRPr="006C6355">
        <w:rPr>
          <w:rFonts w:ascii="Verdana" w:hAnsi="Verdana"/>
          <w:color w:val="000000" w:themeColor="text1"/>
          <w:sz w:val="20"/>
          <w:szCs w:val="20"/>
        </w:rPr>
        <w:t xml:space="preserve">, </w:t>
      </w:r>
      <w:r w:rsidR="006C6355" w:rsidRPr="006C6355">
        <w:rPr>
          <w:rFonts w:ascii="Verdana" w:hAnsi="Verdana"/>
          <w:color w:val="000000" w:themeColor="text1"/>
          <w:sz w:val="20"/>
          <w:szCs w:val="20"/>
        </w:rPr>
        <w:t>Cayman Islands</w:t>
      </w:r>
      <w:r w:rsidR="00181FE8" w:rsidRPr="006C6355">
        <w:rPr>
          <w:rFonts w:ascii="Verdana" w:hAnsi="Verdana"/>
          <w:color w:val="000000" w:themeColor="text1"/>
          <w:sz w:val="20"/>
          <w:szCs w:val="20"/>
        </w:rPr>
        <w:t xml:space="preserve"> </w:t>
      </w:r>
      <w:r w:rsidR="009506A5" w:rsidRPr="006C6355">
        <w:rPr>
          <w:rFonts w:ascii="Verdana" w:hAnsi="Verdana"/>
          <w:color w:val="000000" w:themeColor="text1"/>
          <w:sz w:val="20"/>
          <w:szCs w:val="20"/>
        </w:rPr>
        <w:t>(</w:t>
      </w:r>
      <w:r w:rsidR="006C6355" w:rsidRPr="006C6355">
        <w:rPr>
          <w:rFonts w:ascii="Verdana" w:hAnsi="Verdana"/>
          <w:color w:val="000000" w:themeColor="text1"/>
          <w:sz w:val="20"/>
          <w:szCs w:val="20"/>
        </w:rPr>
        <w:t>3</w:t>
      </w:r>
      <w:r w:rsidR="009506A5" w:rsidRPr="006C6355">
        <w:rPr>
          <w:rFonts w:ascii="Verdana" w:hAnsi="Verdana"/>
          <w:color w:val="000000" w:themeColor="text1"/>
          <w:sz w:val="20"/>
          <w:szCs w:val="20"/>
        </w:rPr>
        <w:t xml:space="preserve">%) and </w:t>
      </w:r>
      <w:r w:rsidR="006C6355" w:rsidRPr="006C6355">
        <w:rPr>
          <w:rFonts w:ascii="Verdana" w:hAnsi="Verdana"/>
          <w:color w:val="000000" w:themeColor="text1"/>
          <w:sz w:val="20"/>
          <w:szCs w:val="20"/>
        </w:rPr>
        <w:t>Venezuela</w:t>
      </w:r>
      <w:r w:rsidR="009506A5" w:rsidRPr="006C6355">
        <w:rPr>
          <w:rFonts w:ascii="Verdana" w:hAnsi="Verdana"/>
          <w:color w:val="000000" w:themeColor="text1"/>
          <w:sz w:val="20"/>
          <w:szCs w:val="20"/>
        </w:rPr>
        <w:t xml:space="preserve"> (</w:t>
      </w:r>
      <w:r w:rsidR="006C6355" w:rsidRPr="006C6355">
        <w:rPr>
          <w:rFonts w:ascii="Verdana" w:hAnsi="Verdana"/>
          <w:color w:val="000000" w:themeColor="text1"/>
          <w:sz w:val="20"/>
          <w:szCs w:val="20"/>
        </w:rPr>
        <w:t>2</w:t>
      </w:r>
      <w:r w:rsidR="009506A5" w:rsidRPr="006C6355">
        <w:rPr>
          <w:rFonts w:ascii="Verdana" w:hAnsi="Verdana"/>
          <w:color w:val="000000" w:themeColor="text1"/>
          <w:sz w:val="20"/>
          <w:szCs w:val="20"/>
        </w:rPr>
        <w:t>%)</w:t>
      </w:r>
      <w:r w:rsidR="00181FE8" w:rsidRPr="006C6355">
        <w:rPr>
          <w:rFonts w:ascii="Verdana" w:hAnsi="Verdana"/>
          <w:color w:val="000000" w:themeColor="text1"/>
          <w:sz w:val="20"/>
          <w:szCs w:val="20"/>
        </w:rPr>
        <w:t xml:space="preserve">. </w:t>
      </w:r>
      <w:r w:rsidR="00F1620F" w:rsidRPr="006C6355">
        <w:rPr>
          <w:rFonts w:ascii="Verdana" w:hAnsi="Verdana"/>
          <w:color w:val="000000" w:themeColor="text1"/>
          <w:sz w:val="20"/>
          <w:szCs w:val="20"/>
        </w:rPr>
        <w:t xml:space="preserve">Less than 1% </w:t>
      </w:r>
      <w:r w:rsidR="00181FE8" w:rsidRPr="006C6355">
        <w:rPr>
          <w:rFonts w:ascii="Verdana" w:hAnsi="Verdana"/>
          <w:color w:val="000000" w:themeColor="text1"/>
          <w:sz w:val="20"/>
          <w:szCs w:val="20"/>
        </w:rPr>
        <w:t>of all customers are from high</w:t>
      </w:r>
      <w:r w:rsidR="00F1620F" w:rsidRPr="006C6355">
        <w:rPr>
          <w:rFonts w:ascii="Verdana" w:hAnsi="Verdana"/>
          <w:color w:val="000000" w:themeColor="text1"/>
          <w:sz w:val="20"/>
          <w:szCs w:val="20"/>
        </w:rPr>
        <w:t xml:space="preserve">er </w:t>
      </w:r>
      <w:r w:rsidR="00181FE8" w:rsidRPr="006C6355">
        <w:rPr>
          <w:rFonts w:ascii="Verdana" w:hAnsi="Verdana"/>
          <w:color w:val="000000" w:themeColor="text1"/>
          <w:sz w:val="20"/>
          <w:szCs w:val="20"/>
        </w:rPr>
        <w:t xml:space="preserve">risk jurisdictions. </w:t>
      </w:r>
      <w:r w:rsidR="006C6355" w:rsidRPr="006C6355">
        <w:rPr>
          <w:rFonts w:ascii="Verdana" w:hAnsi="Verdana"/>
          <w:color w:val="000000" w:themeColor="text1"/>
          <w:sz w:val="20"/>
          <w:szCs w:val="20"/>
        </w:rPr>
        <w:t>Five</w:t>
      </w:r>
      <w:r w:rsidR="00F1620F" w:rsidRPr="006C6355">
        <w:rPr>
          <w:rFonts w:ascii="Verdana" w:hAnsi="Verdana"/>
          <w:color w:val="000000" w:themeColor="text1"/>
          <w:sz w:val="20"/>
          <w:szCs w:val="20"/>
        </w:rPr>
        <w:t xml:space="preserve"> </w:t>
      </w:r>
      <w:r w:rsidRPr="006C6355">
        <w:rPr>
          <w:rFonts w:ascii="Verdana" w:hAnsi="Verdana"/>
          <w:color w:val="000000" w:themeColor="text1"/>
          <w:sz w:val="20"/>
          <w:szCs w:val="20"/>
        </w:rPr>
        <w:t>SIB Licensees</w:t>
      </w:r>
      <w:r w:rsidR="00E4465A" w:rsidRPr="006C6355">
        <w:rPr>
          <w:rFonts w:ascii="Verdana" w:hAnsi="Verdana"/>
          <w:color w:val="000000" w:themeColor="text1"/>
          <w:sz w:val="20"/>
          <w:szCs w:val="20"/>
        </w:rPr>
        <w:t xml:space="preserve"> reported that they do not </w:t>
      </w:r>
      <w:r w:rsidR="0022546E">
        <w:rPr>
          <w:rFonts w:ascii="Verdana" w:hAnsi="Verdana"/>
          <w:color w:val="000000" w:themeColor="text1"/>
          <w:sz w:val="20"/>
          <w:szCs w:val="20"/>
        </w:rPr>
        <w:t xml:space="preserve">currently </w:t>
      </w:r>
      <w:r w:rsidR="00E4465A" w:rsidRPr="006C6355">
        <w:rPr>
          <w:rFonts w:ascii="Verdana" w:hAnsi="Verdana"/>
          <w:color w:val="000000" w:themeColor="text1"/>
          <w:sz w:val="20"/>
          <w:szCs w:val="20"/>
        </w:rPr>
        <w:t>service customers, which mean</w:t>
      </w:r>
      <w:r w:rsidR="00EB266A">
        <w:rPr>
          <w:rFonts w:ascii="Verdana" w:hAnsi="Verdana"/>
          <w:color w:val="000000" w:themeColor="text1"/>
          <w:sz w:val="20"/>
          <w:szCs w:val="20"/>
        </w:rPr>
        <w:t>s</w:t>
      </w:r>
      <w:r w:rsidR="00E4465A" w:rsidRPr="006C6355">
        <w:rPr>
          <w:rFonts w:ascii="Verdana" w:hAnsi="Verdana"/>
          <w:color w:val="000000" w:themeColor="text1"/>
          <w:sz w:val="20"/>
          <w:szCs w:val="20"/>
        </w:rPr>
        <w:t xml:space="preserve"> </w:t>
      </w:r>
      <w:r w:rsidR="006C66B0">
        <w:rPr>
          <w:rFonts w:ascii="Verdana" w:hAnsi="Verdana"/>
          <w:color w:val="000000" w:themeColor="text1"/>
          <w:sz w:val="20"/>
          <w:szCs w:val="20"/>
        </w:rPr>
        <w:t xml:space="preserve">that </w:t>
      </w:r>
      <w:r w:rsidR="00E4465A" w:rsidRPr="006C6355">
        <w:rPr>
          <w:rFonts w:ascii="Verdana" w:hAnsi="Verdana"/>
          <w:color w:val="000000" w:themeColor="text1"/>
          <w:sz w:val="20"/>
          <w:szCs w:val="20"/>
        </w:rPr>
        <w:t xml:space="preserve">they either </w:t>
      </w:r>
      <w:r w:rsidR="00FF23F6" w:rsidRPr="006C6355">
        <w:rPr>
          <w:rFonts w:ascii="Verdana" w:hAnsi="Verdana"/>
          <w:color w:val="000000" w:themeColor="text1"/>
          <w:sz w:val="20"/>
          <w:szCs w:val="20"/>
        </w:rPr>
        <w:t>are a family office</w:t>
      </w:r>
      <w:r w:rsidR="00FF23F6">
        <w:rPr>
          <w:rStyle w:val="FootnoteReference"/>
          <w:rFonts w:ascii="Verdana" w:hAnsi="Verdana"/>
          <w:color w:val="000000" w:themeColor="text1"/>
          <w:sz w:val="20"/>
          <w:szCs w:val="20"/>
        </w:rPr>
        <w:footnoteReference w:id="10"/>
      </w:r>
      <w:r w:rsidR="0058313D">
        <w:rPr>
          <w:rFonts w:ascii="Verdana" w:hAnsi="Verdana"/>
          <w:color w:val="000000" w:themeColor="text1"/>
          <w:sz w:val="20"/>
          <w:szCs w:val="20"/>
        </w:rPr>
        <w:t>,</w:t>
      </w:r>
      <w:r w:rsidR="00FF23F6">
        <w:rPr>
          <w:rFonts w:ascii="Verdana" w:hAnsi="Verdana"/>
          <w:color w:val="000000" w:themeColor="text1"/>
          <w:sz w:val="20"/>
          <w:szCs w:val="20"/>
        </w:rPr>
        <w:t xml:space="preserve"> </w:t>
      </w:r>
      <w:r w:rsidR="00E4465A" w:rsidRPr="006C6355">
        <w:rPr>
          <w:rFonts w:ascii="Verdana" w:hAnsi="Verdana"/>
          <w:color w:val="000000" w:themeColor="text1"/>
          <w:sz w:val="20"/>
          <w:szCs w:val="20"/>
        </w:rPr>
        <w:t xml:space="preserve">have not yet commenced </w:t>
      </w:r>
      <w:r w:rsidR="001E4636" w:rsidRPr="006C6355">
        <w:rPr>
          <w:rFonts w:ascii="Verdana" w:hAnsi="Verdana"/>
          <w:color w:val="000000" w:themeColor="text1"/>
          <w:sz w:val="20"/>
          <w:szCs w:val="20"/>
        </w:rPr>
        <w:t>operations</w:t>
      </w:r>
      <w:r w:rsidR="001E5FD8">
        <w:rPr>
          <w:rFonts w:ascii="Verdana" w:hAnsi="Verdana"/>
          <w:color w:val="000000" w:themeColor="text1"/>
          <w:sz w:val="20"/>
          <w:szCs w:val="20"/>
        </w:rPr>
        <w:t>,</w:t>
      </w:r>
      <w:r w:rsidR="006C6355" w:rsidRPr="006C6355">
        <w:rPr>
          <w:rFonts w:ascii="Verdana" w:hAnsi="Verdana"/>
          <w:color w:val="000000" w:themeColor="text1"/>
          <w:sz w:val="20"/>
          <w:szCs w:val="20"/>
        </w:rPr>
        <w:t xml:space="preserve"> or </w:t>
      </w:r>
      <w:r w:rsidR="001E5FD8">
        <w:rPr>
          <w:rFonts w:ascii="Verdana" w:hAnsi="Verdana"/>
          <w:color w:val="000000" w:themeColor="text1"/>
          <w:sz w:val="20"/>
          <w:szCs w:val="20"/>
        </w:rPr>
        <w:t>is</w:t>
      </w:r>
      <w:r w:rsidR="006C6355" w:rsidRPr="006C6355">
        <w:rPr>
          <w:rFonts w:ascii="Verdana" w:hAnsi="Verdana"/>
          <w:color w:val="000000" w:themeColor="text1"/>
          <w:sz w:val="20"/>
          <w:szCs w:val="20"/>
        </w:rPr>
        <w:t xml:space="preserve"> in the process of cancelling </w:t>
      </w:r>
      <w:r w:rsidR="006C66B0">
        <w:rPr>
          <w:rFonts w:ascii="Verdana" w:hAnsi="Verdana"/>
          <w:color w:val="000000" w:themeColor="text1"/>
          <w:sz w:val="20"/>
          <w:szCs w:val="20"/>
        </w:rPr>
        <w:t>an existing</w:t>
      </w:r>
      <w:r w:rsidR="006C6355" w:rsidRPr="006C6355">
        <w:rPr>
          <w:rFonts w:ascii="Verdana" w:hAnsi="Verdana"/>
          <w:color w:val="000000" w:themeColor="text1"/>
          <w:sz w:val="20"/>
          <w:szCs w:val="20"/>
        </w:rPr>
        <w:t xml:space="preserve"> SIB licence</w:t>
      </w:r>
      <w:r w:rsidR="00E4465A" w:rsidRPr="006C6355">
        <w:rPr>
          <w:rFonts w:ascii="Verdana" w:hAnsi="Verdana"/>
          <w:color w:val="000000" w:themeColor="text1"/>
          <w:sz w:val="20"/>
          <w:szCs w:val="20"/>
        </w:rPr>
        <w:t>.</w:t>
      </w:r>
    </w:p>
    <w:p w14:paraId="2F2CCDD8" w14:textId="6A0114DB" w:rsidR="00571E5E" w:rsidRPr="00D34C98" w:rsidRDefault="00571E5E" w:rsidP="00D34C98">
      <w:pPr>
        <w:pStyle w:val="ListParagraph"/>
        <w:spacing w:line="276" w:lineRule="auto"/>
        <w:ind w:left="540"/>
        <w:jc w:val="both"/>
        <w:rPr>
          <w:rFonts w:ascii="Verdana" w:hAnsi="Verdana"/>
          <w:color w:val="000000" w:themeColor="text1"/>
          <w:sz w:val="20"/>
          <w:szCs w:val="20"/>
        </w:rPr>
      </w:pPr>
    </w:p>
    <w:p w14:paraId="64E1B67A" w14:textId="091C71F2" w:rsidR="00A044D6" w:rsidRPr="00B005A4" w:rsidRDefault="0053084B" w:rsidP="005E3090">
      <w:pPr>
        <w:pStyle w:val="ListParagraph"/>
        <w:numPr>
          <w:ilvl w:val="0"/>
          <w:numId w:val="24"/>
        </w:numPr>
        <w:spacing w:line="276" w:lineRule="auto"/>
        <w:jc w:val="both"/>
        <w:rPr>
          <w:rFonts w:ascii="Verdana" w:hAnsi="Verdana"/>
          <w:color w:val="000000" w:themeColor="text1"/>
          <w:sz w:val="20"/>
          <w:szCs w:val="20"/>
        </w:rPr>
      </w:pPr>
      <w:r w:rsidRPr="00B005A4">
        <w:rPr>
          <w:rFonts w:ascii="Verdana" w:hAnsi="Verdana"/>
          <w:color w:val="000000" w:themeColor="text1"/>
          <w:sz w:val="20"/>
          <w:szCs w:val="20"/>
        </w:rPr>
        <w:t>Customer-categor</w:t>
      </w:r>
      <w:r w:rsidR="00232578" w:rsidRPr="00B005A4">
        <w:rPr>
          <w:rFonts w:ascii="Verdana" w:hAnsi="Verdana"/>
          <w:color w:val="000000" w:themeColor="text1"/>
          <w:sz w:val="20"/>
          <w:szCs w:val="20"/>
        </w:rPr>
        <w:t>ies</w:t>
      </w:r>
      <w:r w:rsidRPr="00B005A4">
        <w:rPr>
          <w:rFonts w:ascii="Verdana" w:hAnsi="Verdana"/>
          <w:color w:val="000000" w:themeColor="text1"/>
          <w:sz w:val="20"/>
          <w:szCs w:val="20"/>
        </w:rPr>
        <w:t>: O</w:t>
      </w:r>
      <w:r w:rsidR="001E3783" w:rsidRPr="00B005A4">
        <w:rPr>
          <w:rFonts w:ascii="Verdana" w:hAnsi="Verdana"/>
          <w:color w:val="000000" w:themeColor="text1"/>
          <w:sz w:val="20"/>
          <w:szCs w:val="20"/>
        </w:rPr>
        <w:t xml:space="preserve">f </w:t>
      </w:r>
      <w:r w:rsidR="00B005A4">
        <w:rPr>
          <w:rFonts w:ascii="Verdana" w:hAnsi="Verdana"/>
          <w:color w:val="000000" w:themeColor="text1"/>
          <w:sz w:val="20"/>
          <w:szCs w:val="20"/>
        </w:rPr>
        <w:t>the</w:t>
      </w:r>
      <w:r w:rsidR="00571E5E" w:rsidRPr="00B005A4">
        <w:rPr>
          <w:rFonts w:ascii="Verdana" w:hAnsi="Verdana"/>
          <w:color w:val="000000" w:themeColor="text1"/>
          <w:sz w:val="20"/>
          <w:szCs w:val="20"/>
        </w:rPr>
        <w:t xml:space="preserve"> customers reported</w:t>
      </w:r>
      <w:r w:rsidR="001E3783" w:rsidRPr="00B005A4">
        <w:rPr>
          <w:rFonts w:ascii="Verdana" w:hAnsi="Verdana"/>
          <w:color w:val="000000" w:themeColor="text1"/>
          <w:sz w:val="20"/>
          <w:szCs w:val="20"/>
        </w:rPr>
        <w:t xml:space="preserve">, </w:t>
      </w:r>
      <w:r w:rsidR="001E4636" w:rsidRPr="00B005A4">
        <w:rPr>
          <w:rFonts w:ascii="Verdana" w:hAnsi="Verdana"/>
          <w:color w:val="000000" w:themeColor="text1"/>
          <w:sz w:val="20"/>
          <w:szCs w:val="20"/>
        </w:rPr>
        <w:t xml:space="preserve">approximately </w:t>
      </w:r>
      <w:r w:rsidR="004A1DFB" w:rsidRPr="00B005A4">
        <w:rPr>
          <w:rFonts w:ascii="Verdana" w:hAnsi="Verdana"/>
          <w:color w:val="000000" w:themeColor="text1"/>
          <w:sz w:val="20"/>
          <w:szCs w:val="20"/>
        </w:rPr>
        <w:t>5</w:t>
      </w:r>
      <w:r w:rsidR="00395B75" w:rsidRPr="00B005A4">
        <w:rPr>
          <w:rFonts w:ascii="Verdana" w:hAnsi="Verdana"/>
          <w:color w:val="000000" w:themeColor="text1"/>
          <w:sz w:val="20"/>
          <w:szCs w:val="20"/>
        </w:rPr>
        <w:t xml:space="preserve">% </w:t>
      </w:r>
      <w:r w:rsidR="00E4465A" w:rsidRPr="00B005A4">
        <w:rPr>
          <w:rFonts w:ascii="Verdana" w:hAnsi="Verdana"/>
          <w:color w:val="000000" w:themeColor="text1"/>
          <w:sz w:val="20"/>
          <w:szCs w:val="20"/>
        </w:rPr>
        <w:t xml:space="preserve">fall </w:t>
      </w:r>
      <w:r w:rsidR="001E4636" w:rsidRPr="00B005A4">
        <w:rPr>
          <w:rFonts w:ascii="Verdana" w:hAnsi="Verdana"/>
          <w:color w:val="000000" w:themeColor="text1"/>
          <w:sz w:val="20"/>
          <w:szCs w:val="20"/>
        </w:rPr>
        <w:t xml:space="preserve">within </w:t>
      </w:r>
      <w:r w:rsidR="003F0354" w:rsidRPr="00B005A4">
        <w:rPr>
          <w:rFonts w:ascii="Verdana" w:hAnsi="Verdana"/>
          <w:color w:val="000000" w:themeColor="text1"/>
          <w:sz w:val="20"/>
          <w:szCs w:val="20"/>
        </w:rPr>
        <w:t xml:space="preserve">the </w:t>
      </w:r>
      <w:r w:rsidR="00E4465A" w:rsidRPr="00B005A4">
        <w:rPr>
          <w:rFonts w:ascii="Verdana" w:hAnsi="Verdana"/>
          <w:color w:val="000000" w:themeColor="text1"/>
          <w:sz w:val="20"/>
          <w:szCs w:val="20"/>
        </w:rPr>
        <w:t xml:space="preserve">following </w:t>
      </w:r>
      <w:r w:rsidR="003F0354" w:rsidRPr="00B005A4">
        <w:rPr>
          <w:rFonts w:ascii="Verdana" w:hAnsi="Verdana"/>
          <w:color w:val="000000" w:themeColor="text1"/>
          <w:sz w:val="20"/>
          <w:szCs w:val="20"/>
        </w:rPr>
        <w:t>high</w:t>
      </w:r>
      <w:r w:rsidR="004A1DFB" w:rsidRPr="00B005A4">
        <w:rPr>
          <w:rFonts w:ascii="Verdana" w:hAnsi="Verdana"/>
          <w:color w:val="000000" w:themeColor="text1"/>
          <w:sz w:val="20"/>
          <w:szCs w:val="20"/>
        </w:rPr>
        <w:t>er</w:t>
      </w:r>
      <w:r w:rsidR="003F0354" w:rsidRPr="00B005A4">
        <w:rPr>
          <w:rFonts w:ascii="Verdana" w:hAnsi="Verdana"/>
          <w:color w:val="000000" w:themeColor="text1"/>
          <w:sz w:val="20"/>
          <w:szCs w:val="20"/>
        </w:rPr>
        <w:t xml:space="preserve"> risk </w:t>
      </w:r>
      <w:r w:rsidR="00E4465A" w:rsidRPr="00B005A4">
        <w:rPr>
          <w:rFonts w:ascii="Verdana" w:hAnsi="Verdana"/>
          <w:color w:val="000000" w:themeColor="text1"/>
          <w:sz w:val="20"/>
          <w:szCs w:val="20"/>
        </w:rPr>
        <w:t xml:space="preserve">categories: </w:t>
      </w:r>
      <w:r w:rsidR="004A1DFB" w:rsidRPr="00B005A4">
        <w:rPr>
          <w:rFonts w:ascii="Verdana" w:hAnsi="Verdana"/>
          <w:color w:val="000000" w:themeColor="text1"/>
          <w:sz w:val="20"/>
          <w:szCs w:val="20"/>
        </w:rPr>
        <w:t xml:space="preserve">namely, non-profit organizations, corporates, trusts, nominees, special purpose vehicles, HNW individuals, HNW corporates, </w:t>
      </w:r>
      <w:r w:rsidR="004A1DFB" w:rsidRPr="005E3090">
        <w:rPr>
          <w:rFonts w:ascii="Verdana" w:hAnsi="Verdana"/>
          <w:color w:val="000000" w:themeColor="text1"/>
          <w:sz w:val="20"/>
          <w:szCs w:val="20"/>
        </w:rPr>
        <w:t>sophisticated persons and politically exposed persons</w:t>
      </w:r>
      <w:r w:rsidR="00395B75" w:rsidRPr="005E3090">
        <w:rPr>
          <w:rFonts w:ascii="Verdana" w:hAnsi="Verdana"/>
          <w:color w:val="000000" w:themeColor="text1"/>
          <w:sz w:val="20"/>
          <w:szCs w:val="20"/>
        </w:rPr>
        <w:t xml:space="preserve">. </w:t>
      </w:r>
      <w:r w:rsidR="00D23F34" w:rsidRPr="005E3090">
        <w:rPr>
          <w:rFonts w:ascii="Verdana" w:hAnsi="Verdana"/>
          <w:color w:val="000000" w:themeColor="text1"/>
          <w:sz w:val="20"/>
          <w:szCs w:val="20"/>
        </w:rPr>
        <w:t>A</w:t>
      </w:r>
      <w:r w:rsidR="00181FE8" w:rsidRPr="005E3090">
        <w:rPr>
          <w:rFonts w:ascii="Verdana" w:hAnsi="Verdana"/>
          <w:color w:val="000000" w:themeColor="text1"/>
          <w:sz w:val="20"/>
          <w:szCs w:val="20"/>
        </w:rPr>
        <w:t xml:space="preserve">dding a geographic component to this analysis, approximately </w:t>
      </w:r>
      <w:r w:rsidR="005E3090" w:rsidRPr="005E3090">
        <w:rPr>
          <w:rFonts w:ascii="Verdana" w:hAnsi="Verdana"/>
          <w:color w:val="000000" w:themeColor="text1"/>
          <w:sz w:val="20"/>
          <w:szCs w:val="20"/>
        </w:rPr>
        <w:t>2</w:t>
      </w:r>
      <w:r w:rsidR="00181FE8" w:rsidRPr="005E3090">
        <w:rPr>
          <w:rFonts w:ascii="Verdana" w:hAnsi="Verdana"/>
          <w:color w:val="000000" w:themeColor="text1"/>
          <w:sz w:val="20"/>
          <w:szCs w:val="20"/>
        </w:rPr>
        <w:t>%</w:t>
      </w:r>
      <w:r w:rsidR="001E4636" w:rsidRPr="005E3090">
        <w:rPr>
          <w:rFonts w:ascii="Verdana" w:hAnsi="Verdana"/>
          <w:color w:val="000000" w:themeColor="text1"/>
          <w:sz w:val="20"/>
          <w:szCs w:val="20"/>
        </w:rPr>
        <w:t>,</w:t>
      </w:r>
      <w:r w:rsidR="00181FE8" w:rsidRPr="005E3090">
        <w:rPr>
          <w:rFonts w:ascii="Verdana" w:hAnsi="Verdana"/>
          <w:color w:val="000000" w:themeColor="text1"/>
          <w:sz w:val="20"/>
          <w:szCs w:val="20"/>
        </w:rPr>
        <w:t xml:space="preserve"> of </w:t>
      </w:r>
      <w:r w:rsidR="00641412" w:rsidRPr="005E3090">
        <w:rPr>
          <w:rFonts w:ascii="Verdana" w:hAnsi="Verdana"/>
          <w:color w:val="000000" w:themeColor="text1"/>
          <w:sz w:val="20"/>
          <w:szCs w:val="20"/>
        </w:rPr>
        <w:t>all</w:t>
      </w:r>
      <w:r w:rsidR="00181FE8" w:rsidRPr="005E3090">
        <w:rPr>
          <w:rFonts w:ascii="Verdana" w:hAnsi="Verdana"/>
          <w:color w:val="000000" w:themeColor="text1"/>
          <w:sz w:val="20"/>
          <w:szCs w:val="20"/>
        </w:rPr>
        <w:t xml:space="preserve"> customers are </w:t>
      </w:r>
      <w:r w:rsidR="004A1DFB" w:rsidRPr="005E3090">
        <w:rPr>
          <w:rFonts w:ascii="Verdana" w:hAnsi="Verdana"/>
          <w:color w:val="000000" w:themeColor="text1"/>
          <w:sz w:val="20"/>
          <w:szCs w:val="20"/>
        </w:rPr>
        <w:t>h</w:t>
      </w:r>
      <w:r w:rsidR="00641412" w:rsidRPr="005E3090">
        <w:rPr>
          <w:rFonts w:ascii="Verdana" w:hAnsi="Verdana"/>
          <w:color w:val="000000" w:themeColor="text1"/>
          <w:sz w:val="20"/>
          <w:szCs w:val="20"/>
        </w:rPr>
        <w:t>igh risk type customers</w:t>
      </w:r>
      <w:r w:rsidR="0033213F" w:rsidRPr="005E3090">
        <w:rPr>
          <w:rFonts w:ascii="Verdana" w:hAnsi="Verdana"/>
          <w:color w:val="000000" w:themeColor="text1"/>
          <w:sz w:val="20"/>
          <w:szCs w:val="20"/>
        </w:rPr>
        <w:t xml:space="preserve"> that</w:t>
      </w:r>
      <w:r w:rsidR="00641412" w:rsidRPr="005E3090">
        <w:rPr>
          <w:rFonts w:ascii="Verdana" w:hAnsi="Verdana"/>
          <w:color w:val="000000" w:themeColor="text1"/>
          <w:sz w:val="20"/>
          <w:szCs w:val="20"/>
        </w:rPr>
        <w:t xml:space="preserve"> </w:t>
      </w:r>
      <w:r w:rsidR="005C015D" w:rsidRPr="005E3090">
        <w:rPr>
          <w:rFonts w:ascii="Verdana" w:hAnsi="Verdana"/>
          <w:color w:val="000000" w:themeColor="text1"/>
          <w:sz w:val="20"/>
          <w:szCs w:val="20"/>
        </w:rPr>
        <w:t>originate from</w:t>
      </w:r>
      <w:r w:rsidR="00A044D6" w:rsidRPr="005E3090">
        <w:rPr>
          <w:rFonts w:ascii="Verdana" w:hAnsi="Verdana"/>
          <w:color w:val="000000" w:themeColor="text1"/>
          <w:sz w:val="20"/>
          <w:szCs w:val="20"/>
        </w:rPr>
        <w:t xml:space="preserve"> </w:t>
      </w:r>
      <w:r w:rsidR="00181FE8" w:rsidRPr="005E3090">
        <w:rPr>
          <w:rFonts w:ascii="Verdana" w:hAnsi="Verdana"/>
          <w:color w:val="000000" w:themeColor="text1"/>
          <w:sz w:val="20"/>
          <w:szCs w:val="20"/>
        </w:rPr>
        <w:t xml:space="preserve">a </w:t>
      </w:r>
      <w:r w:rsidR="00A82125" w:rsidRPr="005E3090">
        <w:rPr>
          <w:rFonts w:ascii="Verdana" w:hAnsi="Verdana"/>
          <w:color w:val="000000" w:themeColor="text1"/>
          <w:sz w:val="20"/>
          <w:szCs w:val="20"/>
        </w:rPr>
        <w:t>high</w:t>
      </w:r>
      <w:r w:rsidR="005E3090" w:rsidRPr="005E3090">
        <w:rPr>
          <w:rFonts w:ascii="Verdana" w:hAnsi="Verdana"/>
          <w:color w:val="000000" w:themeColor="text1"/>
          <w:sz w:val="20"/>
          <w:szCs w:val="20"/>
        </w:rPr>
        <w:t xml:space="preserve">er </w:t>
      </w:r>
      <w:r w:rsidR="00A82125" w:rsidRPr="005E3090">
        <w:rPr>
          <w:rFonts w:ascii="Verdana" w:hAnsi="Verdana"/>
          <w:color w:val="000000" w:themeColor="text1"/>
          <w:sz w:val="20"/>
          <w:szCs w:val="20"/>
        </w:rPr>
        <w:t>risk</w:t>
      </w:r>
      <w:r w:rsidR="00181FE8" w:rsidRPr="005E3090">
        <w:rPr>
          <w:rFonts w:ascii="Verdana" w:hAnsi="Verdana"/>
          <w:color w:val="000000" w:themeColor="text1"/>
          <w:sz w:val="20"/>
          <w:szCs w:val="20"/>
        </w:rPr>
        <w:t xml:space="preserve"> jurisdiction</w:t>
      </w:r>
      <w:r w:rsidR="005E3090" w:rsidRPr="005E3090">
        <w:rPr>
          <w:rFonts w:ascii="Verdana" w:hAnsi="Verdana"/>
          <w:color w:val="000000" w:themeColor="text1"/>
          <w:sz w:val="20"/>
          <w:szCs w:val="20"/>
        </w:rPr>
        <w:t xml:space="preserve">, namely </w:t>
      </w:r>
      <w:r w:rsidR="005E3090" w:rsidRPr="005E3090">
        <w:rPr>
          <w:rFonts w:ascii="Verdana" w:hAnsi="Verdana"/>
          <w:sz w:val="20"/>
          <w:szCs w:val="20"/>
        </w:rPr>
        <w:t>Angola, Botswana, Cambodia, Iceland, Iran, Kenya, Lebanon, Libya, Mongolia, Myanmar, Nigeria, Pakistan, Panama, Paraguay, Saudi Arabia, Sierra Leone, Somalia, South Africa, Sudan, Tanzania, Vietnam and Zimbabwe</w:t>
      </w:r>
      <w:r w:rsidR="00A044D6" w:rsidRPr="005E3090">
        <w:rPr>
          <w:rFonts w:ascii="Verdana" w:hAnsi="Verdana"/>
          <w:color w:val="000000" w:themeColor="text1"/>
          <w:sz w:val="20"/>
          <w:szCs w:val="20"/>
        </w:rPr>
        <w:t>.</w:t>
      </w:r>
      <w:r w:rsidR="001C6D95" w:rsidRPr="005E3090">
        <w:rPr>
          <w:rFonts w:ascii="Verdana" w:hAnsi="Verdana"/>
          <w:color w:val="000000" w:themeColor="text1"/>
          <w:sz w:val="20"/>
          <w:szCs w:val="20"/>
        </w:rPr>
        <w:t xml:space="preserve"> </w:t>
      </w:r>
      <w:r w:rsidR="001E4636" w:rsidRPr="005E3090">
        <w:rPr>
          <w:rFonts w:ascii="Verdana" w:hAnsi="Verdana"/>
          <w:color w:val="000000" w:themeColor="text1"/>
          <w:sz w:val="20"/>
          <w:szCs w:val="20"/>
        </w:rPr>
        <w:t>Approximately</w:t>
      </w:r>
      <w:r w:rsidR="001E4636" w:rsidRPr="00B005A4">
        <w:rPr>
          <w:rFonts w:ascii="Verdana" w:hAnsi="Verdana"/>
          <w:color w:val="000000" w:themeColor="text1"/>
          <w:sz w:val="20"/>
          <w:szCs w:val="20"/>
        </w:rPr>
        <w:t xml:space="preserve"> </w:t>
      </w:r>
      <w:r w:rsidR="00D23F34" w:rsidRPr="00B005A4">
        <w:rPr>
          <w:rFonts w:ascii="Verdana" w:hAnsi="Verdana"/>
          <w:color w:val="000000" w:themeColor="text1"/>
          <w:sz w:val="20"/>
          <w:szCs w:val="20"/>
        </w:rPr>
        <w:t xml:space="preserve">2% of </w:t>
      </w:r>
      <w:r w:rsidR="001E4636" w:rsidRPr="00B005A4">
        <w:rPr>
          <w:rFonts w:ascii="Verdana" w:hAnsi="Verdana"/>
          <w:color w:val="000000" w:themeColor="text1"/>
          <w:sz w:val="20"/>
          <w:szCs w:val="20"/>
        </w:rPr>
        <w:t xml:space="preserve">the customer base </w:t>
      </w:r>
      <w:r w:rsidR="00E4465A" w:rsidRPr="00B005A4">
        <w:rPr>
          <w:rFonts w:ascii="Verdana" w:hAnsi="Verdana"/>
          <w:color w:val="000000" w:themeColor="text1"/>
          <w:sz w:val="20"/>
          <w:szCs w:val="20"/>
        </w:rPr>
        <w:t>fall</w:t>
      </w:r>
      <w:r w:rsidR="001E4636" w:rsidRPr="00B005A4">
        <w:rPr>
          <w:rFonts w:ascii="Verdana" w:hAnsi="Verdana"/>
          <w:color w:val="000000" w:themeColor="text1"/>
          <w:sz w:val="20"/>
          <w:szCs w:val="20"/>
        </w:rPr>
        <w:t>s</w:t>
      </w:r>
      <w:r w:rsidR="00E4465A" w:rsidRPr="00B005A4">
        <w:rPr>
          <w:rFonts w:ascii="Verdana" w:hAnsi="Verdana"/>
          <w:color w:val="000000" w:themeColor="text1"/>
          <w:sz w:val="20"/>
          <w:szCs w:val="20"/>
        </w:rPr>
        <w:t xml:space="preserve"> </w:t>
      </w:r>
      <w:r w:rsidR="001E4636" w:rsidRPr="00B005A4">
        <w:rPr>
          <w:rFonts w:ascii="Verdana" w:hAnsi="Verdana"/>
          <w:color w:val="000000" w:themeColor="text1"/>
          <w:sz w:val="20"/>
          <w:szCs w:val="20"/>
        </w:rPr>
        <w:t>with</w:t>
      </w:r>
      <w:r w:rsidR="00E4465A" w:rsidRPr="00B005A4">
        <w:rPr>
          <w:rFonts w:ascii="Verdana" w:hAnsi="Verdana"/>
          <w:color w:val="000000" w:themeColor="text1"/>
          <w:sz w:val="20"/>
          <w:szCs w:val="20"/>
        </w:rPr>
        <w:t>in any of the following low risk categories</w:t>
      </w:r>
      <w:r w:rsidR="001E4636" w:rsidRPr="00B005A4">
        <w:rPr>
          <w:rFonts w:ascii="Verdana" w:hAnsi="Verdana"/>
          <w:color w:val="000000" w:themeColor="text1"/>
          <w:sz w:val="20"/>
          <w:szCs w:val="20"/>
        </w:rPr>
        <w:t xml:space="preserve">: </w:t>
      </w:r>
      <w:r w:rsidR="00B005A4" w:rsidRPr="00B005A4">
        <w:rPr>
          <w:rFonts w:ascii="Verdana" w:hAnsi="Verdana"/>
          <w:color w:val="000000" w:themeColor="text1"/>
          <w:sz w:val="20"/>
          <w:szCs w:val="20"/>
        </w:rPr>
        <w:t xml:space="preserve">namely </w:t>
      </w:r>
      <w:r w:rsidR="00D23F34" w:rsidRPr="00B005A4">
        <w:rPr>
          <w:rFonts w:ascii="Verdana" w:hAnsi="Verdana"/>
          <w:color w:val="000000" w:themeColor="text1"/>
          <w:sz w:val="20"/>
          <w:szCs w:val="20"/>
        </w:rPr>
        <w:t>governments or public authorities</w:t>
      </w:r>
      <w:r w:rsidR="001E4636" w:rsidRPr="00B005A4">
        <w:rPr>
          <w:rFonts w:ascii="Verdana" w:hAnsi="Verdana"/>
          <w:color w:val="000000" w:themeColor="text1"/>
          <w:sz w:val="20"/>
          <w:szCs w:val="20"/>
        </w:rPr>
        <w:t xml:space="preserve">; </w:t>
      </w:r>
      <w:r w:rsidR="00D23F34" w:rsidRPr="00B005A4">
        <w:rPr>
          <w:rFonts w:ascii="Verdana" w:hAnsi="Verdana"/>
          <w:color w:val="000000" w:themeColor="text1"/>
          <w:sz w:val="20"/>
          <w:szCs w:val="20"/>
        </w:rPr>
        <w:t xml:space="preserve">financial institutions, </w:t>
      </w:r>
      <w:r w:rsidR="00D23F34" w:rsidRPr="001E5FD8">
        <w:rPr>
          <w:rFonts w:ascii="Verdana" w:hAnsi="Verdana"/>
          <w:color w:val="000000" w:themeColor="text1"/>
          <w:sz w:val="20"/>
          <w:szCs w:val="20"/>
        </w:rPr>
        <w:t>or non-financial institutions</w:t>
      </w:r>
      <w:r w:rsidR="001E5FD8" w:rsidRPr="0058313D">
        <w:rPr>
          <w:vertAlign w:val="superscript"/>
        </w:rPr>
        <w:footnoteReference w:id="11"/>
      </w:r>
      <w:r w:rsidR="001E4636" w:rsidRPr="001E5FD8">
        <w:rPr>
          <w:rFonts w:ascii="Verdana" w:hAnsi="Verdana"/>
          <w:color w:val="000000" w:themeColor="text1"/>
          <w:sz w:val="20"/>
          <w:szCs w:val="20"/>
        </w:rPr>
        <w:t>.</w:t>
      </w:r>
      <w:r w:rsidR="001E4636" w:rsidRPr="00B005A4">
        <w:rPr>
          <w:rFonts w:ascii="Verdana" w:hAnsi="Verdana"/>
          <w:color w:val="000000" w:themeColor="text1"/>
          <w:sz w:val="20"/>
          <w:szCs w:val="20"/>
        </w:rPr>
        <w:t xml:space="preserve">  </w:t>
      </w:r>
      <w:r w:rsidR="00B005A4" w:rsidRPr="00B005A4">
        <w:rPr>
          <w:rFonts w:ascii="Verdana" w:hAnsi="Verdana"/>
          <w:color w:val="000000" w:themeColor="text1"/>
          <w:sz w:val="20"/>
          <w:szCs w:val="20"/>
        </w:rPr>
        <w:t xml:space="preserve">The </w:t>
      </w:r>
      <w:r w:rsidR="00AA0779">
        <w:rPr>
          <w:rFonts w:ascii="Verdana" w:hAnsi="Verdana"/>
          <w:color w:val="000000" w:themeColor="text1"/>
          <w:sz w:val="20"/>
          <w:szCs w:val="20"/>
        </w:rPr>
        <w:t xml:space="preserve">remaining </w:t>
      </w:r>
      <w:r w:rsidR="00B005A4" w:rsidRPr="00B005A4">
        <w:rPr>
          <w:rFonts w:ascii="Verdana" w:hAnsi="Verdana"/>
          <w:color w:val="000000" w:themeColor="text1"/>
          <w:sz w:val="20"/>
          <w:szCs w:val="20"/>
        </w:rPr>
        <w:t xml:space="preserve">93% of </w:t>
      </w:r>
      <w:r w:rsidR="001E4636" w:rsidRPr="00B005A4">
        <w:rPr>
          <w:rFonts w:ascii="Verdana" w:hAnsi="Verdana"/>
          <w:color w:val="000000" w:themeColor="text1"/>
          <w:sz w:val="20"/>
          <w:szCs w:val="20"/>
        </w:rPr>
        <w:t>customers</w:t>
      </w:r>
      <w:r w:rsidR="00B005A4" w:rsidRPr="00B005A4">
        <w:rPr>
          <w:rFonts w:ascii="Verdana" w:hAnsi="Verdana"/>
          <w:color w:val="000000" w:themeColor="text1"/>
          <w:sz w:val="20"/>
          <w:szCs w:val="20"/>
        </w:rPr>
        <w:t>, which are predominantly individuals,</w:t>
      </w:r>
      <w:r w:rsidR="00DF29E6" w:rsidRPr="00B005A4">
        <w:rPr>
          <w:rFonts w:ascii="Verdana" w:hAnsi="Verdana"/>
          <w:color w:val="000000" w:themeColor="text1"/>
          <w:sz w:val="20"/>
          <w:szCs w:val="20"/>
        </w:rPr>
        <w:t xml:space="preserve"> </w:t>
      </w:r>
      <w:r w:rsidR="00A76573" w:rsidRPr="00B005A4">
        <w:rPr>
          <w:rFonts w:ascii="Verdana" w:hAnsi="Verdana"/>
          <w:color w:val="000000" w:themeColor="text1"/>
          <w:sz w:val="20"/>
          <w:szCs w:val="20"/>
        </w:rPr>
        <w:t xml:space="preserve">carry a </w:t>
      </w:r>
      <w:r w:rsidR="00DF29E6" w:rsidRPr="00B005A4">
        <w:rPr>
          <w:rFonts w:ascii="Verdana" w:hAnsi="Verdana"/>
          <w:color w:val="000000" w:themeColor="text1"/>
          <w:sz w:val="20"/>
          <w:szCs w:val="20"/>
        </w:rPr>
        <w:t>medium inherent risk</w:t>
      </w:r>
      <w:r w:rsidR="006904FE">
        <w:rPr>
          <w:rFonts w:ascii="Verdana" w:hAnsi="Verdana"/>
          <w:color w:val="000000" w:themeColor="text1"/>
          <w:sz w:val="20"/>
          <w:szCs w:val="20"/>
        </w:rPr>
        <w:t xml:space="preserve"> due to having a combination of higher and lower risk factors as outlined in </w:t>
      </w:r>
      <w:r w:rsidR="00C6242A">
        <w:rPr>
          <w:rFonts w:ascii="Verdana" w:hAnsi="Verdana"/>
          <w:color w:val="000000" w:themeColor="text1"/>
          <w:sz w:val="20"/>
          <w:szCs w:val="20"/>
        </w:rPr>
        <w:t>paragraph</w:t>
      </w:r>
      <w:r w:rsidR="006904FE">
        <w:rPr>
          <w:rFonts w:ascii="Verdana" w:hAnsi="Verdana"/>
          <w:color w:val="000000" w:themeColor="text1"/>
          <w:sz w:val="20"/>
          <w:szCs w:val="20"/>
        </w:rPr>
        <w:t xml:space="preserve"> 8 above</w:t>
      </w:r>
      <w:r w:rsidR="00B005A4" w:rsidRPr="00B005A4">
        <w:rPr>
          <w:rFonts w:ascii="Verdana" w:hAnsi="Verdana"/>
          <w:color w:val="000000" w:themeColor="text1"/>
          <w:sz w:val="20"/>
          <w:szCs w:val="20"/>
        </w:rPr>
        <w:t>.</w:t>
      </w:r>
      <w:r w:rsidR="00DF29E6" w:rsidRPr="00B005A4">
        <w:rPr>
          <w:rFonts w:ascii="Verdana" w:hAnsi="Verdana"/>
          <w:color w:val="000000" w:themeColor="text1"/>
          <w:sz w:val="20"/>
          <w:szCs w:val="20"/>
        </w:rPr>
        <w:t xml:space="preserve"> </w:t>
      </w:r>
    </w:p>
    <w:p w14:paraId="42224C73" w14:textId="77777777" w:rsidR="00181FE8" w:rsidRPr="00D34C98" w:rsidRDefault="00181FE8" w:rsidP="00D34C98">
      <w:pPr>
        <w:pStyle w:val="ListParagraph"/>
        <w:spacing w:line="276" w:lineRule="auto"/>
        <w:ind w:left="540"/>
        <w:jc w:val="both"/>
        <w:rPr>
          <w:rFonts w:ascii="Verdana" w:hAnsi="Verdana"/>
          <w:color w:val="000000" w:themeColor="text1"/>
          <w:sz w:val="20"/>
          <w:szCs w:val="20"/>
          <w:highlight w:val="green"/>
        </w:rPr>
      </w:pPr>
    </w:p>
    <w:p w14:paraId="38DBA15C" w14:textId="0C17DEAB" w:rsidR="002E25B9" w:rsidRPr="005E3090" w:rsidRDefault="0053084B"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Customer-specific circumstances: O</w:t>
      </w:r>
      <w:r w:rsidR="001034F6" w:rsidRPr="005E3090">
        <w:rPr>
          <w:rFonts w:ascii="Verdana" w:hAnsi="Verdana"/>
          <w:sz w:val="20"/>
          <w:szCs w:val="20"/>
        </w:rPr>
        <w:t xml:space="preserve">f the </w:t>
      </w:r>
      <w:r w:rsidR="00B005A4" w:rsidRPr="005E3090">
        <w:rPr>
          <w:rFonts w:ascii="Verdana" w:hAnsi="Verdana"/>
          <w:sz w:val="20"/>
          <w:szCs w:val="20"/>
        </w:rPr>
        <w:t>customers reported,</w:t>
      </w:r>
      <w:r w:rsidR="00571E5E" w:rsidRPr="005E3090">
        <w:rPr>
          <w:rFonts w:ascii="Verdana" w:hAnsi="Verdana"/>
          <w:sz w:val="20"/>
          <w:szCs w:val="20"/>
        </w:rPr>
        <w:t xml:space="preserve"> a</w:t>
      </w:r>
      <w:r w:rsidR="00276F0B">
        <w:rPr>
          <w:rFonts w:ascii="Verdana" w:hAnsi="Verdana"/>
          <w:sz w:val="20"/>
          <w:szCs w:val="20"/>
        </w:rPr>
        <w:t>pproximately</w:t>
      </w:r>
      <w:r w:rsidR="00571E5E" w:rsidRPr="005E3090">
        <w:rPr>
          <w:rFonts w:ascii="Verdana" w:hAnsi="Verdana"/>
          <w:sz w:val="20"/>
          <w:szCs w:val="20"/>
        </w:rPr>
        <w:t xml:space="preserve"> </w:t>
      </w:r>
      <w:r w:rsidR="00B005A4" w:rsidRPr="005E3090">
        <w:rPr>
          <w:rFonts w:ascii="Verdana" w:hAnsi="Verdana"/>
          <w:sz w:val="20"/>
          <w:szCs w:val="20"/>
        </w:rPr>
        <w:t>2</w:t>
      </w:r>
      <w:r w:rsidR="00571E5E" w:rsidRPr="005E3090">
        <w:rPr>
          <w:rFonts w:ascii="Verdana" w:hAnsi="Verdana"/>
          <w:sz w:val="20"/>
          <w:szCs w:val="20"/>
        </w:rPr>
        <w:t>%</w:t>
      </w:r>
      <w:r w:rsidR="00381ECA" w:rsidRPr="005E3090">
        <w:rPr>
          <w:rFonts w:ascii="Verdana" w:hAnsi="Verdana"/>
          <w:sz w:val="20"/>
          <w:szCs w:val="20"/>
        </w:rPr>
        <w:t>,</w:t>
      </w:r>
      <w:r w:rsidR="00571E5E" w:rsidRPr="005E3090">
        <w:rPr>
          <w:rFonts w:ascii="Verdana" w:hAnsi="Verdana"/>
          <w:sz w:val="20"/>
          <w:szCs w:val="20"/>
        </w:rPr>
        <w:t xml:space="preserve"> </w:t>
      </w:r>
      <w:r w:rsidR="001034F6" w:rsidRPr="005E3090">
        <w:rPr>
          <w:rFonts w:ascii="Verdana" w:hAnsi="Verdana"/>
          <w:sz w:val="20"/>
          <w:szCs w:val="20"/>
        </w:rPr>
        <w:t xml:space="preserve">were reported </w:t>
      </w:r>
      <w:r w:rsidR="00E00EBA" w:rsidRPr="005E3090">
        <w:rPr>
          <w:rFonts w:ascii="Verdana" w:hAnsi="Verdana"/>
          <w:sz w:val="20"/>
          <w:szCs w:val="20"/>
        </w:rPr>
        <w:t xml:space="preserve">to </w:t>
      </w:r>
      <w:r w:rsidR="000D342B" w:rsidRPr="005E3090">
        <w:rPr>
          <w:rFonts w:ascii="Verdana" w:hAnsi="Verdana"/>
          <w:sz w:val="20"/>
          <w:szCs w:val="20"/>
        </w:rPr>
        <w:t>have</w:t>
      </w:r>
      <w:r w:rsidR="001034F6" w:rsidRPr="005E3090">
        <w:rPr>
          <w:rFonts w:ascii="Verdana" w:hAnsi="Verdana"/>
          <w:sz w:val="20"/>
          <w:szCs w:val="20"/>
        </w:rPr>
        <w:t xml:space="preserve"> a net worth </w:t>
      </w:r>
      <w:r w:rsidR="00B005A4" w:rsidRPr="005E3090">
        <w:rPr>
          <w:rFonts w:ascii="Verdana" w:hAnsi="Verdana"/>
          <w:sz w:val="20"/>
          <w:szCs w:val="20"/>
        </w:rPr>
        <w:t xml:space="preserve">of CI$800,000 or net assets </w:t>
      </w:r>
      <w:r w:rsidR="00381ECA" w:rsidRPr="005E3090">
        <w:rPr>
          <w:rFonts w:ascii="Verdana" w:hAnsi="Verdana"/>
          <w:sz w:val="20"/>
          <w:szCs w:val="20"/>
        </w:rPr>
        <w:t>in excess of</w:t>
      </w:r>
      <w:r w:rsidR="001034F6" w:rsidRPr="005E3090">
        <w:rPr>
          <w:rFonts w:ascii="Verdana" w:hAnsi="Verdana"/>
          <w:sz w:val="20"/>
          <w:szCs w:val="20"/>
        </w:rPr>
        <w:t xml:space="preserve"> </w:t>
      </w:r>
      <w:r w:rsidR="00C77639" w:rsidRPr="005E3090">
        <w:rPr>
          <w:rFonts w:ascii="Verdana" w:hAnsi="Verdana"/>
          <w:sz w:val="20"/>
          <w:szCs w:val="20"/>
        </w:rPr>
        <w:t>CI$</w:t>
      </w:r>
      <w:r w:rsidR="001034F6" w:rsidRPr="005E3090">
        <w:rPr>
          <w:rFonts w:ascii="Verdana" w:hAnsi="Verdana"/>
          <w:sz w:val="20"/>
          <w:szCs w:val="20"/>
        </w:rPr>
        <w:t>4</w:t>
      </w:r>
      <w:r w:rsidR="00C77639" w:rsidRPr="005E3090">
        <w:rPr>
          <w:rFonts w:ascii="Verdana" w:hAnsi="Verdana"/>
          <w:sz w:val="20"/>
          <w:szCs w:val="20"/>
        </w:rPr>
        <w:t xml:space="preserve"> million</w:t>
      </w:r>
      <w:r w:rsidR="001034F6" w:rsidRPr="005E3090">
        <w:rPr>
          <w:rFonts w:ascii="Verdana" w:hAnsi="Verdana"/>
          <w:sz w:val="20"/>
          <w:szCs w:val="20"/>
        </w:rPr>
        <w:t xml:space="preserve">. </w:t>
      </w:r>
      <w:r w:rsidR="009E688E" w:rsidRPr="005E3090">
        <w:rPr>
          <w:rFonts w:ascii="Verdana" w:hAnsi="Verdana"/>
          <w:sz w:val="20"/>
          <w:szCs w:val="20"/>
        </w:rPr>
        <w:t>An additional 3</w:t>
      </w:r>
      <w:r w:rsidR="00B005A4" w:rsidRPr="005E3090">
        <w:rPr>
          <w:rFonts w:ascii="Verdana" w:hAnsi="Verdana"/>
          <w:sz w:val="20"/>
          <w:szCs w:val="20"/>
        </w:rPr>
        <w:t>% of</w:t>
      </w:r>
      <w:r w:rsidR="009E688E" w:rsidRPr="005E3090">
        <w:rPr>
          <w:rFonts w:ascii="Verdana" w:hAnsi="Verdana"/>
          <w:sz w:val="20"/>
          <w:szCs w:val="20"/>
        </w:rPr>
        <w:t xml:space="preserve"> customers were reported to qualify as sophisticated persons </w:t>
      </w:r>
      <w:r w:rsidR="00FF23F6">
        <w:rPr>
          <w:rFonts w:ascii="Verdana" w:hAnsi="Verdana"/>
          <w:sz w:val="20"/>
          <w:szCs w:val="20"/>
        </w:rPr>
        <w:t xml:space="preserve">as defined in the </w:t>
      </w:r>
      <w:r w:rsidR="009E688E" w:rsidRPr="005E3090">
        <w:rPr>
          <w:rFonts w:ascii="Verdana" w:hAnsi="Verdana"/>
          <w:sz w:val="20"/>
          <w:szCs w:val="20"/>
        </w:rPr>
        <w:t xml:space="preserve">SIBL. </w:t>
      </w:r>
      <w:r w:rsidR="00891C3A" w:rsidRPr="005E3090">
        <w:rPr>
          <w:rFonts w:ascii="Verdana" w:hAnsi="Verdana"/>
          <w:sz w:val="20"/>
          <w:szCs w:val="20"/>
        </w:rPr>
        <w:t>Responses indicated</w:t>
      </w:r>
      <w:r w:rsidR="00381ECA" w:rsidRPr="005E3090">
        <w:rPr>
          <w:rFonts w:ascii="Verdana" w:hAnsi="Verdana"/>
          <w:sz w:val="20"/>
          <w:szCs w:val="20"/>
        </w:rPr>
        <w:t xml:space="preserve"> that </w:t>
      </w:r>
      <w:r w:rsidR="00F1613C" w:rsidRPr="005E3090">
        <w:rPr>
          <w:rFonts w:ascii="Verdana" w:hAnsi="Verdana"/>
          <w:sz w:val="20"/>
          <w:szCs w:val="20"/>
        </w:rPr>
        <w:t>28% of</w:t>
      </w:r>
      <w:r w:rsidR="009E688E" w:rsidRPr="005E3090">
        <w:rPr>
          <w:rFonts w:ascii="Verdana" w:hAnsi="Verdana"/>
          <w:sz w:val="20"/>
          <w:szCs w:val="20"/>
        </w:rPr>
        <w:t xml:space="preserve"> </w:t>
      </w:r>
      <w:r w:rsidR="009C75B4" w:rsidRPr="005E3090">
        <w:rPr>
          <w:rFonts w:ascii="Verdana" w:hAnsi="Verdana"/>
          <w:sz w:val="20"/>
          <w:szCs w:val="20"/>
        </w:rPr>
        <w:t>SIB Licensees</w:t>
      </w:r>
      <w:r w:rsidR="00C37028" w:rsidRPr="005E3090">
        <w:rPr>
          <w:rFonts w:ascii="Verdana" w:hAnsi="Verdana"/>
          <w:sz w:val="20"/>
          <w:szCs w:val="20"/>
        </w:rPr>
        <w:t xml:space="preserve"> </w:t>
      </w:r>
      <w:r w:rsidRPr="005E3090">
        <w:rPr>
          <w:rFonts w:ascii="Verdana" w:hAnsi="Verdana"/>
          <w:sz w:val="20"/>
          <w:szCs w:val="20"/>
        </w:rPr>
        <w:t>have</w:t>
      </w:r>
      <w:r w:rsidR="00FF23F6">
        <w:rPr>
          <w:rFonts w:ascii="Verdana" w:hAnsi="Verdana"/>
          <w:sz w:val="20"/>
          <w:szCs w:val="20"/>
        </w:rPr>
        <w:t xml:space="preserve"> a total </w:t>
      </w:r>
      <w:r w:rsidR="00882CA4">
        <w:rPr>
          <w:rFonts w:ascii="Verdana" w:hAnsi="Verdana"/>
          <w:sz w:val="20"/>
          <w:szCs w:val="20"/>
        </w:rPr>
        <w:t xml:space="preserve">of </w:t>
      </w:r>
      <w:r w:rsidR="00882CA4" w:rsidRPr="005E3090">
        <w:rPr>
          <w:rFonts w:ascii="Verdana" w:hAnsi="Verdana"/>
          <w:sz w:val="20"/>
          <w:szCs w:val="20"/>
        </w:rPr>
        <w:t>45</w:t>
      </w:r>
      <w:r w:rsidR="00F1613C" w:rsidRPr="005E3090">
        <w:rPr>
          <w:rFonts w:ascii="Verdana" w:hAnsi="Verdana"/>
          <w:sz w:val="20"/>
          <w:szCs w:val="20"/>
        </w:rPr>
        <w:t xml:space="preserve"> customers with a </w:t>
      </w:r>
      <w:r w:rsidR="00113EA6" w:rsidRPr="005E3090">
        <w:rPr>
          <w:rFonts w:ascii="Verdana" w:hAnsi="Verdana"/>
          <w:sz w:val="20"/>
          <w:szCs w:val="20"/>
        </w:rPr>
        <w:t xml:space="preserve">Political Exposed Persons </w:t>
      </w:r>
      <w:r w:rsidR="00113EA6">
        <w:rPr>
          <w:rFonts w:ascii="Verdana" w:hAnsi="Verdana"/>
          <w:sz w:val="20"/>
          <w:szCs w:val="20"/>
        </w:rPr>
        <w:t>(“</w:t>
      </w:r>
      <w:r w:rsidR="00C37028" w:rsidRPr="005E3090">
        <w:rPr>
          <w:rFonts w:ascii="Verdana" w:hAnsi="Verdana"/>
          <w:sz w:val="20"/>
          <w:szCs w:val="20"/>
        </w:rPr>
        <w:t>PEP</w:t>
      </w:r>
      <w:r w:rsidR="00113EA6">
        <w:rPr>
          <w:rFonts w:ascii="Verdana" w:hAnsi="Verdana"/>
          <w:sz w:val="20"/>
          <w:szCs w:val="20"/>
        </w:rPr>
        <w:t>”)</w:t>
      </w:r>
      <w:r w:rsidRPr="005E3090">
        <w:rPr>
          <w:rFonts w:ascii="Verdana" w:hAnsi="Verdana"/>
          <w:sz w:val="20"/>
          <w:szCs w:val="20"/>
        </w:rPr>
        <w:t xml:space="preserve"> </w:t>
      </w:r>
      <w:r w:rsidR="00C37028" w:rsidRPr="005E3090">
        <w:rPr>
          <w:rFonts w:ascii="Verdana" w:hAnsi="Verdana"/>
          <w:sz w:val="20"/>
          <w:szCs w:val="20"/>
        </w:rPr>
        <w:t>s</w:t>
      </w:r>
      <w:r w:rsidRPr="005E3090">
        <w:rPr>
          <w:rFonts w:ascii="Verdana" w:hAnsi="Verdana"/>
          <w:sz w:val="20"/>
          <w:szCs w:val="20"/>
        </w:rPr>
        <w:t>tatus</w:t>
      </w:r>
      <w:r w:rsidR="00802175" w:rsidRPr="005E3090">
        <w:rPr>
          <w:rFonts w:ascii="Verdana" w:hAnsi="Verdana"/>
          <w:sz w:val="20"/>
          <w:szCs w:val="20"/>
        </w:rPr>
        <w:t xml:space="preserve">, </w:t>
      </w:r>
      <w:r w:rsidR="00F1613C" w:rsidRPr="005E3090">
        <w:rPr>
          <w:rFonts w:ascii="Verdana" w:hAnsi="Verdana"/>
          <w:sz w:val="20"/>
          <w:szCs w:val="20"/>
        </w:rPr>
        <w:t>57%</w:t>
      </w:r>
      <w:r w:rsidR="00802175" w:rsidRPr="005E3090">
        <w:rPr>
          <w:rFonts w:ascii="Verdana" w:hAnsi="Verdana"/>
          <w:sz w:val="20"/>
          <w:szCs w:val="20"/>
        </w:rPr>
        <w:t xml:space="preserve"> of which are </w:t>
      </w:r>
      <w:r w:rsidR="00F1613C" w:rsidRPr="005E3090">
        <w:rPr>
          <w:rFonts w:ascii="Verdana" w:hAnsi="Verdana"/>
          <w:sz w:val="20"/>
          <w:szCs w:val="20"/>
        </w:rPr>
        <w:t>domiciled in the Cayman Islands</w:t>
      </w:r>
      <w:r w:rsidR="00276F0B">
        <w:rPr>
          <w:rFonts w:ascii="Verdana" w:hAnsi="Verdana"/>
          <w:sz w:val="20"/>
          <w:szCs w:val="20"/>
        </w:rPr>
        <w:t xml:space="preserve"> and</w:t>
      </w:r>
      <w:r w:rsidR="00F1613C" w:rsidRPr="005E3090">
        <w:rPr>
          <w:rFonts w:ascii="Verdana" w:hAnsi="Verdana"/>
          <w:sz w:val="20"/>
          <w:szCs w:val="20"/>
        </w:rPr>
        <w:t xml:space="preserve"> 27% Jamaica</w:t>
      </w:r>
      <w:r w:rsidR="00276F0B">
        <w:rPr>
          <w:rFonts w:ascii="Verdana" w:hAnsi="Verdana"/>
          <w:sz w:val="20"/>
          <w:szCs w:val="20"/>
        </w:rPr>
        <w:t>.  N</w:t>
      </w:r>
      <w:r w:rsidR="00F1613C" w:rsidRPr="005E3090">
        <w:rPr>
          <w:rFonts w:ascii="Verdana" w:hAnsi="Verdana"/>
          <w:sz w:val="20"/>
          <w:szCs w:val="20"/>
        </w:rPr>
        <w:t xml:space="preserve">o one other </w:t>
      </w:r>
      <w:r w:rsidR="00113EA6">
        <w:rPr>
          <w:rFonts w:ascii="Verdana" w:hAnsi="Verdana"/>
          <w:sz w:val="20"/>
          <w:szCs w:val="20"/>
        </w:rPr>
        <w:t>jurisdiction</w:t>
      </w:r>
      <w:r w:rsidR="00F1613C" w:rsidRPr="005E3090">
        <w:rPr>
          <w:rFonts w:ascii="Verdana" w:hAnsi="Verdana"/>
          <w:sz w:val="20"/>
          <w:szCs w:val="20"/>
        </w:rPr>
        <w:t xml:space="preserve"> has more than 1% of the total reported PEP population of </w:t>
      </w:r>
      <w:r w:rsidR="00C77639" w:rsidRPr="005E3090">
        <w:rPr>
          <w:rFonts w:ascii="Verdana" w:hAnsi="Verdana"/>
          <w:sz w:val="20"/>
          <w:szCs w:val="20"/>
        </w:rPr>
        <w:t>customer</w:t>
      </w:r>
      <w:r w:rsidR="00F1613C" w:rsidRPr="005E3090">
        <w:rPr>
          <w:rFonts w:ascii="Verdana" w:hAnsi="Verdana"/>
          <w:sz w:val="20"/>
          <w:szCs w:val="20"/>
        </w:rPr>
        <w:t>s</w:t>
      </w:r>
      <w:r w:rsidR="00104869" w:rsidRPr="005E3090">
        <w:rPr>
          <w:rFonts w:ascii="Verdana" w:hAnsi="Verdana"/>
          <w:sz w:val="20"/>
          <w:szCs w:val="20"/>
        </w:rPr>
        <w:t xml:space="preserve">. </w:t>
      </w:r>
    </w:p>
    <w:p w14:paraId="5CCA0822" w14:textId="77777777" w:rsidR="00D23F34" w:rsidRPr="00D34C98" w:rsidRDefault="00D23F34" w:rsidP="004A1DFB">
      <w:pPr>
        <w:pStyle w:val="ListParagraph"/>
        <w:spacing w:line="276" w:lineRule="auto"/>
        <w:ind w:left="540"/>
        <w:jc w:val="both"/>
        <w:rPr>
          <w:rFonts w:ascii="Verdana" w:hAnsi="Verdana"/>
          <w:color w:val="000000" w:themeColor="text1"/>
          <w:sz w:val="20"/>
          <w:szCs w:val="20"/>
          <w:highlight w:val="green"/>
        </w:rPr>
      </w:pPr>
    </w:p>
    <w:p w14:paraId="73D9F25D" w14:textId="1E6F9C7A" w:rsidR="00F1613C" w:rsidRPr="00F1613C" w:rsidRDefault="0053084B" w:rsidP="00F1613C">
      <w:pPr>
        <w:spacing w:line="276" w:lineRule="auto"/>
        <w:jc w:val="both"/>
        <w:rPr>
          <w:rFonts w:ascii="Verdana" w:hAnsi="Verdana"/>
          <w:sz w:val="20"/>
          <w:szCs w:val="20"/>
          <w:u w:val="single"/>
        </w:rPr>
      </w:pPr>
      <w:r w:rsidRPr="00F1613C">
        <w:rPr>
          <w:rFonts w:ascii="Verdana" w:hAnsi="Verdana"/>
          <w:sz w:val="20"/>
          <w:szCs w:val="20"/>
          <w:u w:val="single"/>
        </w:rPr>
        <w:t>Conclusion</w:t>
      </w:r>
      <w:r w:rsidR="00163846" w:rsidRPr="00F1613C">
        <w:rPr>
          <w:rFonts w:ascii="Verdana" w:hAnsi="Verdana"/>
          <w:sz w:val="20"/>
          <w:szCs w:val="20"/>
          <w:u w:val="single"/>
        </w:rPr>
        <w:t xml:space="preserve"> on </w:t>
      </w:r>
      <w:r w:rsidR="00C77639">
        <w:rPr>
          <w:rFonts w:ascii="Verdana" w:hAnsi="Verdana"/>
          <w:sz w:val="20"/>
          <w:szCs w:val="20"/>
          <w:u w:val="single"/>
        </w:rPr>
        <w:t xml:space="preserve">Risk Category for </w:t>
      </w:r>
      <w:r w:rsidR="00163846" w:rsidRPr="00F1613C">
        <w:rPr>
          <w:rFonts w:ascii="Verdana" w:hAnsi="Verdana"/>
          <w:sz w:val="20"/>
          <w:szCs w:val="20"/>
          <w:u w:val="single"/>
        </w:rPr>
        <w:t>Customer Risks</w:t>
      </w:r>
    </w:p>
    <w:p w14:paraId="0B33D5B9" w14:textId="77777777" w:rsidR="00F1613C" w:rsidRPr="00F1613C" w:rsidRDefault="00F1613C" w:rsidP="00F1613C">
      <w:pPr>
        <w:pStyle w:val="ListParagraph"/>
        <w:rPr>
          <w:rFonts w:ascii="Verdana" w:hAnsi="Verdana"/>
          <w:color w:val="000000" w:themeColor="text1"/>
          <w:sz w:val="20"/>
          <w:szCs w:val="20"/>
          <w:highlight w:val="green"/>
        </w:rPr>
      </w:pPr>
    </w:p>
    <w:p w14:paraId="4D8033BD" w14:textId="4540CE7A" w:rsidR="00912B61" w:rsidRPr="005E3090" w:rsidRDefault="00F1613C"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 xml:space="preserve">The SIB Licensees cater to a wide range of customers, most of which are individual, retail customers which are a medium high risk for the sector from a geographical standpoint.  </w:t>
      </w:r>
    </w:p>
    <w:p w14:paraId="623DEF3E" w14:textId="77777777" w:rsidR="00F1613C" w:rsidRDefault="00F1613C" w:rsidP="00F1613C">
      <w:pPr>
        <w:pStyle w:val="ListParagraph"/>
        <w:spacing w:line="276" w:lineRule="auto"/>
        <w:ind w:left="540"/>
        <w:jc w:val="both"/>
        <w:rPr>
          <w:rFonts w:ascii="Verdana" w:hAnsi="Verdana"/>
          <w:color w:val="000000" w:themeColor="text1"/>
          <w:sz w:val="20"/>
          <w:szCs w:val="20"/>
          <w:u w:val="single"/>
        </w:rPr>
      </w:pPr>
    </w:p>
    <w:tbl>
      <w:tblPr>
        <w:tblStyle w:val="TableGrid"/>
        <w:tblW w:w="6750" w:type="dxa"/>
        <w:tblInd w:w="108" w:type="dxa"/>
        <w:shd w:val="clear" w:color="auto" w:fill="FFC000"/>
        <w:tblLook w:val="04A0" w:firstRow="1" w:lastRow="0" w:firstColumn="1" w:lastColumn="0" w:noHBand="0" w:noVBand="1"/>
      </w:tblPr>
      <w:tblGrid>
        <w:gridCol w:w="6750"/>
      </w:tblGrid>
      <w:tr w:rsidR="00912B61" w:rsidRPr="00B47CAF" w14:paraId="2C96D153" w14:textId="77777777" w:rsidTr="00C77639">
        <w:tc>
          <w:tcPr>
            <w:tcW w:w="6750" w:type="dxa"/>
            <w:shd w:val="clear" w:color="auto" w:fill="FFC000"/>
          </w:tcPr>
          <w:p w14:paraId="732D515A" w14:textId="3C612A43" w:rsidR="00912B61" w:rsidRPr="00B47CAF" w:rsidRDefault="00912B61" w:rsidP="008042EF">
            <w:pPr>
              <w:jc w:val="both"/>
              <w:rPr>
                <w:rFonts w:ascii="Verdana" w:hAnsi="Verdana"/>
                <w:b/>
                <w:sz w:val="20"/>
                <w:szCs w:val="20"/>
              </w:rPr>
            </w:pPr>
            <w:r>
              <w:rPr>
                <w:rFonts w:ascii="Verdana" w:hAnsi="Verdana"/>
                <w:b/>
                <w:sz w:val="20"/>
                <w:szCs w:val="20"/>
              </w:rPr>
              <w:t>Customer Risk</w:t>
            </w:r>
            <w:r w:rsidRPr="00B47CAF">
              <w:rPr>
                <w:rFonts w:ascii="Verdana" w:hAnsi="Verdana"/>
                <w:b/>
                <w:sz w:val="20"/>
                <w:szCs w:val="20"/>
              </w:rPr>
              <w:t xml:space="preserve"> </w:t>
            </w:r>
          </w:p>
        </w:tc>
      </w:tr>
      <w:tr w:rsidR="00912B61" w:rsidRPr="00B47CAF" w14:paraId="79663431" w14:textId="77777777" w:rsidTr="00C77639">
        <w:tc>
          <w:tcPr>
            <w:tcW w:w="6750" w:type="dxa"/>
            <w:shd w:val="clear" w:color="auto" w:fill="FFC000"/>
          </w:tcPr>
          <w:p w14:paraId="30E918B9" w14:textId="77777777" w:rsidR="00912B61" w:rsidRPr="00B47CAF" w:rsidRDefault="00912B61" w:rsidP="008042EF">
            <w:pPr>
              <w:pStyle w:val="ListParagraph"/>
              <w:ind w:left="0"/>
              <w:rPr>
                <w:rFonts w:ascii="Verdana" w:hAnsi="Verdana"/>
                <w:sz w:val="20"/>
                <w:szCs w:val="20"/>
              </w:rPr>
            </w:pPr>
            <w:r w:rsidRPr="00B47CAF">
              <w:rPr>
                <w:rFonts w:ascii="Verdana" w:hAnsi="Verdana"/>
                <w:sz w:val="20"/>
                <w:szCs w:val="20"/>
              </w:rPr>
              <w:t xml:space="preserve">Risk rating: </w:t>
            </w:r>
            <w:r w:rsidRPr="00B47CAF">
              <w:rPr>
                <w:rFonts w:ascii="Verdana" w:hAnsi="Verdana"/>
                <w:b/>
                <w:sz w:val="20"/>
                <w:szCs w:val="20"/>
              </w:rPr>
              <w:t>Medium-High</w:t>
            </w:r>
          </w:p>
        </w:tc>
      </w:tr>
    </w:tbl>
    <w:p w14:paraId="206238E4" w14:textId="77777777" w:rsidR="00912B61" w:rsidRPr="00101474" w:rsidRDefault="00912B61" w:rsidP="00101474">
      <w:pPr>
        <w:spacing w:line="276" w:lineRule="auto"/>
        <w:jc w:val="both"/>
        <w:rPr>
          <w:rFonts w:ascii="Verdana" w:hAnsi="Verdana"/>
          <w:color w:val="000000" w:themeColor="text1"/>
          <w:sz w:val="20"/>
          <w:szCs w:val="20"/>
          <w:u w:val="single"/>
        </w:rPr>
      </w:pPr>
    </w:p>
    <w:p w14:paraId="2490539F" w14:textId="5B156D1D" w:rsidR="008B63BE" w:rsidRPr="00101474" w:rsidRDefault="005E3090" w:rsidP="00101474">
      <w:pPr>
        <w:pStyle w:val="ListParagraph"/>
        <w:spacing w:line="276" w:lineRule="auto"/>
        <w:ind w:left="0"/>
        <w:jc w:val="both"/>
        <w:rPr>
          <w:rFonts w:ascii="Verdana" w:hAnsi="Verdana"/>
          <w:color w:val="000000" w:themeColor="text1"/>
          <w:sz w:val="20"/>
          <w:szCs w:val="20"/>
        </w:rPr>
      </w:pPr>
      <w:r>
        <w:rPr>
          <w:rFonts w:ascii="Verdana" w:hAnsi="Verdana"/>
          <w:b/>
          <w:color w:val="000000" w:themeColor="text1"/>
          <w:sz w:val="20"/>
          <w:szCs w:val="20"/>
        </w:rPr>
        <w:t xml:space="preserve">Transaction, </w:t>
      </w:r>
      <w:r w:rsidR="008B63BE" w:rsidRPr="00101474">
        <w:rPr>
          <w:rFonts w:ascii="Verdana" w:hAnsi="Verdana"/>
          <w:b/>
          <w:color w:val="000000" w:themeColor="text1"/>
          <w:sz w:val="20"/>
          <w:szCs w:val="20"/>
        </w:rPr>
        <w:t>Product and Service Risks</w:t>
      </w:r>
    </w:p>
    <w:p w14:paraId="4FE4B594" w14:textId="77777777" w:rsidR="00495D3A" w:rsidRPr="00101474" w:rsidRDefault="00495D3A" w:rsidP="00101474">
      <w:pPr>
        <w:pStyle w:val="ListParagraph"/>
        <w:jc w:val="both"/>
        <w:rPr>
          <w:rFonts w:ascii="Verdana" w:hAnsi="Verdana"/>
          <w:color w:val="000000" w:themeColor="text1"/>
          <w:sz w:val="20"/>
          <w:szCs w:val="20"/>
        </w:rPr>
      </w:pPr>
    </w:p>
    <w:p w14:paraId="5265DCC7" w14:textId="30B1682B" w:rsidR="008B20DA" w:rsidRPr="005E3090" w:rsidRDefault="00877173" w:rsidP="005E3090">
      <w:pPr>
        <w:pStyle w:val="ListParagraph"/>
        <w:numPr>
          <w:ilvl w:val="0"/>
          <w:numId w:val="24"/>
        </w:numPr>
        <w:spacing w:line="276" w:lineRule="auto"/>
        <w:jc w:val="both"/>
        <w:rPr>
          <w:rFonts w:ascii="Verdana" w:hAnsi="Verdana"/>
          <w:sz w:val="20"/>
          <w:szCs w:val="20"/>
        </w:rPr>
      </w:pPr>
      <w:bookmarkStart w:id="10" w:name="_Hlk30528932"/>
      <w:r>
        <w:rPr>
          <w:rFonts w:ascii="Verdana" w:hAnsi="Verdana"/>
          <w:sz w:val="20"/>
          <w:szCs w:val="20"/>
        </w:rPr>
        <w:t>Transactions: For the reporting period,</w:t>
      </w:r>
      <w:r w:rsidR="008B20DA" w:rsidRPr="005E3090">
        <w:rPr>
          <w:rFonts w:ascii="Verdana" w:hAnsi="Verdana"/>
          <w:sz w:val="20"/>
          <w:szCs w:val="20"/>
        </w:rPr>
        <w:t xml:space="preserve"> 1 July 2018 to 30 June 2019, SIB Licensees reported a total of 6,228,244 transactions; which were predominantly, 90%, transacted by individual </w:t>
      </w:r>
      <w:r w:rsidR="00C77639" w:rsidRPr="005E3090">
        <w:rPr>
          <w:rFonts w:ascii="Verdana" w:hAnsi="Verdana"/>
          <w:sz w:val="20"/>
          <w:szCs w:val="20"/>
        </w:rPr>
        <w:t>customer</w:t>
      </w:r>
      <w:r w:rsidR="008B20DA" w:rsidRPr="005E3090">
        <w:rPr>
          <w:rFonts w:ascii="Verdana" w:hAnsi="Verdana"/>
          <w:sz w:val="20"/>
          <w:szCs w:val="20"/>
        </w:rPr>
        <w:t>s of 3 SIB Licensee</w:t>
      </w:r>
      <w:bookmarkStart w:id="11" w:name="_GoBack"/>
      <w:bookmarkEnd w:id="11"/>
      <w:r w:rsidR="008B20DA" w:rsidRPr="005E3090">
        <w:rPr>
          <w:rFonts w:ascii="Verdana" w:hAnsi="Verdana"/>
          <w:sz w:val="20"/>
          <w:szCs w:val="20"/>
        </w:rPr>
        <w:t xml:space="preserve">s.  </w:t>
      </w:r>
      <w:r w:rsidR="007333EE" w:rsidRPr="005E3090">
        <w:rPr>
          <w:rFonts w:ascii="Verdana" w:hAnsi="Verdana"/>
          <w:sz w:val="20"/>
          <w:szCs w:val="20"/>
        </w:rPr>
        <w:t xml:space="preserve">These individuals are domiciled across 95 jurisdictions, and 13% are </w:t>
      </w:r>
      <w:r w:rsidR="00931B8A" w:rsidRPr="005E3090">
        <w:rPr>
          <w:rFonts w:ascii="Verdana" w:hAnsi="Verdana"/>
          <w:sz w:val="20"/>
          <w:szCs w:val="20"/>
        </w:rPr>
        <w:t>from a high</w:t>
      </w:r>
      <w:r w:rsidR="00435332" w:rsidRPr="005E3090">
        <w:rPr>
          <w:rFonts w:ascii="Verdana" w:hAnsi="Verdana"/>
          <w:sz w:val="20"/>
          <w:szCs w:val="20"/>
        </w:rPr>
        <w:t>-</w:t>
      </w:r>
      <w:r w:rsidR="00931B8A" w:rsidRPr="005E3090">
        <w:rPr>
          <w:rFonts w:ascii="Verdana" w:hAnsi="Verdana"/>
          <w:sz w:val="20"/>
          <w:szCs w:val="20"/>
        </w:rPr>
        <w:t xml:space="preserve">risk </w:t>
      </w:r>
      <w:r w:rsidR="00113EA6">
        <w:rPr>
          <w:rFonts w:ascii="Verdana" w:hAnsi="Verdana"/>
          <w:sz w:val="20"/>
          <w:szCs w:val="20"/>
        </w:rPr>
        <w:t>jurisdiction</w:t>
      </w:r>
      <w:r w:rsidR="00931B8A" w:rsidRPr="005E3090">
        <w:rPr>
          <w:rFonts w:ascii="Verdana" w:hAnsi="Verdana"/>
          <w:sz w:val="20"/>
          <w:szCs w:val="20"/>
        </w:rPr>
        <w:t>.</w:t>
      </w:r>
      <w:r w:rsidR="007333EE" w:rsidRPr="005E3090">
        <w:rPr>
          <w:rFonts w:ascii="Verdana" w:hAnsi="Verdana"/>
          <w:sz w:val="20"/>
          <w:szCs w:val="20"/>
        </w:rPr>
        <w:t xml:space="preserve"> </w:t>
      </w:r>
      <w:r w:rsidR="00113EA6">
        <w:rPr>
          <w:rFonts w:ascii="Verdana" w:hAnsi="Verdana"/>
          <w:sz w:val="20"/>
          <w:szCs w:val="20"/>
        </w:rPr>
        <w:t>jurisdictions</w:t>
      </w:r>
    </w:p>
    <w:p w14:paraId="3900A1DF" w14:textId="05F69800" w:rsidR="00422F32" w:rsidRPr="005E3090" w:rsidRDefault="00422F32" w:rsidP="005E3090">
      <w:pPr>
        <w:pStyle w:val="ListParagraph"/>
        <w:spacing w:line="276" w:lineRule="auto"/>
        <w:ind w:left="540"/>
        <w:jc w:val="both"/>
        <w:rPr>
          <w:rFonts w:ascii="Verdana" w:hAnsi="Verdana"/>
          <w:sz w:val="20"/>
          <w:szCs w:val="20"/>
        </w:rPr>
      </w:pPr>
    </w:p>
    <w:p w14:paraId="4891C01D" w14:textId="30BEBC5D" w:rsidR="00433854" w:rsidRDefault="00877173" w:rsidP="00675EDB">
      <w:pPr>
        <w:pStyle w:val="ListParagraph"/>
        <w:spacing w:line="276" w:lineRule="auto"/>
        <w:ind w:left="540"/>
        <w:jc w:val="both"/>
        <w:rPr>
          <w:rFonts w:ascii="Verdana" w:hAnsi="Verdana"/>
          <w:sz w:val="20"/>
          <w:szCs w:val="20"/>
        </w:rPr>
      </w:pPr>
      <w:r w:rsidRPr="006904FE">
        <w:rPr>
          <w:rFonts w:ascii="Verdana" w:hAnsi="Verdana"/>
          <w:sz w:val="20"/>
          <w:szCs w:val="20"/>
        </w:rPr>
        <w:t>Products: T</w:t>
      </w:r>
      <w:r w:rsidR="00C72CFD" w:rsidRPr="006904FE">
        <w:rPr>
          <w:rFonts w:ascii="Verdana" w:hAnsi="Verdana"/>
          <w:sz w:val="20"/>
          <w:szCs w:val="20"/>
        </w:rPr>
        <w:t xml:space="preserve">rading in shares, options, futures and contracts for differences pose </w:t>
      </w:r>
      <w:r w:rsidR="0044225A" w:rsidRPr="006904FE">
        <w:rPr>
          <w:rFonts w:ascii="Verdana" w:hAnsi="Verdana"/>
          <w:sz w:val="20"/>
          <w:szCs w:val="20"/>
        </w:rPr>
        <w:t>a</w:t>
      </w:r>
      <w:r w:rsidR="00C72CFD" w:rsidRPr="006904FE">
        <w:rPr>
          <w:rFonts w:ascii="Verdana" w:hAnsi="Verdana"/>
          <w:sz w:val="20"/>
          <w:szCs w:val="20"/>
        </w:rPr>
        <w:t xml:space="preserve"> high risk</w:t>
      </w:r>
      <w:r w:rsidR="00795E9B" w:rsidRPr="006904FE">
        <w:rPr>
          <w:rFonts w:ascii="Verdana" w:hAnsi="Verdana"/>
          <w:sz w:val="20"/>
          <w:szCs w:val="20"/>
        </w:rPr>
        <w:t xml:space="preserve"> because of their greater level of volatility, trading volume, and market leveraging implication</w:t>
      </w:r>
      <w:r w:rsidR="00C72CFD" w:rsidRPr="006904FE">
        <w:rPr>
          <w:rFonts w:ascii="Verdana" w:hAnsi="Verdana"/>
          <w:sz w:val="20"/>
          <w:szCs w:val="20"/>
        </w:rPr>
        <w:t xml:space="preserve">. </w:t>
      </w:r>
      <w:r w:rsidR="0044225A" w:rsidRPr="006904FE">
        <w:rPr>
          <w:rFonts w:ascii="Verdana" w:hAnsi="Verdana"/>
          <w:sz w:val="20"/>
          <w:szCs w:val="20"/>
        </w:rPr>
        <w:t>Instruments creating o</w:t>
      </w:r>
      <w:r w:rsidR="005F3B8A" w:rsidRPr="006904FE">
        <w:rPr>
          <w:rFonts w:ascii="Verdana" w:hAnsi="Verdana"/>
          <w:sz w:val="20"/>
          <w:szCs w:val="20"/>
        </w:rPr>
        <w:t>r</w:t>
      </w:r>
      <w:r w:rsidR="0044225A" w:rsidRPr="006904FE">
        <w:rPr>
          <w:rFonts w:ascii="Verdana" w:hAnsi="Verdana"/>
          <w:sz w:val="20"/>
          <w:szCs w:val="20"/>
        </w:rPr>
        <w:t xml:space="preserve"> acknowledging indebtedness or giving entitlements to securities and certificates representing certain securities p</w:t>
      </w:r>
      <w:r w:rsidR="00795E9B" w:rsidRPr="006904FE">
        <w:rPr>
          <w:rFonts w:ascii="Verdana" w:hAnsi="Verdana"/>
          <w:sz w:val="20"/>
          <w:szCs w:val="20"/>
        </w:rPr>
        <w:t xml:space="preserve">ose a </w:t>
      </w:r>
      <w:r w:rsidR="008A2F7F" w:rsidRPr="006904FE">
        <w:rPr>
          <w:rFonts w:ascii="Verdana" w:hAnsi="Verdana"/>
          <w:sz w:val="20"/>
          <w:szCs w:val="20"/>
        </w:rPr>
        <w:t>medium-</w:t>
      </w:r>
      <w:r w:rsidR="005F3B8A" w:rsidRPr="006904FE">
        <w:rPr>
          <w:rFonts w:ascii="Verdana" w:hAnsi="Verdana"/>
          <w:sz w:val="20"/>
          <w:szCs w:val="20"/>
        </w:rPr>
        <w:t>high</w:t>
      </w:r>
      <w:r w:rsidR="00795E9B" w:rsidRPr="006904FE">
        <w:rPr>
          <w:rFonts w:ascii="Verdana" w:hAnsi="Verdana"/>
          <w:sz w:val="20"/>
          <w:szCs w:val="20"/>
        </w:rPr>
        <w:t xml:space="preserve"> risk. </w:t>
      </w:r>
      <w:r w:rsidR="00220BE5" w:rsidRPr="006904FE">
        <w:rPr>
          <w:rFonts w:ascii="Verdana" w:hAnsi="Verdana"/>
          <w:sz w:val="20"/>
          <w:szCs w:val="20"/>
        </w:rPr>
        <w:t>Of all respondents</w:t>
      </w:r>
      <w:r w:rsidR="00D441DA" w:rsidRPr="006904FE">
        <w:rPr>
          <w:rFonts w:ascii="Verdana" w:hAnsi="Verdana"/>
          <w:sz w:val="20"/>
          <w:szCs w:val="20"/>
        </w:rPr>
        <w:t>,</w:t>
      </w:r>
      <w:r w:rsidR="00220BE5" w:rsidRPr="006904FE">
        <w:rPr>
          <w:rFonts w:ascii="Verdana" w:hAnsi="Verdana"/>
          <w:sz w:val="20"/>
          <w:szCs w:val="20"/>
        </w:rPr>
        <w:t xml:space="preserve"> </w:t>
      </w:r>
      <w:r w:rsidR="00913FE5" w:rsidRPr="006904FE">
        <w:rPr>
          <w:rFonts w:ascii="Verdana" w:hAnsi="Verdana"/>
          <w:sz w:val="20"/>
          <w:szCs w:val="20"/>
        </w:rPr>
        <w:t>100</w:t>
      </w:r>
      <w:r w:rsidR="0044225A" w:rsidRPr="006904FE">
        <w:rPr>
          <w:rFonts w:ascii="Verdana" w:hAnsi="Verdana"/>
          <w:sz w:val="20"/>
          <w:szCs w:val="20"/>
        </w:rPr>
        <w:t xml:space="preserve">% indicated that </w:t>
      </w:r>
      <w:r w:rsidRPr="006904FE">
        <w:rPr>
          <w:rFonts w:ascii="Verdana" w:hAnsi="Verdana"/>
          <w:sz w:val="20"/>
          <w:szCs w:val="20"/>
        </w:rPr>
        <w:t>their product offering include</w:t>
      </w:r>
      <w:r w:rsidR="0039285F" w:rsidRPr="006904FE">
        <w:rPr>
          <w:rFonts w:ascii="Verdana" w:hAnsi="Verdana"/>
          <w:sz w:val="20"/>
          <w:szCs w:val="20"/>
        </w:rPr>
        <w:t>s</w:t>
      </w:r>
      <w:r w:rsidR="0044225A" w:rsidRPr="006904FE">
        <w:rPr>
          <w:rFonts w:ascii="Verdana" w:hAnsi="Verdana"/>
          <w:sz w:val="20"/>
          <w:szCs w:val="20"/>
        </w:rPr>
        <w:t xml:space="preserve"> at least one of the high</w:t>
      </w:r>
      <w:r w:rsidR="006904FE" w:rsidRPr="006904FE">
        <w:rPr>
          <w:rFonts w:ascii="Verdana" w:hAnsi="Verdana"/>
          <w:sz w:val="20"/>
          <w:szCs w:val="20"/>
        </w:rPr>
        <w:t>er</w:t>
      </w:r>
      <w:r w:rsidR="0044225A" w:rsidRPr="006904FE">
        <w:rPr>
          <w:rFonts w:ascii="Verdana" w:hAnsi="Verdana"/>
          <w:sz w:val="20"/>
          <w:szCs w:val="20"/>
        </w:rPr>
        <w:t xml:space="preserve">-risk instruments, </w:t>
      </w:r>
      <w:r w:rsidR="00795EEE" w:rsidRPr="006904FE">
        <w:rPr>
          <w:rFonts w:ascii="Verdana" w:hAnsi="Verdana"/>
          <w:sz w:val="20"/>
          <w:szCs w:val="20"/>
        </w:rPr>
        <w:t>namely</w:t>
      </w:r>
      <w:r w:rsidR="0044225A" w:rsidRPr="006904FE">
        <w:rPr>
          <w:rFonts w:ascii="Verdana" w:hAnsi="Verdana"/>
          <w:sz w:val="20"/>
          <w:szCs w:val="20"/>
        </w:rPr>
        <w:t xml:space="preserve"> shares</w:t>
      </w:r>
      <w:r w:rsidR="00913FE5" w:rsidRPr="006904FE">
        <w:rPr>
          <w:rFonts w:ascii="Verdana" w:hAnsi="Verdana"/>
          <w:sz w:val="20"/>
          <w:szCs w:val="20"/>
        </w:rPr>
        <w:t xml:space="preserve"> which are utilized by 59% SIB Licensees, followed by instruments creating or acknowledging indebtedness which are utilized by 38% SIB Licensees and contracts for differences which are utilized by 28% SIB Licensees</w:t>
      </w:r>
      <w:r w:rsidR="0044225A" w:rsidRPr="006904FE">
        <w:rPr>
          <w:rFonts w:ascii="Verdana" w:hAnsi="Verdana"/>
          <w:sz w:val="20"/>
          <w:szCs w:val="20"/>
        </w:rPr>
        <w:t xml:space="preserve">. </w:t>
      </w:r>
    </w:p>
    <w:p w14:paraId="006C0737" w14:textId="77777777" w:rsidR="00433854" w:rsidRPr="005E3090" w:rsidRDefault="00433854" w:rsidP="00675EDB">
      <w:pPr>
        <w:pStyle w:val="ListParagraph"/>
        <w:spacing w:line="276" w:lineRule="auto"/>
        <w:ind w:left="540"/>
        <w:jc w:val="both"/>
        <w:rPr>
          <w:rFonts w:ascii="Verdana" w:hAnsi="Verdana"/>
          <w:sz w:val="20"/>
          <w:szCs w:val="20"/>
        </w:rPr>
      </w:pPr>
    </w:p>
    <w:p w14:paraId="18F77DE0" w14:textId="05C5E168" w:rsidR="0044225A" w:rsidRDefault="00433854" w:rsidP="003B47BA">
      <w:pPr>
        <w:pStyle w:val="ListParagraph"/>
        <w:numPr>
          <w:ilvl w:val="0"/>
          <w:numId w:val="24"/>
        </w:num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Services: 14% of </w:t>
      </w:r>
      <w:r w:rsidRPr="00113EA6">
        <w:rPr>
          <w:rFonts w:ascii="Verdana" w:hAnsi="Verdana"/>
          <w:color w:val="000000" w:themeColor="text1"/>
          <w:sz w:val="20"/>
          <w:szCs w:val="20"/>
        </w:rPr>
        <w:t xml:space="preserve">SIB Licensees that engage in securities arranging and advising are deemed to be less risky than broker dealers, market makers and securities managers. This is because a securities advisor may not be directly involved with the exchange of funds from their customers.  However, </w:t>
      </w:r>
      <w:r>
        <w:rPr>
          <w:rFonts w:ascii="Verdana" w:hAnsi="Verdana"/>
          <w:color w:val="000000" w:themeColor="text1"/>
          <w:sz w:val="20"/>
          <w:szCs w:val="20"/>
        </w:rPr>
        <w:t>86%</w:t>
      </w:r>
      <w:r w:rsidRPr="00113EA6">
        <w:rPr>
          <w:rFonts w:ascii="Verdana" w:hAnsi="Verdana"/>
          <w:color w:val="000000" w:themeColor="text1"/>
          <w:sz w:val="20"/>
          <w:szCs w:val="20"/>
        </w:rPr>
        <w:t xml:space="preserve"> </w:t>
      </w:r>
      <w:r>
        <w:rPr>
          <w:rFonts w:ascii="Verdana" w:hAnsi="Verdana"/>
          <w:color w:val="000000" w:themeColor="text1"/>
          <w:sz w:val="20"/>
          <w:szCs w:val="20"/>
        </w:rPr>
        <w:t>of</w:t>
      </w:r>
      <w:r w:rsidRPr="00113EA6">
        <w:rPr>
          <w:rFonts w:ascii="Verdana" w:hAnsi="Verdana"/>
          <w:color w:val="000000" w:themeColor="text1"/>
          <w:sz w:val="20"/>
          <w:szCs w:val="20"/>
        </w:rPr>
        <w:t xml:space="preserve"> SIB Licensees engage in </w:t>
      </w:r>
      <w:r>
        <w:rPr>
          <w:rFonts w:ascii="Verdana" w:hAnsi="Verdana"/>
          <w:color w:val="000000" w:themeColor="text1"/>
          <w:sz w:val="20"/>
          <w:szCs w:val="20"/>
        </w:rPr>
        <w:t>higher risk activities</w:t>
      </w:r>
      <w:r w:rsidRPr="00113EA6">
        <w:rPr>
          <w:rFonts w:ascii="Verdana" w:hAnsi="Verdana"/>
          <w:color w:val="000000" w:themeColor="text1"/>
          <w:sz w:val="20"/>
          <w:szCs w:val="20"/>
        </w:rPr>
        <w:t xml:space="preserve">. </w:t>
      </w:r>
      <w:r w:rsidRPr="00113EA6">
        <w:rPr>
          <w:rStyle w:val="CommentReference"/>
        </w:rPr>
        <w:t/>
      </w:r>
    </w:p>
    <w:p w14:paraId="1236B56E" w14:textId="77777777" w:rsidR="00433854" w:rsidRPr="006904FE" w:rsidRDefault="00433854" w:rsidP="00433854">
      <w:pPr>
        <w:pStyle w:val="ListParagraph"/>
        <w:spacing w:line="276" w:lineRule="auto"/>
        <w:ind w:left="540"/>
        <w:jc w:val="both"/>
        <w:rPr>
          <w:rFonts w:ascii="Verdana" w:hAnsi="Verdana"/>
          <w:color w:val="000000" w:themeColor="text1"/>
          <w:sz w:val="20"/>
          <w:szCs w:val="20"/>
        </w:rPr>
      </w:pPr>
    </w:p>
    <w:p w14:paraId="1716325F" w14:textId="7CC2AB15" w:rsidR="00E81F30" w:rsidRPr="005E3090" w:rsidRDefault="00E81F30"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All SIB Licensee</w:t>
      </w:r>
      <w:r w:rsidR="00433854">
        <w:rPr>
          <w:rFonts w:ascii="Verdana" w:hAnsi="Verdana"/>
          <w:sz w:val="20"/>
          <w:szCs w:val="20"/>
        </w:rPr>
        <w:t>s</w:t>
      </w:r>
      <w:r w:rsidRPr="005E3090">
        <w:rPr>
          <w:rFonts w:ascii="Verdana" w:hAnsi="Verdana"/>
          <w:sz w:val="20"/>
          <w:szCs w:val="20"/>
        </w:rPr>
        <w:t xml:space="preserve"> </w:t>
      </w:r>
      <w:r w:rsidR="00433854">
        <w:rPr>
          <w:rFonts w:ascii="Verdana" w:hAnsi="Verdana"/>
          <w:sz w:val="20"/>
          <w:szCs w:val="20"/>
        </w:rPr>
        <w:t xml:space="preserve">that responded to the AML/CFT survey </w:t>
      </w:r>
      <w:r w:rsidRPr="005E3090">
        <w:rPr>
          <w:rFonts w:ascii="Verdana" w:hAnsi="Verdana"/>
          <w:sz w:val="20"/>
          <w:szCs w:val="20"/>
        </w:rPr>
        <w:t>advised that they do not engage in ad</w:t>
      </w:r>
      <w:r w:rsidR="00435332" w:rsidRPr="005E3090">
        <w:rPr>
          <w:rFonts w:ascii="Verdana" w:hAnsi="Verdana"/>
          <w:sz w:val="20"/>
          <w:szCs w:val="20"/>
        </w:rPr>
        <w:t xml:space="preserve"> </w:t>
      </w:r>
      <w:r w:rsidRPr="005E3090">
        <w:rPr>
          <w:rFonts w:ascii="Verdana" w:hAnsi="Verdana"/>
          <w:sz w:val="20"/>
          <w:szCs w:val="20"/>
        </w:rPr>
        <w:t xml:space="preserve">hoc/unregulated activities (i.e. no Fintech, </w:t>
      </w:r>
      <w:r w:rsidR="0045305A" w:rsidRPr="005E3090">
        <w:rPr>
          <w:rFonts w:ascii="Verdana" w:hAnsi="Verdana"/>
          <w:sz w:val="20"/>
          <w:szCs w:val="20"/>
        </w:rPr>
        <w:t>Cryptocurrencies</w:t>
      </w:r>
      <w:r w:rsidRPr="005E3090">
        <w:rPr>
          <w:rFonts w:ascii="Verdana" w:hAnsi="Verdana"/>
          <w:sz w:val="20"/>
          <w:szCs w:val="20"/>
        </w:rPr>
        <w:t>, Initial Coin Offerings,</w:t>
      </w:r>
      <w:r w:rsidR="00435332" w:rsidRPr="005E3090">
        <w:rPr>
          <w:rFonts w:ascii="Verdana" w:hAnsi="Verdana"/>
          <w:sz w:val="20"/>
          <w:szCs w:val="20"/>
        </w:rPr>
        <w:t xml:space="preserve"> </w:t>
      </w:r>
      <w:r w:rsidRPr="005E3090">
        <w:rPr>
          <w:rFonts w:ascii="Verdana" w:hAnsi="Verdana"/>
          <w:sz w:val="20"/>
          <w:szCs w:val="20"/>
        </w:rPr>
        <w:t>Crowdfunding) activities.</w:t>
      </w:r>
    </w:p>
    <w:p w14:paraId="2CFF3E5F" w14:textId="77777777" w:rsidR="009C75B4" w:rsidRPr="005E3090" w:rsidRDefault="009C75B4" w:rsidP="005E3090">
      <w:pPr>
        <w:pStyle w:val="ListParagraph"/>
        <w:spacing w:line="276" w:lineRule="auto"/>
        <w:ind w:left="540"/>
        <w:jc w:val="both"/>
        <w:rPr>
          <w:rFonts w:ascii="Verdana" w:hAnsi="Verdana"/>
          <w:sz w:val="20"/>
          <w:szCs w:val="20"/>
        </w:rPr>
      </w:pPr>
    </w:p>
    <w:p w14:paraId="72F1AA69" w14:textId="489B52B7" w:rsidR="00701073" w:rsidRPr="005E3090" w:rsidRDefault="00E81F30"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SIB Licensees</w:t>
      </w:r>
      <w:r w:rsidR="008A616E">
        <w:rPr>
          <w:rFonts w:ascii="Verdana" w:hAnsi="Verdana"/>
          <w:sz w:val="20"/>
          <w:szCs w:val="20"/>
        </w:rPr>
        <w:t xml:space="preserve"> reported the outsourcing of their compliance function with</w:t>
      </w:r>
      <w:r w:rsidR="008B7C5F" w:rsidRPr="005E3090">
        <w:rPr>
          <w:rFonts w:ascii="Verdana" w:hAnsi="Verdana"/>
          <w:sz w:val="20"/>
          <w:szCs w:val="20"/>
        </w:rPr>
        <w:t xml:space="preserve"> 10%</w:t>
      </w:r>
      <w:r w:rsidR="008A616E">
        <w:rPr>
          <w:rFonts w:ascii="Verdana" w:hAnsi="Verdana"/>
          <w:sz w:val="20"/>
          <w:szCs w:val="20"/>
        </w:rPr>
        <w:t xml:space="preserve"> </w:t>
      </w:r>
      <w:r w:rsidRPr="005E3090">
        <w:rPr>
          <w:rFonts w:ascii="Verdana" w:hAnsi="Verdana"/>
          <w:sz w:val="20"/>
          <w:szCs w:val="20"/>
        </w:rPr>
        <w:t>outsourc</w:t>
      </w:r>
      <w:r w:rsidR="008A616E">
        <w:rPr>
          <w:rFonts w:ascii="Verdana" w:hAnsi="Verdana"/>
          <w:sz w:val="20"/>
          <w:szCs w:val="20"/>
        </w:rPr>
        <w:t>ing</w:t>
      </w:r>
      <w:r w:rsidRPr="005E3090">
        <w:rPr>
          <w:rFonts w:ascii="Verdana" w:hAnsi="Verdana"/>
          <w:sz w:val="20"/>
          <w:szCs w:val="20"/>
        </w:rPr>
        <w:t xml:space="preserve"> their compliance functions to Jamaica, Portugal or the United States</w:t>
      </w:r>
      <w:r w:rsidR="008A616E">
        <w:rPr>
          <w:rFonts w:ascii="Verdana" w:hAnsi="Verdana"/>
          <w:sz w:val="20"/>
          <w:szCs w:val="20"/>
        </w:rPr>
        <w:t>.</w:t>
      </w:r>
      <w:r w:rsidRPr="005E3090">
        <w:rPr>
          <w:rFonts w:ascii="Verdana" w:hAnsi="Verdana"/>
          <w:sz w:val="20"/>
          <w:szCs w:val="20"/>
        </w:rPr>
        <w:t xml:space="preserve"> </w:t>
      </w:r>
      <w:r w:rsidR="00CA2491">
        <w:rPr>
          <w:rFonts w:ascii="Verdana" w:hAnsi="Verdana"/>
          <w:sz w:val="20"/>
          <w:szCs w:val="20"/>
        </w:rPr>
        <w:t>I</w:t>
      </w:r>
      <w:r w:rsidRPr="005E3090">
        <w:rPr>
          <w:rFonts w:ascii="Verdana" w:hAnsi="Verdana"/>
          <w:sz w:val="20"/>
          <w:szCs w:val="20"/>
        </w:rPr>
        <w:t xml:space="preserve">t is further noted that 38% of SIB Licensees outsource the facilitating of trades to trading and liquidity platforms, albeit none of which are in higher risk </w:t>
      </w:r>
      <w:r w:rsidR="00113EA6">
        <w:rPr>
          <w:rFonts w:ascii="Verdana" w:hAnsi="Verdana"/>
          <w:sz w:val="20"/>
          <w:szCs w:val="20"/>
        </w:rPr>
        <w:t>jurisdictions</w:t>
      </w:r>
      <w:r w:rsidRPr="005E3090">
        <w:rPr>
          <w:rFonts w:ascii="Verdana" w:hAnsi="Verdana"/>
          <w:sz w:val="20"/>
          <w:szCs w:val="20"/>
        </w:rPr>
        <w:t>, but 10% engaged a trading or liquidity platform that is not regulated by a third party</w:t>
      </w:r>
      <w:r w:rsidR="00433854">
        <w:rPr>
          <w:rFonts w:ascii="Verdana" w:hAnsi="Verdana"/>
          <w:sz w:val="20"/>
          <w:szCs w:val="20"/>
        </w:rPr>
        <w:t xml:space="preserve"> or other overseas regulator</w:t>
      </w:r>
      <w:r w:rsidRPr="005E3090">
        <w:rPr>
          <w:rFonts w:ascii="Verdana" w:hAnsi="Verdana"/>
          <w:sz w:val="20"/>
          <w:szCs w:val="20"/>
        </w:rPr>
        <w:t xml:space="preserve"> so it increases the risk</w:t>
      </w:r>
      <w:r w:rsidR="008B7C5F" w:rsidRPr="005E3090">
        <w:rPr>
          <w:rFonts w:ascii="Verdana" w:hAnsi="Verdana"/>
          <w:sz w:val="20"/>
          <w:szCs w:val="20"/>
        </w:rPr>
        <w:t xml:space="preserve"> of services provided. </w:t>
      </w:r>
    </w:p>
    <w:bookmarkEnd w:id="10"/>
    <w:p w14:paraId="7A87C3C8" w14:textId="456EC2AC" w:rsidR="003B4749" w:rsidRDefault="003B4749" w:rsidP="00101474">
      <w:pPr>
        <w:pStyle w:val="ListParagraph"/>
        <w:jc w:val="both"/>
        <w:rPr>
          <w:rFonts w:ascii="Verdana" w:hAnsi="Verdana"/>
          <w:sz w:val="20"/>
          <w:szCs w:val="20"/>
        </w:rPr>
      </w:pPr>
    </w:p>
    <w:p w14:paraId="37052686" w14:textId="003EB3F2" w:rsidR="00A91C8D" w:rsidRPr="00C77639" w:rsidRDefault="00A91C8D" w:rsidP="00A91C8D">
      <w:pPr>
        <w:spacing w:line="276" w:lineRule="auto"/>
        <w:jc w:val="both"/>
        <w:rPr>
          <w:rFonts w:ascii="Verdana" w:hAnsi="Verdana"/>
          <w:sz w:val="20"/>
          <w:szCs w:val="20"/>
          <w:u w:val="single"/>
        </w:rPr>
      </w:pPr>
      <w:r w:rsidRPr="00C77639">
        <w:rPr>
          <w:rFonts w:ascii="Verdana" w:hAnsi="Verdana"/>
          <w:sz w:val="20"/>
          <w:szCs w:val="20"/>
          <w:u w:val="single"/>
        </w:rPr>
        <w:t>Conclusion for Risk Category on</w:t>
      </w:r>
      <w:r w:rsidR="005E3090">
        <w:rPr>
          <w:rFonts w:ascii="Verdana" w:hAnsi="Verdana"/>
          <w:sz w:val="20"/>
          <w:szCs w:val="20"/>
          <w:u w:val="single"/>
        </w:rPr>
        <w:t xml:space="preserve"> Transactions,</w:t>
      </w:r>
      <w:r w:rsidRPr="00C77639">
        <w:rPr>
          <w:rFonts w:ascii="Verdana" w:hAnsi="Verdana"/>
          <w:sz w:val="20"/>
          <w:szCs w:val="20"/>
          <w:u w:val="single"/>
        </w:rPr>
        <w:t xml:space="preserve"> Products and Services</w:t>
      </w:r>
    </w:p>
    <w:p w14:paraId="2C4D92CA" w14:textId="77777777" w:rsidR="00A91C8D" w:rsidRPr="009D1F03" w:rsidRDefault="00A91C8D" w:rsidP="00A91C8D">
      <w:pPr>
        <w:pStyle w:val="ListParagraph"/>
        <w:spacing w:line="276" w:lineRule="auto"/>
        <w:ind w:left="540"/>
        <w:jc w:val="both"/>
        <w:rPr>
          <w:rFonts w:ascii="Verdana" w:hAnsi="Verdana"/>
          <w:color w:val="000000" w:themeColor="text1"/>
          <w:sz w:val="20"/>
          <w:szCs w:val="20"/>
          <w:highlight w:val="green"/>
        </w:rPr>
      </w:pPr>
    </w:p>
    <w:p w14:paraId="3A093FB9" w14:textId="1DE233E7" w:rsidR="003B4749" w:rsidRPr="005E3090" w:rsidRDefault="003B4749"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 xml:space="preserve">SIB Licensees </w:t>
      </w:r>
      <w:r w:rsidR="002A7F8A" w:rsidRPr="005E3090">
        <w:rPr>
          <w:rFonts w:ascii="Verdana" w:hAnsi="Verdana"/>
          <w:sz w:val="20"/>
          <w:szCs w:val="20"/>
        </w:rPr>
        <w:t xml:space="preserve">transact with a </w:t>
      </w:r>
      <w:r w:rsidR="006A7760" w:rsidRPr="005E3090">
        <w:rPr>
          <w:rFonts w:ascii="Verdana" w:hAnsi="Verdana"/>
          <w:sz w:val="20"/>
          <w:szCs w:val="20"/>
        </w:rPr>
        <w:t xml:space="preserve">relatively large </w:t>
      </w:r>
      <w:r w:rsidR="002A7F8A" w:rsidRPr="005E3090">
        <w:rPr>
          <w:rFonts w:ascii="Verdana" w:hAnsi="Verdana"/>
          <w:sz w:val="20"/>
          <w:szCs w:val="20"/>
        </w:rPr>
        <w:t xml:space="preserve">number of customers from </w:t>
      </w:r>
      <w:r w:rsidR="00BC1960" w:rsidRPr="005E3090">
        <w:rPr>
          <w:rFonts w:ascii="Verdana" w:hAnsi="Verdana"/>
          <w:sz w:val="20"/>
          <w:szCs w:val="20"/>
        </w:rPr>
        <w:t>various</w:t>
      </w:r>
      <w:r w:rsidR="002A7F8A" w:rsidRPr="005E3090">
        <w:rPr>
          <w:rFonts w:ascii="Verdana" w:hAnsi="Verdana"/>
          <w:sz w:val="20"/>
          <w:szCs w:val="20"/>
        </w:rPr>
        <w:t xml:space="preserve"> </w:t>
      </w:r>
      <w:r w:rsidR="00113EA6">
        <w:rPr>
          <w:rFonts w:ascii="Verdana" w:hAnsi="Verdana"/>
          <w:sz w:val="20"/>
          <w:szCs w:val="20"/>
        </w:rPr>
        <w:t>jurisdictions</w:t>
      </w:r>
      <w:r w:rsidR="002A7F8A" w:rsidRPr="005E3090">
        <w:rPr>
          <w:rFonts w:ascii="Verdana" w:hAnsi="Verdana"/>
          <w:sz w:val="20"/>
          <w:szCs w:val="20"/>
        </w:rPr>
        <w:t xml:space="preserve"> </w:t>
      </w:r>
      <w:r w:rsidR="00BC1960" w:rsidRPr="005E3090">
        <w:rPr>
          <w:rFonts w:ascii="Verdana" w:hAnsi="Verdana"/>
          <w:sz w:val="20"/>
          <w:szCs w:val="20"/>
        </w:rPr>
        <w:t xml:space="preserve">across the globe </w:t>
      </w:r>
      <w:r w:rsidR="00C77639" w:rsidRPr="005E3090">
        <w:rPr>
          <w:rFonts w:ascii="Verdana" w:hAnsi="Verdana"/>
          <w:sz w:val="20"/>
          <w:szCs w:val="20"/>
        </w:rPr>
        <w:t xml:space="preserve">and offer products under various licensable activities that are deemed high risk. </w:t>
      </w:r>
    </w:p>
    <w:p w14:paraId="36D72FA3" w14:textId="784B4DEA" w:rsidR="00B47CAF" w:rsidRDefault="00B47CAF" w:rsidP="00101474">
      <w:pPr>
        <w:pStyle w:val="ListParagraph"/>
        <w:jc w:val="both"/>
        <w:rPr>
          <w:rFonts w:ascii="Verdana" w:hAnsi="Verdana"/>
          <w:sz w:val="20"/>
          <w:szCs w:val="20"/>
        </w:rPr>
      </w:pPr>
    </w:p>
    <w:tbl>
      <w:tblPr>
        <w:tblStyle w:val="TableGrid"/>
        <w:tblW w:w="6750" w:type="dxa"/>
        <w:tblInd w:w="108" w:type="dxa"/>
        <w:shd w:val="clear" w:color="auto" w:fill="FF0000"/>
        <w:tblLook w:val="04A0" w:firstRow="1" w:lastRow="0" w:firstColumn="1" w:lastColumn="0" w:noHBand="0" w:noVBand="1"/>
      </w:tblPr>
      <w:tblGrid>
        <w:gridCol w:w="6750"/>
      </w:tblGrid>
      <w:tr w:rsidR="00B47CAF" w:rsidRPr="00B47CAF" w14:paraId="59402D19" w14:textId="77777777" w:rsidTr="00B47CAF">
        <w:tc>
          <w:tcPr>
            <w:tcW w:w="6750" w:type="dxa"/>
            <w:shd w:val="clear" w:color="auto" w:fill="FF0000"/>
          </w:tcPr>
          <w:p w14:paraId="185D9595" w14:textId="0333E7CF" w:rsidR="00B47CAF" w:rsidRPr="00B47CAF" w:rsidRDefault="00433854" w:rsidP="008042EF">
            <w:pPr>
              <w:jc w:val="both"/>
              <w:rPr>
                <w:rFonts w:ascii="Verdana" w:hAnsi="Verdana"/>
                <w:b/>
                <w:sz w:val="20"/>
                <w:szCs w:val="20"/>
              </w:rPr>
            </w:pPr>
            <w:r>
              <w:rPr>
                <w:rFonts w:ascii="Verdana" w:hAnsi="Verdana"/>
                <w:b/>
                <w:sz w:val="20"/>
                <w:szCs w:val="20"/>
              </w:rPr>
              <w:t xml:space="preserve">Transactions, </w:t>
            </w:r>
            <w:r w:rsidR="00B47CAF">
              <w:rPr>
                <w:rFonts w:ascii="Verdana" w:hAnsi="Verdana"/>
                <w:b/>
                <w:sz w:val="20"/>
                <w:szCs w:val="20"/>
              </w:rPr>
              <w:t>Products and services</w:t>
            </w:r>
            <w:r w:rsidR="00B47CAF" w:rsidRPr="00B47CAF">
              <w:rPr>
                <w:rFonts w:ascii="Verdana" w:hAnsi="Verdana"/>
                <w:b/>
                <w:sz w:val="20"/>
                <w:szCs w:val="20"/>
              </w:rPr>
              <w:t xml:space="preserve"> </w:t>
            </w:r>
          </w:p>
        </w:tc>
      </w:tr>
      <w:tr w:rsidR="00B47CAF" w:rsidRPr="00B47CAF" w14:paraId="7254AF03" w14:textId="77777777" w:rsidTr="005E3090">
        <w:trPr>
          <w:trHeight w:val="70"/>
        </w:trPr>
        <w:tc>
          <w:tcPr>
            <w:tcW w:w="6750" w:type="dxa"/>
            <w:shd w:val="clear" w:color="auto" w:fill="FF0000"/>
          </w:tcPr>
          <w:p w14:paraId="0E0F0C39" w14:textId="1DE0CF36" w:rsidR="00B47CAF" w:rsidRPr="00B47CAF" w:rsidRDefault="00B47CAF" w:rsidP="008042EF">
            <w:pPr>
              <w:pStyle w:val="ListParagraph"/>
              <w:ind w:left="0"/>
              <w:rPr>
                <w:rFonts w:ascii="Verdana" w:hAnsi="Verdana"/>
                <w:sz w:val="20"/>
                <w:szCs w:val="20"/>
              </w:rPr>
            </w:pPr>
            <w:r w:rsidRPr="00B47CAF">
              <w:rPr>
                <w:rFonts w:ascii="Verdana" w:hAnsi="Verdana"/>
                <w:sz w:val="20"/>
                <w:szCs w:val="20"/>
              </w:rPr>
              <w:t xml:space="preserve">Risk rating: </w:t>
            </w:r>
            <w:r w:rsidRPr="00B47CAF">
              <w:rPr>
                <w:rFonts w:ascii="Verdana" w:hAnsi="Verdana"/>
                <w:b/>
                <w:sz w:val="20"/>
                <w:szCs w:val="20"/>
              </w:rPr>
              <w:t>High</w:t>
            </w:r>
          </w:p>
        </w:tc>
      </w:tr>
    </w:tbl>
    <w:p w14:paraId="7BF8F1B5" w14:textId="77777777" w:rsidR="00B47CAF" w:rsidRDefault="00B47CAF" w:rsidP="00101474">
      <w:pPr>
        <w:pStyle w:val="ListParagraph"/>
        <w:jc w:val="both"/>
        <w:rPr>
          <w:rFonts w:ascii="Verdana" w:hAnsi="Verdana"/>
          <w:sz w:val="20"/>
          <w:szCs w:val="20"/>
        </w:rPr>
      </w:pPr>
    </w:p>
    <w:p w14:paraId="43B2BB75" w14:textId="043A04FD" w:rsidR="002A44ED" w:rsidRPr="00BF632C" w:rsidRDefault="002A44ED" w:rsidP="00101474">
      <w:pPr>
        <w:spacing w:line="276" w:lineRule="auto"/>
        <w:jc w:val="both"/>
        <w:rPr>
          <w:rFonts w:ascii="Verdana" w:hAnsi="Verdana"/>
          <w:b/>
          <w:color w:val="000000" w:themeColor="text1"/>
          <w:sz w:val="20"/>
          <w:szCs w:val="20"/>
        </w:rPr>
      </w:pPr>
      <w:r w:rsidRPr="00BF632C">
        <w:rPr>
          <w:rFonts w:ascii="Verdana" w:hAnsi="Verdana"/>
          <w:b/>
          <w:color w:val="000000" w:themeColor="text1"/>
          <w:sz w:val="20"/>
          <w:szCs w:val="20"/>
        </w:rPr>
        <w:t xml:space="preserve">Delivery Channel Risks </w:t>
      </w:r>
    </w:p>
    <w:p w14:paraId="40DE14FC" w14:textId="22D7CE6E" w:rsidR="00686D0A" w:rsidRPr="00BF632C" w:rsidRDefault="00686D0A" w:rsidP="00101474">
      <w:pPr>
        <w:spacing w:line="276" w:lineRule="auto"/>
        <w:jc w:val="both"/>
        <w:rPr>
          <w:rFonts w:ascii="Verdana" w:hAnsi="Verdana"/>
          <w:b/>
          <w:color w:val="000000" w:themeColor="text1"/>
          <w:sz w:val="20"/>
          <w:szCs w:val="20"/>
        </w:rPr>
      </w:pPr>
    </w:p>
    <w:p w14:paraId="196C5F20" w14:textId="31A77483" w:rsidR="002A44ED" w:rsidRPr="005E3090" w:rsidRDefault="00686D0A"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Delivery channels generally include face to face and non face-to-face.  Non face-to-face includes the use of intermediaries, introducers, or offering the products online</w:t>
      </w:r>
      <w:r w:rsidR="005A654A">
        <w:rPr>
          <w:rFonts w:ascii="Verdana" w:hAnsi="Verdana"/>
          <w:sz w:val="20"/>
          <w:szCs w:val="20"/>
        </w:rPr>
        <w:t xml:space="preserve"> and is deemed to be a higher risk delivery channel</w:t>
      </w:r>
      <w:r w:rsidRPr="005E3090">
        <w:rPr>
          <w:rFonts w:ascii="Verdana" w:hAnsi="Verdana"/>
          <w:sz w:val="20"/>
          <w:szCs w:val="20"/>
        </w:rPr>
        <w:t xml:space="preserve">. </w:t>
      </w:r>
    </w:p>
    <w:p w14:paraId="6D8A05D8" w14:textId="77777777" w:rsidR="002A44ED" w:rsidRPr="005E3090" w:rsidRDefault="002A44ED" w:rsidP="005E3090">
      <w:pPr>
        <w:pStyle w:val="ListParagraph"/>
        <w:spacing w:line="276" w:lineRule="auto"/>
        <w:ind w:left="540"/>
        <w:jc w:val="both"/>
        <w:rPr>
          <w:rFonts w:ascii="Verdana" w:hAnsi="Verdana"/>
          <w:sz w:val="20"/>
          <w:szCs w:val="20"/>
        </w:rPr>
      </w:pPr>
    </w:p>
    <w:p w14:paraId="0DBAC91F" w14:textId="6FDA212F" w:rsidR="0005691C" w:rsidRPr="005E3090" w:rsidRDefault="001F109D"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lastRenderedPageBreak/>
        <w:t xml:space="preserve">For </w:t>
      </w:r>
      <w:r w:rsidR="00C77639" w:rsidRPr="005E3090">
        <w:rPr>
          <w:rFonts w:ascii="Verdana" w:hAnsi="Verdana"/>
          <w:sz w:val="20"/>
          <w:szCs w:val="20"/>
        </w:rPr>
        <w:t>customer</w:t>
      </w:r>
      <w:r w:rsidR="002A44ED" w:rsidRPr="005E3090">
        <w:rPr>
          <w:rFonts w:ascii="Verdana" w:hAnsi="Verdana"/>
          <w:sz w:val="20"/>
          <w:szCs w:val="20"/>
        </w:rPr>
        <w:t xml:space="preserve"> </w:t>
      </w:r>
      <w:r w:rsidRPr="005E3090">
        <w:rPr>
          <w:rFonts w:ascii="Verdana" w:hAnsi="Verdana"/>
          <w:sz w:val="20"/>
          <w:szCs w:val="20"/>
        </w:rPr>
        <w:t>o</w:t>
      </w:r>
      <w:r w:rsidR="002A44ED" w:rsidRPr="005E3090">
        <w:rPr>
          <w:rFonts w:ascii="Verdana" w:hAnsi="Verdana"/>
          <w:sz w:val="20"/>
          <w:szCs w:val="20"/>
        </w:rPr>
        <w:t xml:space="preserve">nboarding </w:t>
      </w:r>
      <w:r w:rsidRPr="005E3090">
        <w:rPr>
          <w:rFonts w:ascii="Verdana" w:hAnsi="Verdana"/>
          <w:sz w:val="20"/>
          <w:szCs w:val="20"/>
        </w:rPr>
        <w:t>c</w:t>
      </w:r>
      <w:r w:rsidR="002A44ED" w:rsidRPr="005E3090">
        <w:rPr>
          <w:rFonts w:ascii="Verdana" w:hAnsi="Verdana"/>
          <w:sz w:val="20"/>
          <w:szCs w:val="20"/>
        </w:rPr>
        <w:t>hannels</w:t>
      </w:r>
      <w:r w:rsidRPr="005E3090">
        <w:rPr>
          <w:rFonts w:ascii="Verdana" w:hAnsi="Verdana"/>
          <w:sz w:val="20"/>
          <w:szCs w:val="20"/>
        </w:rPr>
        <w:t xml:space="preserve">, </w:t>
      </w:r>
      <w:r w:rsidR="0005691C" w:rsidRPr="005E3090">
        <w:rPr>
          <w:rFonts w:ascii="Verdana" w:hAnsi="Verdana"/>
          <w:sz w:val="20"/>
          <w:szCs w:val="20"/>
        </w:rPr>
        <w:t xml:space="preserve">17% of SIB Licensees advised that they accept customers via online platforms. </w:t>
      </w:r>
      <w:r w:rsidR="007B2101" w:rsidRPr="005E3090">
        <w:rPr>
          <w:rFonts w:ascii="Verdana" w:hAnsi="Verdana"/>
          <w:sz w:val="20"/>
          <w:szCs w:val="20"/>
        </w:rPr>
        <w:t>T</w:t>
      </w:r>
      <w:r w:rsidR="0005691C" w:rsidRPr="005E3090">
        <w:rPr>
          <w:rFonts w:ascii="Verdana" w:hAnsi="Verdana"/>
          <w:sz w:val="20"/>
          <w:szCs w:val="20"/>
        </w:rPr>
        <w:t xml:space="preserve">hese SIB Licensees </w:t>
      </w:r>
      <w:r w:rsidR="00F17EF0">
        <w:rPr>
          <w:rFonts w:ascii="Verdana" w:hAnsi="Verdana"/>
          <w:sz w:val="20"/>
          <w:szCs w:val="20"/>
        </w:rPr>
        <w:t>are mainly</w:t>
      </w:r>
      <w:r w:rsidR="0005691C" w:rsidRPr="005E3090">
        <w:rPr>
          <w:rFonts w:ascii="Verdana" w:hAnsi="Verdana"/>
          <w:sz w:val="20"/>
          <w:szCs w:val="20"/>
        </w:rPr>
        <w:t xml:space="preserve"> broker dealer</w:t>
      </w:r>
      <w:r w:rsidR="00F17EF0">
        <w:rPr>
          <w:rFonts w:ascii="Verdana" w:hAnsi="Verdana"/>
          <w:sz w:val="20"/>
          <w:szCs w:val="20"/>
        </w:rPr>
        <w:t>s</w:t>
      </w:r>
      <w:r w:rsidR="0005691C" w:rsidRPr="005E3090">
        <w:rPr>
          <w:rFonts w:ascii="Verdana" w:hAnsi="Verdana"/>
          <w:sz w:val="20"/>
          <w:szCs w:val="20"/>
        </w:rPr>
        <w:t xml:space="preserve"> or market maker</w:t>
      </w:r>
      <w:r w:rsidR="00F17EF0">
        <w:rPr>
          <w:rFonts w:ascii="Verdana" w:hAnsi="Verdana"/>
          <w:sz w:val="20"/>
          <w:szCs w:val="20"/>
        </w:rPr>
        <w:t>s</w:t>
      </w:r>
      <w:r w:rsidR="0005691C" w:rsidRPr="005E3090">
        <w:rPr>
          <w:rFonts w:ascii="Verdana" w:hAnsi="Verdana"/>
          <w:sz w:val="20"/>
          <w:szCs w:val="20"/>
        </w:rPr>
        <w:t xml:space="preserve"> and 11% of the </w:t>
      </w:r>
      <w:r w:rsidR="0035452C" w:rsidRPr="005E3090">
        <w:rPr>
          <w:rFonts w:ascii="Verdana" w:hAnsi="Verdana"/>
          <w:sz w:val="20"/>
          <w:szCs w:val="20"/>
        </w:rPr>
        <w:t>customers</w:t>
      </w:r>
      <w:r w:rsidR="0005691C" w:rsidRPr="005E3090">
        <w:rPr>
          <w:rFonts w:ascii="Verdana" w:hAnsi="Verdana"/>
          <w:sz w:val="20"/>
          <w:szCs w:val="20"/>
        </w:rPr>
        <w:t xml:space="preserve"> are from jurisdictions that are higher risk. </w:t>
      </w:r>
    </w:p>
    <w:p w14:paraId="51C26514" w14:textId="77777777" w:rsidR="0005691C" w:rsidRPr="005E3090" w:rsidRDefault="0005691C" w:rsidP="005E3090">
      <w:pPr>
        <w:pStyle w:val="ListParagraph"/>
        <w:spacing w:line="276" w:lineRule="auto"/>
        <w:ind w:left="540"/>
        <w:jc w:val="both"/>
        <w:rPr>
          <w:rFonts w:ascii="Verdana" w:hAnsi="Verdana"/>
          <w:sz w:val="20"/>
          <w:szCs w:val="20"/>
        </w:rPr>
      </w:pPr>
    </w:p>
    <w:p w14:paraId="630F2AA6" w14:textId="1561CA86" w:rsidR="00D83AC7" w:rsidRPr="005E3090" w:rsidRDefault="0005691C"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T</w:t>
      </w:r>
      <w:r w:rsidR="001F109D" w:rsidRPr="005E3090">
        <w:rPr>
          <w:rFonts w:ascii="Verdana" w:hAnsi="Verdana"/>
          <w:sz w:val="20"/>
          <w:szCs w:val="20"/>
        </w:rPr>
        <w:t>he</w:t>
      </w:r>
      <w:r w:rsidRPr="005E3090">
        <w:rPr>
          <w:rFonts w:ascii="Verdana" w:hAnsi="Verdana"/>
          <w:sz w:val="20"/>
          <w:szCs w:val="20"/>
        </w:rPr>
        <w:t>se</w:t>
      </w:r>
      <w:r w:rsidR="001F109D" w:rsidRPr="005E3090">
        <w:rPr>
          <w:rFonts w:ascii="Verdana" w:hAnsi="Verdana"/>
          <w:sz w:val="20"/>
          <w:szCs w:val="20"/>
        </w:rPr>
        <w:t xml:space="preserve"> </w:t>
      </w:r>
      <w:r w:rsidR="009C75B4" w:rsidRPr="005E3090">
        <w:rPr>
          <w:rFonts w:ascii="Verdana" w:hAnsi="Verdana"/>
          <w:sz w:val="20"/>
          <w:szCs w:val="20"/>
        </w:rPr>
        <w:t>SIB Licensees</w:t>
      </w:r>
      <w:r w:rsidR="00C6242A">
        <w:rPr>
          <w:rFonts w:ascii="Verdana" w:hAnsi="Verdana"/>
          <w:sz w:val="20"/>
          <w:szCs w:val="20"/>
        </w:rPr>
        <w:t>, as referenced in paragraph 34,</w:t>
      </w:r>
      <w:r w:rsidR="002A44ED" w:rsidRPr="005E3090">
        <w:rPr>
          <w:rFonts w:ascii="Verdana" w:hAnsi="Verdana"/>
          <w:sz w:val="20"/>
          <w:szCs w:val="20"/>
        </w:rPr>
        <w:t xml:space="preserve"> reported that 5</w:t>
      </w:r>
      <w:r w:rsidR="0059589C" w:rsidRPr="005E3090">
        <w:rPr>
          <w:rFonts w:ascii="Verdana" w:hAnsi="Verdana"/>
          <w:sz w:val="20"/>
          <w:szCs w:val="20"/>
        </w:rPr>
        <w:t>7</w:t>
      </w:r>
      <w:r w:rsidR="002A44ED" w:rsidRPr="005E3090">
        <w:rPr>
          <w:rFonts w:ascii="Verdana" w:hAnsi="Verdana"/>
          <w:sz w:val="20"/>
          <w:szCs w:val="20"/>
        </w:rPr>
        <w:t xml:space="preserve">% of </w:t>
      </w:r>
      <w:r w:rsidR="00882CA4" w:rsidRPr="005E3090">
        <w:rPr>
          <w:rFonts w:ascii="Verdana" w:hAnsi="Verdana"/>
          <w:sz w:val="20"/>
          <w:szCs w:val="20"/>
        </w:rPr>
        <w:t>customers were</w:t>
      </w:r>
      <w:r w:rsidR="002A44ED" w:rsidRPr="005E3090">
        <w:rPr>
          <w:rFonts w:ascii="Verdana" w:hAnsi="Verdana"/>
          <w:sz w:val="20"/>
          <w:szCs w:val="20"/>
        </w:rPr>
        <w:t xml:space="preserve"> onboarded directly by the </w:t>
      </w:r>
      <w:r w:rsidR="006F0BFE" w:rsidRPr="005E3090">
        <w:rPr>
          <w:rFonts w:ascii="Verdana" w:hAnsi="Verdana"/>
          <w:sz w:val="20"/>
          <w:szCs w:val="20"/>
        </w:rPr>
        <w:t>SIB L</w:t>
      </w:r>
      <w:r w:rsidR="0059589C" w:rsidRPr="005E3090">
        <w:rPr>
          <w:rFonts w:ascii="Verdana" w:hAnsi="Verdana"/>
          <w:sz w:val="20"/>
          <w:szCs w:val="20"/>
        </w:rPr>
        <w:t>icensee</w:t>
      </w:r>
      <w:r w:rsidR="00EC3A95" w:rsidRPr="005E3090">
        <w:rPr>
          <w:rFonts w:ascii="Verdana" w:hAnsi="Verdana"/>
          <w:sz w:val="20"/>
          <w:szCs w:val="20"/>
        </w:rPr>
        <w:t>.</w:t>
      </w:r>
      <w:r w:rsidR="006034BB" w:rsidRPr="005E3090">
        <w:rPr>
          <w:rFonts w:ascii="Verdana" w:hAnsi="Verdana"/>
          <w:sz w:val="20"/>
          <w:szCs w:val="20"/>
        </w:rPr>
        <w:t xml:space="preserve"> </w:t>
      </w:r>
      <w:r w:rsidR="0059589C" w:rsidRPr="005E3090">
        <w:rPr>
          <w:rFonts w:ascii="Verdana" w:hAnsi="Verdana"/>
          <w:sz w:val="20"/>
          <w:szCs w:val="20"/>
        </w:rPr>
        <w:t>89</w:t>
      </w:r>
      <w:r w:rsidR="002A44ED" w:rsidRPr="005E3090">
        <w:rPr>
          <w:rFonts w:ascii="Verdana" w:hAnsi="Verdana"/>
          <w:sz w:val="20"/>
          <w:szCs w:val="20"/>
        </w:rPr>
        <w:t xml:space="preserve">% </w:t>
      </w:r>
      <w:r w:rsidR="00EC3A95" w:rsidRPr="005E3090">
        <w:rPr>
          <w:rFonts w:ascii="Verdana" w:hAnsi="Verdana"/>
          <w:sz w:val="20"/>
          <w:szCs w:val="20"/>
        </w:rPr>
        <w:t xml:space="preserve">of </w:t>
      </w:r>
      <w:r w:rsidR="00E20B24" w:rsidRPr="005E3090">
        <w:rPr>
          <w:rFonts w:ascii="Verdana" w:hAnsi="Verdana"/>
          <w:sz w:val="20"/>
          <w:szCs w:val="20"/>
        </w:rPr>
        <w:t xml:space="preserve">the total direct </w:t>
      </w:r>
      <w:r w:rsidR="00EC3A95" w:rsidRPr="005E3090">
        <w:rPr>
          <w:rFonts w:ascii="Verdana" w:hAnsi="Verdana"/>
          <w:sz w:val="20"/>
          <w:szCs w:val="20"/>
        </w:rPr>
        <w:t xml:space="preserve">customers onboarded </w:t>
      </w:r>
      <w:r w:rsidR="003B47BA">
        <w:rPr>
          <w:rFonts w:ascii="Verdana" w:hAnsi="Verdana"/>
          <w:sz w:val="20"/>
          <w:szCs w:val="20"/>
        </w:rPr>
        <w:t xml:space="preserve">by the SIB Licensees via online platforms </w:t>
      </w:r>
      <w:r w:rsidR="00EC3A95" w:rsidRPr="005E3090">
        <w:rPr>
          <w:rFonts w:ascii="Verdana" w:hAnsi="Verdana"/>
          <w:sz w:val="20"/>
          <w:szCs w:val="20"/>
        </w:rPr>
        <w:t xml:space="preserve">were </w:t>
      </w:r>
      <w:r w:rsidR="001F109D" w:rsidRPr="005E3090">
        <w:rPr>
          <w:rFonts w:ascii="Verdana" w:hAnsi="Verdana"/>
          <w:sz w:val="20"/>
          <w:szCs w:val="20"/>
        </w:rPr>
        <w:t>by</w:t>
      </w:r>
      <w:r w:rsidR="002A44ED" w:rsidRPr="005E3090">
        <w:rPr>
          <w:rFonts w:ascii="Verdana" w:hAnsi="Verdana"/>
          <w:sz w:val="20"/>
          <w:szCs w:val="20"/>
        </w:rPr>
        <w:t xml:space="preserve"> </w:t>
      </w:r>
      <w:r w:rsidR="0059589C" w:rsidRPr="005E3090">
        <w:rPr>
          <w:rFonts w:ascii="Verdana" w:hAnsi="Verdana"/>
          <w:sz w:val="20"/>
          <w:szCs w:val="20"/>
        </w:rPr>
        <w:t xml:space="preserve">non </w:t>
      </w:r>
      <w:r w:rsidR="002A44ED" w:rsidRPr="005E3090">
        <w:rPr>
          <w:rFonts w:ascii="Verdana" w:hAnsi="Verdana"/>
          <w:sz w:val="20"/>
          <w:szCs w:val="20"/>
        </w:rPr>
        <w:t>face-to-face interaction</w:t>
      </w:r>
      <w:r w:rsidR="00220BE5" w:rsidRPr="005E3090">
        <w:rPr>
          <w:rFonts w:ascii="Verdana" w:hAnsi="Verdana"/>
          <w:sz w:val="20"/>
          <w:szCs w:val="20"/>
        </w:rPr>
        <w:t xml:space="preserve"> </w:t>
      </w:r>
      <w:r w:rsidR="0059589C" w:rsidRPr="005E3090">
        <w:rPr>
          <w:rFonts w:ascii="Verdana" w:hAnsi="Verdana"/>
          <w:sz w:val="20"/>
          <w:szCs w:val="20"/>
        </w:rPr>
        <w:t xml:space="preserve">which </w:t>
      </w:r>
      <w:r w:rsidR="001F109D" w:rsidRPr="005E3090">
        <w:rPr>
          <w:rFonts w:ascii="Verdana" w:hAnsi="Verdana"/>
          <w:sz w:val="20"/>
          <w:szCs w:val="20"/>
        </w:rPr>
        <w:t xml:space="preserve">is </w:t>
      </w:r>
      <w:r w:rsidR="00220BE5" w:rsidRPr="005E3090">
        <w:rPr>
          <w:rFonts w:ascii="Verdana" w:hAnsi="Verdana"/>
          <w:sz w:val="20"/>
          <w:szCs w:val="20"/>
        </w:rPr>
        <w:t xml:space="preserve">deemed </w:t>
      </w:r>
      <w:r w:rsidR="006034BB" w:rsidRPr="005E3090">
        <w:rPr>
          <w:rFonts w:ascii="Verdana" w:hAnsi="Verdana"/>
          <w:sz w:val="20"/>
          <w:szCs w:val="20"/>
        </w:rPr>
        <w:t xml:space="preserve">to be </w:t>
      </w:r>
      <w:r w:rsidR="0059589C" w:rsidRPr="005E3090">
        <w:rPr>
          <w:rFonts w:ascii="Verdana" w:hAnsi="Verdana"/>
          <w:sz w:val="20"/>
          <w:szCs w:val="20"/>
        </w:rPr>
        <w:t>higher</w:t>
      </w:r>
      <w:r w:rsidR="00E20B24" w:rsidRPr="005E3090">
        <w:rPr>
          <w:rFonts w:ascii="Verdana" w:hAnsi="Verdana"/>
          <w:sz w:val="20"/>
          <w:szCs w:val="20"/>
        </w:rPr>
        <w:t xml:space="preserve"> </w:t>
      </w:r>
      <w:r w:rsidR="00220BE5" w:rsidRPr="005E3090">
        <w:rPr>
          <w:rFonts w:ascii="Verdana" w:hAnsi="Verdana"/>
          <w:sz w:val="20"/>
          <w:szCs w:val="20"/>
        </w:rPr>
        <w:t>risk</w:t>
      </w:r>
      <w:r w:rsidR="002A44ED" w:rsidRPr="005E3090">
        <w:rPr>
          <w:rFonts w:ascii="Verdana" w:hAnsi="Verdana"/>
          <w:sz w:val="20"/>
          <w:szCs w:val="20"/>
        </w:rPr>
        <w:t xml:space="preserve">. </w:t>
      </w:r>
      <w:r w:rsidR="00B94E5F" w:rsidRPr="005E3090">
        <w:rPr>
          <w:rFonts w:ascii="Verdana" w:hAnsi="Verdana"/>
          <w:sz w:val="20"/>
          <w:szCs w:val="20"/>
        </w:rPr>
        <w:t xml:space="preserve">41% of customers were introduced by way of an eligible introducer. The remaining </w:t>
      </w:r>
      <w:r w:rsidR="00F20EA6" w:rsidRPr="005E3090">
        <w:rPr>
          <w:rFonts w:ascii="Verdana" w:hAnsi="Verdana"/>
          <w:sz w:val="20"/>
          <w:szCs w:val="20"/>
        </w:rPr>
        <w:t>2</w:t>
      </w:r>
      <w:r w:rsidR="002A44ED" w:rsidRPr="005E3090">
        <w:rPr>
          <w:rFonts w:ascii="Verdana" w:hAnsi="Verdana"/>
          <w:sz w:val="20"/>
          <w:szCs w:val="20"/>
        </w:rPr>
        <w:t>%</w:t>
      </w:r>
      <w:r w:rsidR="00E20B24" w:rsidRPr="005E3090">
        <w:rPr>
          <w:rFonts w:ascii="Verdana" w:hAnsi="Verdana"/>
          <w:sz w:val="20"/>
          <w:szCs w:val="20"/>
        </w:rPr>
        <w:t xml:space="preserve"> of customers</w:t>
      </w:r>
      <w:r w:rsidR="002A44ED" w:rsidRPr="005E3090">
        <w:rPr>
          <w:rFonts w:ascii="Verdana" w:hAnsi="Verdana"/>
          <w:sz w:val="20"/>
          <w:szCs w:val="20"/>
        </w:rPr>
        <w:t xml:space="preserve"> were onboarded by way of an intra-group referral</w:t>
      </w:r>
      <w:r w:rsidR="005A654A">
        <w:rPr>
          <w:rFonts w:ascii="Verdana" w:hAnsi="Verdana"/>
          <w:sz w:val="20"/>
          <w:szCs w:val="20"/>
        </w:rPr>
        <w:t xml:space="preserve">.  </w:t>
      </w:r>
    </w:p>
    <w:p w14:paraId="20828C60" w14:textId="77777777" w:rsidR="006034BB" w:rsidRPr="005E3090" w:rsidRDefault="006034BB" w:rsidP="005E3090">
      <w:pPr>
        <w:pStyle w:val="ListParagraph"/>
        <w:spacing w:line="276" w:lineRule="auto"/>
        <w:ind w:left="540"/>
        <w:jc w:val="both"/>
        <w:rPr>
          <w:rFonts w:ascii="Verdana" w:hAnsi="Verdana"/>
          <w:sz w:val="20"/>
          <w:szCs w:val="20"/>
        </w:rPr>
      </w:pPr>
    </w:p>
    <w:p w14:paraId="4CF825B1" w14:textId="29F1EAEB" w:rsidR="002A44ED" w:rsidRPr="005E3090" w:rsidRDefault="002A44ED"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Payment Channels</w:t>
      </w:r>
      <w:r w:rsidR="005F3B8A" w:rsidRPr="005E3090">
        <w:rPr>
          <w:rFonts w:ascii="Verdana" w:hAnsi="Verdana"/>
          <w:sz w:val="20"/>
          <w:szCs w:val="20"/>
        </w:rPr>
        <w:t xml:space="preserve"> Used</w:t>
      </w:r>
      <w:r w:rsidRPr="005E3090">
        <w:rPr>
          <w:rFonts w:ascii="Verdana" w:hAnsi="Verdana"/>
          <w:sz w:val="20"/>
          <w:szCs w:val="20"/>
        </w:rPr>
        <w:t>: The main payment channel used by</w:t>
      </w:r>
      <w:r w:rsidR="005A654A">
        <w:rPr>
          <w:rFonts w:ascii="Verdana" w:hAnsi="Verdana"/>
          <w:sz w:val="20"/>
          <w:szCs w:val="20"/>
        </w:rPr>
        <w:t xml:space="preserve"> the</w:t>
      </w:r>
      <w:r w:rsidRPr="005E3090">
        <w:rPr>
          <w:rFonts w:ascii="Verdana" w:hAnsi="Verdana"/>
          <w:sz w:val="20"/>
          <w:szCs w:val="20"/>
        </w:rPr>
        <w:t xml:space="preserve"> </w:t>
      </w:r>
      <w:r w:rsidR="009C75B4" w:rsidRPr="005E3090">
        <w:rPr>
          <w:rFonts w:ascii="Verdana" w:hAnsi="Verdana"/>
          <w:sz w:val="20"/>
          <w:szCs w:val="20"/>
        </w:rPr>
        <w:t>SIB Licensees</w:t>
      </w:r>
      <w:r w:rsidRPr="005E3090">
        <w:rPr>
          <w:rFonts w:ascii="Verdana" w:hAnsi="Verdana"/>
          <w:sz w:val="20"/>
          <w:szCs w:val="20"/>
        </w:rPr>
        <w:t xml:space="preserve"> </w:t>
      </w:r>
      <w:r w:rsidR="005A654A">
        <w:rPr>
          <w:rFonts w:ascii="Verdana" w:hAnsi="Verdana"/>
          <w:sz w:val="20"/>
          <w:szCs w:val="20"/>
        </w:rPr>
        <w:t xml:space="preserve">reporting </w:t>
      </w:r>
      <w:r w:rsidR="00E2786A" w:rsidRPr="005E3090">
        <w:rPr>
          <w:rFonts w:ascii="Verdana" w:hAnsi="Verdana"/>
          <w:sz w:val="20"/>
          <w:szCs w:val="20"/>
        </w:rPr>
        <w:t xml:space="preserve">are </w:t>
      </w:r>
      <w:r w:rsidRPr="005E3090">
        <w:rPr>
          <w:rFonts w:ascii="Verdana" w:hAnsi="Verdana"/>
          <w:sz w:val="20"/>
          <w:szCs w:val="20"/>
        </w:rPr>
        <w:t>international wire transfers</w:t>
      </w:r>
      <w:r w:rsidR="00F27EFD" w:rsidRPr="005E3090">
        <w:rPr>
          <w:rFonts w:ascii="Verdana" w:hAnsi="Verdana"/>
          <w:sz w:val="20"/>
          <w:szCs w:val="20"/>
        </w:rPr>
        <w:t>.</w:t>
      </w:r>
      <w:r w:rsidRPr="005E3090">
        <w:rPr>
          <w:rFonts w:ascii="Verdana" w:hAnsi="Verdana"/>
          <w:sz w:val="20"/>
          <w:szCs w:val="20"/>
        </w:rPr>
        <w:t xml:space="preserve"> </w:t>
      </w:r>
      <w:r w:rsidR="009E4E5C" w:rsidRPr="005E3090">
        <w:rPr>
          <w:rFonts w:ascii="Verdana" w:hAnsi="Verdana"/>
          <w:sz w:val="20"/>
          <w:szCs w:val="20"/>
        </w:rPr>
        <w:t xml:space="preserve">All SIB Licensees </w:t>
      </w:r>
      <w:r w:rsidR="00433854">
        <w:rPr>
          <w:rFonts w:ascii="Verdana" w:hAnsi="Verdana"/>
          <w:sz w:val="20"/>
          <w:szCs w:val="20"/>
        </w:rPr>
        <w:t xml:space="preserve">that responded to the AML/CFT survey </w:t>
      </w:r>
      <w:r w:rsidR="009E4E5C" w:rsidRPr="005E3090">
        <w:rPr>
          <w:rFonts w:ascii="Verdana" w:hAnsi="Verdana"/>
          <w:sz w:val="20"/>
          <w:szCs w:val="20"/>
        </w:rPr>
        <w:t>advised</w:t>
      </w:r>
      <w:r w:rsidR="00BA5BB8" w:rsidRPr="005E3090">
        <w:rPr>
          <w:rFonts w:ascii="Verdana" w:hAnsi="Verdana"/>
          <w:sz w:val="20"/>
          <w:szCs w:val="20"/>
        </w:rPr>
        <w:t xml:space="preserve"> </w:t>
      </w:r>
      <w:r w:rsidR="009E4E5C" w:rsidRPr="005E3090">
        <w:rPr>
          <w:rFonts w:ascii="Verdana" w:hAnsi="Verdana"/>
          <w:sz w:val="20"/>
          <w:szCs w:val="20"/>
        </w:rPr>
        <w:t>that they do not accept physical cash, trave</w:t>
      </w:r>
      <w:r w:rsidR="00A21504" w:rsidRPr="005E3090">
        <w:rPr>
          <w:rFonts w:ascii="Verdana" w:hAnsi="Verdana"/>
          <w:sz w:val="20"/>
          <w:szCs w:val="20"/>
        </w:rPr>
        <w:t>l</w:t>
      </w:r>
      <w:r w:rsidR="009E4E5C" w:rsidRPr="005E3090">
        <w:rPr>
          <w:rFonts w:ascii="Verdana" w:hAnsi="Verdana"/>
          <w:sz w:val="20"/>
          <w:szCs w:val="20"/>
        </w:rPr>
        <w:t>lers</w:t>
      </w:r>
      <w:r w:rsidR="00A21504" w:rsidRPr="005E3090">
        <w:rPr>
          <w:rFonts w:ascii="Verdana" w:hAnsi="Verdana"/>
          <w:sz w:val="20"/>
          <w:szCs w:val="20"/>
        </w:rPr>
        <w:t>’</w:t>
      </w:r>
      <w:r w:rsidR="009E4E5C" w:rsidRPr="005E3090">
        <w:rPr>
          <w:rFonts w:ascii="Verdana" w:hAnsi="Verdana"/>
          <w:sz w:val="20"/>
          <w:szCs w:val="20"/>
        </w:rPr>
        <w:t xml:space="preserve"> cheques, bearer shares or virtual currencies (crypto or other). However, </w:t>
      </w:r>
      <w:r w:rsidR="00C20EB9">
        <w:rPr>
          <w:rFonts w:ascii="Verdana" w:hAnsi="Verdana"/>
          <w:sz w:val="20"/>
          <w:szCs w:val="20"/>
        </w:rPr>
        <w:t>10% of SIB Licensees of the respondents</w:t>
      </w:r>
      <w:r w:rsidRPr="005E3090">
        <w:rPr>
          <w:rFonts w:ascii="Verdana" w:hAnsi="Verdana"/>
          <w:sz w:val="20"/>
          <w:szCs w:val="20"/>
        </w:rPr>
        <w:t xml:space="preserve"> advised</w:t>
      </w:r>
      <w:r w:rsidR="008D5A4B">
        <w:rPr>
          <w:rFonts w:ascii="Verdana" w:hAnsi="Verdana"/>
          <w:sz w:val="20"/>
          <w:szCs w:val="20"/>
        </w:rPr>
        <w:t xml:space="preserve"> </w:t>
      </w:r>
      <w:r w:rsidRPr="005E3090">
        <w:rPr>
          <w:rFonts w:ascii="Verdana" w:hAnsi="Verdana"/>
          <w:sz w:val="20"/>
          <w:szCs w:val="20"/>
        </w:rPr>
        <w:t xml:space="preserve">that they accept </w:t>
      </w:r>
      <w:r w:rsidR="009E4E5C" w:rsidRPr="005E3090">
        <w:rPr>
          <w:rFonts w:ascii="Verdana" w:hAnsi="Verdana"/>
          <w:sz w:val="20"/>
          <w:szCs w:val="20"/>
        </w:rPr>
        <w:t>prepaid cards</w:t>
      </w:r>
      <w:r w:rsidRPr="005E3090">
        <w:rPr>
          <w:rFonts w:ascii="Verdana" w:hAnsi="Verdana"/>
          <w:sz w:val="20"/>
          <w:szCs w:val="20"/>
        </w:rPr>
        <w:t xml:space="preserve"> </w:t>
      </w:r>
      <w:r w:rsidR="009E4E5C" w:rsidRPr="005E3090">
        <w:rPr>
          <w:rFonts w:ascii="Verdana" w:hAnsi="Verdana"/>
          <w:sz w:val="20"/>
          <w:szCs w:val="20"/>
        </w:rPr>
        <w:t xml:space="preserve">and </w:t>
      </w:r>
      <w:r w:rsidR="00C20EB9">
        <w:rPr>
          <w:rFonts w:ascii="Verdana" w:hAnsi="Verdana"/>
          <w:sz w:val="20"/>
          <w:szCs w:val="20"/>
        </w:rPr>
        <w:t xml:space="preserve">14% advised that they accept </w:t>
      </w:r>
      <w:r w:rsidRPr="005E3090">
        <w:rPr>
          <w:rFonts w:ascii="Verdana" w:hAnsi="Verdana"/>
          <w:sz w:val="20"/>
          <w:szCs w:val="20"/>
        </w:rPr>
        <w:t xml:space="preserve">third-party payments, which </w:t>
      </w:r>
      <w:r w:rsidR="008D5A4B">
        <w:rPr>
          <w:rFonts w:ascii="Verdana" w:hAnsi="Verdana"/>
          <w:sz w:val="20"/>
          <w:szCs w:val="20"/>
        </w:rPr>
        <w:t>are</w:t>
      </w:r>
      <w:r w:rsidRPr="005E3090">
        <w:rPr>
          <w:rFonts w:ascii="Verdana" w:hAnsi="Verdana"/>
          <w:sz w:val="20"/>
          <w:szCs w:val="20"/>
        </w:rPr>
        <w:t xml:space="preserve"> hig</w:t>
      </w:r>
      <w:r w:rsidR="008D5A4B">
        <w:rPr>
          <w:rFonts w:ascii="Verdana" w:hAnsi="Verdana"/>
          <w:sz w:val="20"/>
          <w:szCs w:val="20"/>
        </w:rPr>
        <w:t>her risk</w:t>
      </w:r>
      <w:r w:rsidRPr="005E3090">
        <w:rPr>
          <w:rFonts w:ascii="Verdana" w:hAnsi="Verdana"/>
          <w:sz w:val="20"/>
          <w:szCs w:val="20"/>
        </w:rPr>
        <w:t xml:space="preserve"> </w:t>
      </w:r>
      <w:r w:rsidR="00E2786A" w:rsidRPr="005E3090">
        <w:rPr>
          <w:rFonts w:ascii="Verdana" w:hAnsi="Verdana"/>
          <w:sz w:val="20"/>
          <w:szCs w:val="20"/>
        </w:rPr>
        <w:t>payment ch</w:t>
      </w:r>
      <w:r w:rsidRPr="005E3090">
        <w:rPr>
          <w:rFonts w:ascii="Verdana" w:hAnsi="Verdana"/>
          <w:sz w:val="20"/>
          <w:szCs w:val="20"/>
        </w:rPr>
        <w:t>annel</w:t>
      </w:r>
      <w:r w:rsidR="008D5A4B">
        <w:rPr>
          <w:rFonts w:ascii="Verdana" w:hAnsi="Verdana"/>
          <w:sz w:val="20"/>
          <w:szCs w:val="20"/>
        </w:rPr>
        <w:t>s</w:t>
      </w:r>
      <w:r w:rsidRPr="005E3090">
        <w:rPr>
          <w:rFonts w:ascii="Verdana" w:hAnsi="Verdana"/>
          <w:sz w:val="20"/>
          <w:szCs w:val="20"/>
        </w:rPr>
        <w:t xml:space="preserve">. </w:t>
      </w:r>
    </w:p>
    <w:p w14:paraId="2A93A47B" w14:textId="77777777" w:rsidR="00AA42CA" w:rsidRPr="00AA42CA" w:rsidRDefault="00AA42CA" w:rsidP="00AA42CA">
      <w:pPr>
        <w:spacing w:line="276" w:lineRule="auto"/>
        <w:jc w:val="both"/>
        <w:rPr>
          <w:rFonts w:ascii="Verdana" w:hAnsi="Verdana"/>
          <w:sz w:val="20"/>
          <w:szCs w:val="20"/>
          <w:highlight w:val="green"/>
          <w:u w:val="single"/>
        </w:rPr>
      </w:pPr>
    </w:p>
    <w:p w14:paraId="218DCA1A" w14:textId="037D7A24" w:rsidR="00AA42CA" w:rsidRPr="00AA42CA" w:rsidRDefault="00AA42CA" w:rsidP="00AA42CA">
      <w:pPr>
        <w:spacing w:line="276" w:lineRule="auto"/>
        <w:jc w:val="both"/>
        <w:rPr>
          <w:rFonts w:ascii="Verdana" w:hAnsi="Verdana"/>
          <w:sz w:val="20"/>
          <w:szCs w:val="20"/>
          <w:u w:val="single"/>
        </w:rPr>
      </w:pPr>
      <w:r w:rsidRPr="00AA42CA">
        <w:rPr>
          <w:rFonts w:ascii="Verdana" w:hAnsi="Verdana"/>
          <w:sz w:val="20"/>
          <w:szCs w:val="20"/>
          <w:u w:val="single"/>
        </w:rPr>
        <w:t xml:space="preserve">Conclusion for Risk Category on </w:t>
      </w:r>
      <w:r w:rsidR="006D4771">
        <w:rPr>
          <w:rFonts w:ascii="Verdana" w:hAnsi="Verdana"/>
          <w:sz w:val="20"/>
          <w:szCs w:val="20"/>
          <w:u w:val="single"/>
        </w:rPr>
        <w:t>Delivery Channel</w:t>
      </w:r>
      <w:r w:rsidR="00C20EB9">
        <w:rPr>
          <w:rFonts w:ascii="Verdana" w:hAnsi="Verdana"/>
          <w:sz w:val="20"/>
          <w:szCs w:val="20"/>
          <w:u w:val="single"/>
        </w:rPr>
        <w:t>s</w:t>
      </w:r>
    </w:p>
    <w:p w14:paraId="7D19C97D" w14:textId="77777777" w:rsidR="00AA42CA" w:rsidRPr="00AA42CA" w:rsidRDefault="00AA42CA" w:rsidP="00AA42CA">
      <w:pPr>
        <w:pStyle w:val="ListParagraph"/>
        <w:rPr>
          <w:rFonts w:ascii="Verdana" w:hAnsi="Verdana"/>
          <w:color w:val="000000" w:themeColor="text1"/>
          <w:sz w:val="20"/>
          <w:szCs w:val="20"/>
        </w:rPr>
      </w:pPr>
    </w:p>
    <w:p w14:paraId="39DCDA8D" w14:textId="54D1E19F" w:rsidR="00E108C4" w:rsidRPr="005E3090" w:rsidRDefault="00AA42CA"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The</w:t>
      </w:r>
      <w:r w:rsidR="00E2786A" w:rsidRPr="005E3090">
        <w:rPr>
          <w:rFonts w:ascii="Verdana" w:hAnsi="Verdana"/>
          <w:sz w:val="20"/>
          <w:szCs w:val="20"/>
        </w:rPr>
        <w:t xml:space="preserve"> </w:t>
      </w:r>
      <w:r w:rsidR="007039DE">
        <w:rPr>
          <w:rFonts w:ascii="Verdana" w:hAnsi="Verdana"/>
          <w:sz w:val="20"/>
          <w:szCs w:val="20"/>
        </w:rPr>
        <w:t xml:space="preserve">data collected indicate that </w:t>
      </w:r>
      <w:r w:rsidR="00C325A2" w:rsidRPr="005E3090">
        <w:rPr>
          <w:rFonts w:ascii="Verdana" w:hAnsi="Verdana"/>
          <w:sz w:val="20"/>
          <w:szCs w:val="20"/>
        </w:rPr>
        <w:t>SIB Licensees</w:t>
      </w:r>
      <w:r w:rsidR="00E2786A" w:rsidRPr="005E3090">
        <w:rPr>
          <w:rFonts w:ascii="Verdana" w:hAnsi="Verdana"/>
          <w:sz w:val="20"/>
          <w:szCs w:val="20"/>
        </w:rPr>
        <w:t xml:space="preserve"> display a medium</w:t>
      </w:r>
      <w:r w:rsidR="00BE2886" w:rsidRPr="005E3090">
        <w:rPr>
          <w:rFonts w:ascii="Verdana" w:hAnsi="Verdana"/>
          <w:sz w:val="20"/>
          <w:szCs w:val="20"/>
        </w:rPr>
        <w:t>-high</w:t>
      </w:r>
      <w:r w:rsidR="00E2786A" w:rsidRPr="005E3090">
        <w:rPr>
          <w:rFonts w:ascii="Verdana" w:hAnsi="Verdana"/>
          <w:sz w:val="20"/>
          <w:szCs w:val="20"/>
        </w:rPr>
        <w:t xml:space="preserve"> risk based on the delivery channel </w:t>
      </w:r>
      <w:r w:rsidR="007039DE">
        <w:rPr>
          <w:rFonts w:ascii="Verdana" w:hAnsi="Verdana"/>
          <w:sz w:val="20"/>
          <w:szCs w:val="20"/>
        </w:rPr>
        <w:t>used</w:t>
      </w:r>
      <w:r w:rsidR="00E2786A" w:rsidRPr="005E3090">
        <w:rPr>
          <w:rFonts w:ascii="Verdana" w:hAnsi="Verdana"/>
          <w:sz w:val="20"/>
          <w:szCs w:val="20"/>
        </w:rPr>
        <w:t xml:space="preserve">, </w:t>
      </w:r>
      <w:r w:rsidR="00F23EFC" w:rsidRPr="005E3090">
        <w:rPr>
          <w:rFonts w:ascii="Verdana" w:hAnsi="Verdana"/>
          <w:sz w:val="20"/>
          <w:szCs w:val="20"/>
        </w:rPr>
        <w:t xml:space="preserve">due to 94% of </w:t>
      </w:r>
      <w:r w:rsidR="007039DE">
        <w:rPr>
          <w:rFonts w:ascii="Verdana" w:hAnsi="Verdana"/>
          <w:sz w:val="20"/>
          <w:szCs w:val="20"/>
        </w:rPr>
        <w:t xml:space="preserve">their </w:t>
      </w:r>
      <w:r w:rsidR="00F23EFC" w:rsidRPr="005E3090">
        <w:rPr>
          <w:rFonts w:ascii="Verdana" w:hAnsi="Verdana"/>
          <w:sz w:val="20"/>
          <w:szCs w:val="20"/>
        </w:rPr>
        <w:t xml:space="preserve">customers </w:t>
      </w:r>
      <w:r w:rsidR="007039DE">
        <w:rPr>
          <w:rFonts w:ascii="Verdana" w:hAnsi="Verdana"/>
          <w:sz w:val="20"/>
          <w:szCs w:val="20"/>
        </w:rPr>
        <w:t>being obtained through</w:t>
      </w:r>
      <w:r w:rsidR="00466422" w:rsidRPr="005E3090">
        <w:rPr>
          <w:rFonts w:ascii="Verdana" w:hAnsi="Verdana"/>
          <w:sz w:val="20"/>
          <w:szCs w:val="20"/>
        </w:rPr>
        <w:t xml:space="preserve"> non face-to-face onboarding processes</w:t>
      </w:r>
      <w:r w:rsidR="007039DE">
        <w:rPr>
          <w:rFonts w:ascii="Verdana" w:hAnsi="Verdana"/>
          <w:sz w:val="20"/>
          <w:szCs w:val="20"/>
        </w:rPr>
        <w:t xml:space="preserve">. </w:t>
      </w:r>
      <w:r w:rsidR="007B2101" w:rsidRPr="005E3090">
        <w:rPr>
          <w:rFonts w:ascii="Verdana" w:hAnsi="Verdana"/>
          <w:sz w:val="20"/>
          <w:szCs w:val="20"/>
        </w:rPr>
        <w:t xml:space="preserve"> </w:t>
      </w:r>
      <w:r w:rsidR="00C20EB9">
        <w:rPr>
          <w:rFonts w:ascii="Verdana" w:hAnsi="Verdana"/>
          <w:sz w:val="20"/>
          <w:szCs w:val="20"/>
        </w:rPr>
        <w:t>2% of</w:t>
      </w:r>
      <w:r w:rsidR="007039DE">
        <w:rPr>
          <w:rFonts w:ascii="Verdana" w:hAnsi="Verdana"/>
          <w:sz w:val="20"/>
          <w:szCs w:val="20"/>
        </w:rPr>
        <w:t xml:space="preserve"> </w:t>
      </w:r>
      <w:r w:rsidR="0035452C" w:rsidRPr="005E3090">
        <w:rPr>
          <w:rFonts w:ascii="Verdana" w:hAnsi="Verdana"/>
          <w:sz w:val="20"/>
          <w:szCs w:val="20"/>
        </w:rPr>
        <w:t>customers</w:t>
      </w:r>
      <w:r w:rsidR="007B2101" w:rsidRPr="005E3090">
        <w:rPr>
          <w:rFonts w:ascii="Verdana" w:hAnsi="Verdana"/>
          <w:sz w:val="20"/>
          <w:szCs w:val="20"/>
        </w:rPr>
        <w:t xml:space="preserve"> </w:t>
      </w:r>
      <w:r w:rsidR="007039DE">
        <w:rPr>
          <w:rFonts w:ascii="Verdana" w:hAnsi="Verdana"/>
          <w:sz w:val="20"/>
          <w:szCs w:val="20"/>
        </w:rPr>
        <w:t>are also</w:t>
      </w:r>
      <w:r w:rsidR="007039DE" w:rsidRPr="005E3090">
        <w:rPr>
          <w:rFonts w:ascii="Verdana" w:hAnsi="Verdana"/>
          <w:sz w:val="20"/>
          <w:szCs w:val="20"/>
        </w:rPr>
        <w:t xml:space="preserve"> </w:t>
      </w:r>
      <w:r w:rsidR="007B2101" w:rsidRPr="005E3090">
        <w:rPr>
          <w:rFonts w:ascii="Verdana" w:hAnsi="Verdana"/>
          <w:sz w:val="20"/>
          <w:szCs w:val="20"/>
        </w:rPr>
        <w:t>domiciled in high</w:t>
      </w:r>
      <w:r w:rsidR="0058313D">
        <w:rPr>
          <w:rFonts w:ascii="Verdana" w:hAnsi="Verdana"/>
          <w:sz w:val="20"/>
          <w:szCs w:val="20"/>
        </w:rPr>
        <w:t>e</w:t>
      </w:r>
      <w:r w:rsidR="007B2101" w:rsidRPr="005E3090">
        <w:rPr>
          <w:rFonts w:ascii="Verdana" w:hAnsi="Verdana"/>
          <w:sz w:val="20"/>
          <w:szCs w:val="20"/>
        </w:rPr>
        <w:t>r risk jurisdictions</w:t>
      </w:r>
      <w:r w:rsidR="00466422" w:rsidRPr="005E3090">
        <w:rPr>
          <w:rFonts w:ascii="Verdana" w:hAnsi="Verdana"/>
          <w:sz w:val="20"/>
          <w:szCs w:val="20"/>
        </w:rPr>
        <w:t xml:space="preserve">. This is </w:t>
      </w:r>
      <w:r w:rsidR="007B2101" w:rsidRPr="005E3090">
        <w:rPr>
          <w:rFonts w:ascii="Verdana" w:hAnsi="Verdana"/>
          <w:sz w:val="20"/>
          <w:szCs w:val="20"/>
        </w:rPr>
        <w:t xml:space="preserve">partially </w:t>
      </w:r>
      <w:r w:rsidR="00466422" w:rsidRPr="005E3090">
        <w:rPr>
          <w:rFonts w:ascii="Verdana" w:hAnsi="Verdana"/>
          <w:sz w:val="20"/>
          <w:szCs w:val="20"/>
        </w:rPr>
        <w:t>mitigated by the payment methods accepted</w:t>
      </w:r>
      <w:r w:rsidR="007039DE">
        <w:rPr>
          <w:rFonts w:ascii="Verdana" w:hAnsi="Verdana"/>
          <w:sz w:val="20"/>
          <w:szCs w:val="20"/>
        </w:rPr>
        <w:t>,</w:t>
      </w:r>
      <w:r w:rsidR="00466422" w:rsidRPr="005E3090">
        <w:rPr>
          <w:rFonts w:ascii="Verdana" w:hAnsi="Verdana"/>
          <w:sz w:val="20"/>
          <w:szCs w:val="20"/>
        </w:rPr>
        <w:t xml:space="preserve"> as no SIB Licensees accept physical cash, travellers</w:t>
      </w:r>
      <w:r w:rsidR="009A25A5" w:rsidRPr="005E3090">
        <w:rPr>
          <w:rFonts w:ascii="Verdana" w:hAnsi="Verdana"/>
          <w:sz w:val="20"/>
          <w:szCs w:val="20"/>
        </w:rPr>
        <w:t>’</w:t>
      </w:r>
      <w:r w:rsidR="00466422" w:rsidRPr="005E3090">
        <w:rPr>
          <w:rFonts w:ascii="Verdana" w:hAnsi="Verdana"/>
          <w:sz w:val="20"/>
          <w:szCs w:val="20"/>
        </w:rPr>
        <w:t xml:space="preserve"> cheques or bearer shares</w:t>
      </w:r>
      <w:r w:rsidR="007B2101" w:rsidRPr="005E3090">
        <w:rPr>
          <w:rFonts w:ascii="Verdana" w:hAnsi="Verdana"/>
          <w:sz w:val="20"/>
          <w:szCs w:val="20"/>
        </w:rPr>
        <w:t>. However, it is also noted that 1</w:t>
      </w:r>
      <w:r w:rsidR="00F23EFC" w:rsidRPr="005E3090">
        <w:rPr>
          <w:rFonts w:ascii="Verdana" w:hAnsi="Verdana"/>
          <w:sz w:val="20"/>
          <w:szCs w:val="20"/>
        </w:rPr>
        <w:t xml:space="preserve">4% of SIB Licensees accept third party payments. </w:t>
      </w:r>
    </w:p>
    <w:p w14:paraId="5260CA69" w14:textId="77777777" w:rsidR="007B2101" w:rsidRPr="00BF632C" w:rsidRDefault="007B2101" w:rsidP="007B2101">
      <w:pPr>
        <w:pStyle w:val="ListParagraph"/>
        <w:rPr>
          <w:rFonts w:ascii="Verdana" w:hAnsi="Verdana"/>
          <w:color w:val="000000" w:themeColor="text1"/>
          <w:sz w:val="20"/>
          <w:szCs w:val="20"/>
        </w:rPr>
      </w:pPr>
    </w:p>
    <w:tbl>
      <w:tblPr>
        <w:tblStyle w:val="TableGrid"/>
        <w:tblW w:w="6750" w:type="dxa"/>
        <w:tblInd w:w="108" w:type="dxa"/>
        <w:shd w:val="clear" w:color="auto" w:fill="FFC000"/>
        <w:tblLook w:val="04A0" w:firstRow="1" w:lastRow="0" w:firstColumn="1" w:lastColumn="0" w:noHBand="0" w:noVBand="1"/>
      </w:tblPr>
      <w:tblGrid>
        <w:gridCol w:w="6750"/>
      </w:tblGrid>
      <w:tr w:rsidR="00E108C4" w:rsidRPr="00BF632C" w14:paraId="07767E77" w14:textId="77777777" w:rsidTr="00094151">
        <w:tc>
          <w:tcPr>
            <w:tcW w:w="6750" w:type="dxa"/>
            <w:shd w:val="clear" w:color="auto" w:fill="FFC000"/>
          </w:tcPr>
          <w:p w14:paraId="79BA9F19" w14:textId="77FEDA5B" w:rsidR="00E108C4" w:rsidRPr="00BF632C" w:rsidRDefault="00E108C4" w:rsidP="00153D5E">
            <w:pPr>
              <w:jc w:val="both"/>
              <w:rPr>
                <w:rFonts w:ascii="Verdana" w:hAnsi="Verdana"/>
                <w:b/>
                <w:sz w:val="20"/>
                <w:szCs w:val="20"/>
              </w:rPr>
            </w:pPr>
            <w:r w:rsidRPr="00BF632C">
              <w:rPr>
                <w:rFonts w:ascii="Verdana" w:hAnsi="Verdana"/>
                <w:b/>
                <w:sz w:val="20"/>
                <w:szCs w:val="20"/>
              </w:rPr>
              <w:t xml:space="preserve">Delivery channels </w:t>
            </w:r>
          </w:p>
        </w:tc>
      </w:tr>
      <w:tr w:rsidR="00E108C4" w:rsidRPr="00BF632C" w14:paraId="5980A4C4" w14:textId="77777777" w:rsidTr="00094151">
        <w:tc>
          <w:tcPr>
            <w:tcW w:w="6750" w:type="dxa"/>
            <w:shd w:val="clear" w:color="auto" w:fill="FFC000"/>
          </w:tcPr>
          <w:p w14:paraId="67DE62C9" w14:textId="77777777" w:rsidR="00E108C4" w:rsidRPr="00BF632C" w:rsidRDefault="00E108C4" w:rsidP="00153D5E">
            <w:pPr>
              <w:pStyle w:val="ListParagraph"/>
              <w:ind w:left="0"/>
              <w:rPr>
                <w:rFonts w:ascii="Verdana" w:hAnsi="Verdana"/>
                <w:sz w:val="20"/>
                <w:szCs w:val="20"/>
              </w:rPr>
            </w:pPr>
            <w:r w:rsidRPr="00BF632C">
              <w:rPr>
                <w:rFonts w:ascii="Verdana" w:hAnsi="Verdana"/>
                <w:sz w:val="20"/>
                <w:szCs w:val="20"/>
              </w:rPr>
              <w:t xml:space="preserve">Risk rating: </w:t>
            </w:r>
            <w:r w:rsidRPr="00BF632C">
              <w:rPr>
                <w:rFonts w:ascii="Verdana" w:hAnsi="Verdana"/>
                <w:b/>
                <w:sz w:val="20"/>
                <w:szCs w:val="20"/>
              </w:rPr>
              <w:t>Medium-High</w:t>
            </w:r>
          </w:p>
        </w:tc>
      </w:tr>
    </w:tbl>
    <w:p w14:paraId="08AA642C" w14:textId="77777777" w:rsidR="005D2F48" w:rsidRDefault="005D2F48" w:rsidP="005D2F48">
      <w:pPr>
        <w:spacing w:line="276" w:lineRule="auto"/>
        <w:jc w:val="both"/>
        <w:rPr>
          <w:rFonts w:ascii="Verdana" w:hAnsi="Verdana"/>
          <w:b/>
          <w:color w:val="000000" w:themeColor="text1"/>
          <w:sz w:val="20"/>
          <w:szCs w:val="20"/>
          <w:highlight w:val="green"/>
        </w:rPr>
      </w:pPr>
    </w:p>
    <w:p w14:paraId="52CC3518" w14:textId="7551FACF" w:rsidR="005E3090" w:rsidRPr="005E3090" w:rsidRDefault="005E3090" w:rsidP="005E3090">
      <w:pPr>
        <w:pStyle w:val="ListParagraph"/>
        <w:spacing w:line="276" w:lineRule="auto"/>
        <w:ind w:left="0"/>
        <w:jc w:val="both"/>
        <w:rPr>
          <w:rFonts w:ascii="Verdana" w:hAnsi="Verdana"/>
          <w:b/>
          <w:color w:val="000000" w:themeColor="text1"/>
          <w:sz w:val="20"/>
          <w:szCs w:val="20"/>
        </w:rPr>
      </w:pPr>
      <w:r>
        <w:rPr>
          <w:rFonts w:ascii="Verdana" w:hAnsi="Verdana"/>
          <w:b/>
          <w:color w:val="000000" w:themeColor="text1"/>
          <w:sz w:val="20"/>
          <w:szCs w:val="20"/>
        </w:rPr>
        <w:t>Geographic</w:t>
      </w:r>
      <w:r w:rsidRPr="005E3090">
        <w:rPr>
          <w:rFonts w:ascii="Verdana" w:hAnsi="Verdana"/>
          <w:b/>
          <w:color w:val="000000" w:themeColor="text1"/>
          <w:sz w:val="20"/>
          <w:szCs w:val="20"/>
        </w:rPr>
        <w:t xml:space="preserve"> Risks </w:t>
      </w:r>
    </w:p>
    <w:p w14:paraId="24D458A7" w14:textId="77777777" w:rsidR="005E3090" w:rsidRPr="005E3090" w:rsidRDefault="005E3090" w:rsidP="005E3090">
      <w:pPr>
        <w:pStyle w:val="ListParagraph"/>
        <w:spacing w:line="276" w:lineRule="auto"/>
        <w:ind w:left="540"/>
        <w:jc w:val="both"/>
        <w:rPr>
          <w:rFonts w:ascii="Verdana" w:hAnsi="Verdana"/>
          <w:sz w:val="20"/>
          <w:szCs w:val="20"/>
        </w:rPr>
      </w:pPr>
    </w:p>
    <w:p w14:paraId="21DC68D4" w14:textId="2915EB3D" w:rsidR="005E3090" w:rsidRPr="00BB1F11" w:rsidRDefault="005E3090" w:rsidP="005E3090">
      <w:pPr>
        <w:pStyle w:val="ListParagraph"/>
        <w:numPr>
          <w:ilvl w:val="0"/>
          <w:numId w:val="24"/>
        </w:numPr>
        <w:spacing w:line="276" w:lineRule="auto"/>
        <w:jc w:val="both"/>
        <w:rPr>
          <w:rFonts w:ascii="Verdana" w:hAnsi="Verdana"/>
          <w:sz w:val="20"/>
          <w:szCs w:val="20"/>
        </w:rPr>
      </w:pPr>
      <w:r w:rsidRPr="00BB1F11">
        <w:rPr>
          <w:rFonts w:ascii="Verdana" w:hAnsi="Verdana"/>
          <w:sz w:val="20"/>
          <w:szCs w:val="20"/>
        </w:rPr>
        <w:t xml:space="preserve">Shareholder and management aspects: From an ownership and control perspective, 69% of SIB Licensees </w:t>
      </w:r>
      <w:r w:rsidR="00113EA6">
        <w:rPr>
          <w:rFonts w:ascii="Verdana" w:hAnsi="Verdana"/>
          <w:sz w:val="20"/>
          <w:szCs w:val="20"/>
        </w:rPr>
        <w:t>are</w:t>
      </w:r>
      <w:r w:rsidRPr="00BB1F11">
        <w:rPr>
          <w:rFonts w:ascii="Verdana" w:hAnsi="Verdana"/>
          <w:sz w:val="20"/>
          <w:szCs w:val="20"/>
        </w:rPr>
        <w:t xml:space="preserve"> owned by persons across 18 jurisdictions, mainly Hong Kong, United Kingdom and Switzerland. </w:t>
      </w:r>
      <w:r w:rsidRPr="005E3090">
        <w:rPr>
          <w:rFonts w:ascii="Verdana" w:hAnsi="Verdana"/>
          <w:sz w:val="20"/>
          <w:szCs w:val="20"/>
        </w:rPr>
        <w:t>A total of 10% of the SIB Licensees</w:t>
      </w:r>
      <w:r w:rsidR="0039186F">
        <w:rPr>
          <w:rFonts w:ascii="Verdana" w:hAnsi="Verdana"/>
          <w:sz w:val="20"/>
          <w:szCs w:val="20"/>
        </w:rPr>
        <w:t>’</w:t>
      </w:r>
      <w:r w:rsidRPr="005E3090">
        <w:rPr>
          <w:rFonts w:ascii="Verdana" w:hAnsi="Verdana"/>
          <w:sz w:val="20"/>
          <w:szCs w:val="20"/>
        </w:rPr>
        <w:t xml:space="preserve"> senior officers or shareholders were </w:t>
      </w:r>
      <w:r w:rsidR="0039186F">
        <w:rPr>
          <w:rFonts w:ascii="Verdana" w:hAnsi="Verdana"/>
          <w:sz w:val="20"/>
          <w:szCs w:val="20"/>
        </w:rPr>
        <w:t>identified</w:t>
      </w:r>
      <w:r w:rsidR="0039186F" w:rsidRPr="005E3090">
        <w:rPr>
          <w:rFonts w:ascii="Verdana" w:hAnsi="Verdana"/>
          <w:sz w:val="20"/>
          <w:szCs w:val="20"/>
        </w:rPr>
        <w:t xml:space="preserve"> </w:t>
      </w:r>
      <w:r w:rsidRPr="005E3090">
        <w:rPr>
          <w:rFonts w:ascii="Verdana" w:hAnsi="Verdana"/>
          <w:sz w:val="20"/>
          <w:szCs w:val="20"/>
        </w:rPr>
        <w:t xml:space="preserve">as </w:t>
      </w:r>
      <w:r w:rsidR="0039186F">
        <w:rPr>
          <w:rFonts w:ascii="Verdana" w:hAnsi="Verdana"/>
          <w:sz w:val="20"/>
          <w:szCs w:val="20"/>
        </w:rPr>
        <w:t xml:space="preserve">being </w:t>
      </w:r>
      <w:r w:rsidRPr="005E3090">
        <w:rPr>
          <w:rFonts w:ascii="Verdana" w:hAnsi="Verdana"/>
          <w:sz w:val="20"/>
          <w:szCs w:val="20"/>
        </w:rPr>
        <w:t>PEPs</w:t>
      </w:r>
      <w:r w:rsidR="0039186F">
        <w:rPr>
          <w:rFonts w:ascii="Verdana" w:hAnsi="Verdana"/>
          <w:sz w:val="20"/>
          <w:szCs w:val="20"/>
        </w:rPr>
        <w:t>.</w:t>
      </w:r>
      <w:r w:rsidRPr="007E751F">
        <w:rPr>
          <w:rFonts w:ascii="Verdana" w:hAnsi="Verdana"/>
          <w:sz w:val="20"/>
          <w:szCs w:val="20"/>
        </w:rPr>
        <w:t xml:space="preserve"> </w:t>
      </w:r>
    </w:p>
    <w:p w14:paraId="39238DB4" w14:textId="77777777" w:rsidR="005E3090" w:rsidRDefault="005E3090" w:rsidP="005E3090">
      <w:pPr>
        <w:pStyle w:val="ListParagraph"/>
        <w:spacing w:line="276" w:lineRule="auto"/>
        <w:ind w:left="540"/>
        <w:jc w:val="both"/>
        <w:rPr>
          <w:rFonts w:ascii="Verdana" w:hAnsi="Verdana"/>
          <w:color w:val="000000" w:themeColor="text1"/>
          <w:sz w:val="20"/>
          <w:szCs w:val="20"/>
        </w:rPr>
      </w:pPr>
    </w:p>
    <w:p w14:paraId="175F4EFC" w14:textId="087F45FE" w:rsidR="005E3090" w:rsidRDefault="005E3090" w:rsidP="005E3090">
      <w:pPr>
        <w:pStyle w:val="ListParagraph"/>
        <w:numPr>
          <w:ilvl w:val="0"/>
          <w:numId w:val="24"/>
        </w:numPr>
        <w:spacing w:line="276" w:lineRule="auto"/>
        <w:jc w:val="both"/>
        <w:rPr>
          <w:rFonts w:ascii="Verdana" w:hAnsi="Verdana"/>
          <w:sz w:val="20"/>
          <w:szCs w:val="20"/>
        </w:rPr>
      </w:pPr>
      <w:r w:rsidRPr="005E3090">
        <w:rPr>
          <w:rFonts w:ascii="Verdana" w:hAnsi="Verdana"/>
          <w:sz w:val="20"/>
          <w:szCs w:val="20"/>
        </w:rPr>
        <w:t>Funds flow aspects: In addition, SIB Licensees main destinations for customer funds were reported to be the Cayman Islands, followed by Canada, the United Kingdom and the United States. About 17% of respondents reported a high-risk jurisdiction, such as Angola, Botswana, Cambodia, Central African Republic, Ghana, Iceland, Iran, Kenya, Libya, Myanmar, Pakistan, Paraguay, Saudi Arabia, Sudan, Vietnam and Zimbabwe to constitute the destination jurisdiction of customer funds. For customer funds transferred out, the jurisdictions of origin were again identified as the Cayman Islands, the United Kingdom and United States followed by Canada. Of all respondents, 10% reported a high-risk jurisdiction to be the originator of customer funds.</w:t>
      </w:r>
    </w:p>
    <w:p w14:paraId="23DD6ABE" w14:textId="77777777" w:rsidR="005E3090" w:rsidRPr="005E3090" w:rsidRDefault="005E3090" w:rsidP="005E3090">
      <w:pPr>
        <w:pStyle w:val="ListParagraph"/>
        <w:rPr>
          <w:rFonts w:ascii="Verdana" w:hAnsi="Verdana"/>
          <w:sz w:val="20"/>
          <w:szCs w:val="20"/>
        </w:rPr>
      </w:pPr>
    </w:p>
    <w:p w14:paraId="15ACDE6B" w14:textId="1228431F" w:rsidR="005E3090" w:rsidRDefault="00A57C46" w:rsidP="005E3090">
      <w:pPr>
        <w:pStyle w:val="ListParagraph"/>
        <w:numPr>
          <w:ilvl w:val="0"/>
          <w:numId w:val="24"/>
        </w:numPr>
        <w:spacing w:line="276" w:lineRule="auto"/>
        <w:jc w:val="both"/>
        <w:rPr>
          <w:rFonts w:ascii="Verdana" w:hAnsi="Verdana"/>
          <w:sz w:val="20"/>
          <w:szCs w:val="20"/>
        </w:rPr>
      </w:pPr>
      <w:r>
        <w:rPr>
          <w:rFonts w:ascii="Verdana" w:hAnsi="Verdana"/>
          <w:sz w:val="20"/>
          <w:szCs w:val="20"/>
        </w:rPr>
        <w:t>T</w:t>
      </w:r>
      <w:r w:rsidR="005E3090">
        <w:rPr>
          <w:rFonts w:ascii="Verdana" w:hAnsi="Verdana"/>
          <w:sz w:val="20"/>
          <w:szCs w:val="20"/>
        </w:rPr>
        <w:t>he customer base for SIB Licensees</w:t>
      </w:r>
      <w:r>
        <w:rPr>
          <w:rFonts w:ascii="Verdana" w:hAnsi="Verdana"/>
          <w:sz w:val="20"/>
          <w:szCs w:val="20"/>
        </w:rPr>
        <w:t xml:space="preserve"> is global - </w:t>
      </w:r>
      <w:r w:rsidR="005E3090">
        <w:rPr>
          <w:rFonts w:ascii="Verdana" w:hAnsi="Verdana"/>
          <w:sz w:val="20"/>
          <w:szCs w:val="20"/>
        </w:rPr>
        <w:t xml:space="preserve">span across 160 </w:t>
      </w:r>
      <w:r w:rsidR="00113EA6">
        <w:rPr>
          <w:rFonts w:ascii="Verdana" w:hAnsi="Verdana"/>
          <w:sz w:val="20"/>
          <w:szCs w:val="20"/>
        </w:rPr>
        <w:t>jurisdictions</w:t>
      </w:r>
      <w:r w:rsidR="005E3090">
        <w:rPr>
          <w:rFonts w:ascii="Verdana" w:hAnsi="Verdana"/>
          <w:sz w:val="20"/>
          <w:szCs w:val="20"/>
        </w:rPr>
        <w:t xml:space="preserve">, with 2% </w:t>
      </w:r>
      <w:r>
        <w:rPr>
          <w:rFonts w:ascii="Verdana" w:hAnsi="Verdana"/>
          <w:sz w:val="20"/>
          <w:szCs w:val="20"/>
        </w:rPr>
        <w:t>of such customers coming from</w:t>
      </w:r>
      <w:r w:rsidR="005E3090">
        <w:rPr>
          <w:rFonts w:ascii="Verdana" w:hAnsi="Verdana"/>
          <w:sz w:val="20"/>
          <w:szCs w:val="20"/>
        </w:rPr>
        <w:t xml:space="preserve"> higher risk jurisdictions such as Angola, Botswana, Cambodia, Iceland, Iran, Kenya, Lebanon, Libya, Mongolia, Myanmar, </w:t>
      </w:r>
      <w:r w:rsidR="005E3090">
        <w:rPr>
          <w:rFonts w:ascii="Verdana" w:hAnsi="Verdana"/>
          <w:sz w:val="20"/>
          <w:szCs w:val="20"/>
        </w:rPr>
        <w:lastRenderedPageBreak/>
        <w:t>Nigeria, Pakistan, Panama, Paraguay, Saudi Arabia, Sierra Leone, Somalia, South Africa, Sudan, Tanzania, Vietnam and Zimbabwe.</w:t>
      </w:r>
      <w:r>
        <w:rPr>
          <w:rFonts w:ascii="Verdana" w:hAnsi="Verdana"/>
          <w:sz w:val="20"/>
          <w:szCs w:val="20"/>
        </w:rPr>
        <w:t xml:space="preserve"> </w:t>
      </w:r>
    </w:p>
    <w:p w14:paraId="04F565C2" w14:textId="77777777" w:rsidR="005E3090" w:rsidRPr="005E3090" w:rsidRDefault="005E3090" w:rsidP="005E3090">
      <w:pPr>
        <w:pStyle w:val="ListParagraph"/>
        <w:rPr>
          <w:rFonts w:ascii="Verdana" w:hAnsi="Verdana"/>
          <w:sz w:val="20"/>
          <w:szCs w:val="20"/>
        </w:rPr>
      </w:pPr>
    </w:p>
    <w:p w14:paraId="02A675C3" w14:textId="015F26B2" w:rsidR="005E3090" w:rsidRPr="005E3090" w:rsidRDefault="005E3090" w:rsidP="005E3090">
      <w:pPr>
        <w:spacing w:line="276" w:lineRule="auto"/>
        <w:jc w:val="both"/>
        <w:rPr>
          <w:rFonts w:ascii="Verdana" w:hAnsi="Verdana"/>
          <w:sz w:val="20"/>
          <w:szCs w:val="20"/>
          <w:u w:val="single"/>
        </w:rPr>
      </w:pPr>
      <w:r w:rsidRPr="005E3090">
        <w:rPr>
          <w:rFonts w:ascii="Verdana" w:hAnsi="Verdana"/>
          <w:sz w:val="20"/>
          <w:szCs w:val="20"/>
          <w:u w:val="single"/>
        </w:rPr>
        <w:t xml:space="preserve">Conclusion for Risk Category on </w:t>
      </w:r>
      <w:r>
        <w:rPr>
          <w:rFonts w:ascii="Verdana" w:hAnsi="Verdana"/>
          <w:sz w:val="20"/>
          <w:szCs w:val="20"/>
          <w:u w:val="single"/>
        </w:rPr>
        <w:t>Geography</w:t>
      </w:r>
    </w:p>
    <w:p w14:paraId="63BCA3D9" w14:textId="77777777" w:rsidR="005E3090" w:rsidRDefault="005E3090" w:rsidP="005E3090">
      <w:pPr>
        <w:pStyle w:val="ListParagraph"/>
        <w:spacing w:line="276" w:lineRule="auto"/>
        <w:ind w:left="540"/>
        <w:jc w:val="both"/>
        <w:rPr>
          <w:rFonts w:ascii="Verdana" w:hAnsi="Verdana"/>
          <w:sz w:val="20"/>
          <w:szCs w:val="20"/>
        </w:rPr>
      </w:pPr>
    </w:p>
    <w:p w14:paraId="174AE065" w14:textId="569B7659" w:rsidR="005E3090" w:rsidRDefault="005E3090" w:rsidP="005E3090">
      <w:pPr>
        <w:pStyle w:val="ListParagraph"/>
        <w:numPr>
          <w:ilvl w:val="0"/>
          <w:numId w:val="24"/>
        </w:numPr>
        <w:spacing w:line="276" w:lineRule="auto"/>
        <w:jc w:val="both"/>
        <w:rPr>
          <w:rFonts w:ascii="Verdana" w:hAnsi="Verdana"/>
          <w:sz w:val="20"/>
          <w:szCs w:val="20"/>
        </w:rPr>
      </w:pPr>
      <w:r w:rsidRPr="00381A0A">
        <w:rPr>
          <w:rFonts w:ascii="Verdana" w:hAnsi="Verdana"/>
          <w:sz w:val="20"/>
          <w:szCs w:val="20"/>
        </w:rPr>
        <w:t>SIB Licensees</w:t>
      </w:r>
      <w:r w:rsidR="002B6B22">
        <w:rPr>
          <w:rFonts w:ascii="Verdana" w:hAnsi="Verdana"/>
          <w:sz w:val="20"/>
          <w:szCs w:val="20"/>
        </w:rPr>
        <w:t>, 69%,</w:t>
      </w:r>
      <w:r w:rsidRPr="00381A0A">
        <w:rPr>
          <w:rFonts w:ascii="Verdana" w:hAnsi="Verdana"/>
          <w:sz w:val="20"/>
          <w:szCs w:val="20"/>
        </w:rPr>
        <w:t xml:space="preserve"> that have multi-</w:t>
      </w:r>
      <w:r w:rsidR="002B6B22">
        <w:rPr>
          <w:rFonts w:ascii="Verdana" w:hAnsi="Verdana"/>
          <w:sz w:val="20"/>
          <w:szCs w:val="20"/>
        </w:rPr>
        <w:t>jurisdiction</w:t>
      </w:r>
      <w:r w:rsidRPr="00381A0A">
        <w:rPr>
          <w:rFonts w:ascii="Verdana" w:hAnsi="Verdana"/>
          <w:sz w:val="20"/>
          <w:szCs w:val="20"/>
        </w:rPr>
        <w:t xml:space="preserve"> ownership structures pose a higher risk as </w:t>
      </w:r>
      <w:r w:rsidR="002B6B22">
        <w:rPr>
          <w:rFonts w:ascii="Verdana" w:hAnsi="Verdana"/>
          <w:sz w:val="20"/>
          <w:szCs w:val="20"/>
        </w:rPr>
        <w:t xml:space="preserve">such </w:t>
      </w:r>
      <w:r w:rsidRPr="00381A0A">
        <w:rPr>
          <w:rFonts w:ascii="Verdana" w:hAnsi="Verdana"/>
          <w:sz w:val="20"/>
          <w:szCs w:val="20"/>
        </w:rPr>
        <w:t xml:space="preserve">structures can be used to obfuscate the true ownership and/or control of a SIB Licensee.   </w:t>
      </w:r>
    </w:p>
    <w:p w14:paraId="6709D18D" w14:textId="77777777" w:rsidR="005E3090" w:rsidRDefault="005E3090" w:rsidP="005E3090">
      <w:pPr>
        <w:pStyle w:val="ListParagraph"/>
        <w:spacing w:line="276" w:lineRule="auto"/>
        <w:ind w:left="540"/>
        <w:jc w:val="both"/>
        <w:rPr>
          <w:rFonts w:ascii="Verdana" w:hAnsi="Verdana"/>
          <w:sz w:val="20"/>
          <w:szCs w:val="20"/>
        </w:rPr>
      </w:pPr>
    </w:p>
    <w:p w14:paraId="5E08958A" w14:textId="6D758F31" w:rsidR="005E3090" w:rsidRDefault="005E3090" w:rsidP="005E3090">
      <w:pPr>
        <w:pStyle w:val="ListParagraph"/>
        <w:numPr>
          <w:ilvl w:val="0"/>
          <w:numId w:val="24"/>
        </w:numPr>
        <w:spacing w:line="276" w:lineRule="auto"/>
        <w:jc w:val="both"/>
        <w:rPr>
          <w:rFonts w:ascii="Verdana" w:hAnsi="Verdana"/>
          <w:sz w:val="20"/>
          <w:szCs w:val="20"/>
        </w:rPr>
      </w:pPr>
      <w:r>
        <w:rPr>
          <w:rFonts w:ascii="Verdana" w:hAnsi="Verdana"/>
          <w:sz w:val="20"/>
          <w:szCs w:val="20"/>
        </w:rPr>
        <w:t xml:space="preserve">The </w:t>
      </w:r>
      <w:r w:rsidR="00A57C46">
        <w:rPr>
          <w:rFonts w:ascii="Verdana" w:hAnsi="Verdana"/>
          <w:sz w:val="20"/>
          <w:szCs w:val="20"/>
        </w:rPr>
        <w:t xml:space="preserve">majority of customers are in </w:t>
      </w:r>
      <w:proofErr w:type="spellStart"/>
      <w:r w:rsidR="00A57C46">
        <w:rPr>
          <w:rFonts w:ascii="Verdana" w:hAnsi="Verdana"/>
          <w:sz w:val="20"/>
          <w:szCs w:val="20"/>
        </w:rPr>
        <w:t>non</w:t>
      </w:r>
      <w:r w:rsidR="00882CA4">
        <w:rPr>
          <w:rFonts w:ascii="Verdana" w:hAnsi="Verdana"/>
          <w:sz w:val="20"/>
          <w:szCs w:val="20"/>
        </w:rPr>
        <w:t xml:space="preserve"> </w:t>
      </w:r>
      <w:r w:rsidR="00A57C46">
        <w:rPr>
          <w:rFonts w:ascii="Verdana" w:hAnsi="Verdana"/>
          <w:sz w:val="20"/>
          <w:szCs w:val="20"/>
        </w:rPr>
        <w:t>high-risk</w:t>
      </w:r>
      <w:proofErr w:type="spellEnd"/>
      <w:r>
        <w:rPr>
          <w:rFonts w:ascii="Verdana" w:hAnsi="Verdana"/>
          <w:sz w:val="20"/>
          <w:szCs w:val="20"/>
        </w:rPr>
        <w:t xml:space="preserve"> jurisdictions, but </w:t>
      </w:r>
      <w:r w:rsidR="00A57C46">
        <w:rPr>
          <w:rFonts w:ascii="Verdana" w:hAnsi="Verdana"/>
          <w:sz w:val="20"/>
          <w:szCs w:val="20"/>
        </w:rPr>
        <w:t xml:space="preserve">with the wide geographic </w:t>
      </w:r>
      <w:r w:rsidR="00B609BA">
        <w:rPr>
          <w:rFonts w:ascii="Verdana" w:hAnsi="Verdana"/>
          <w:sz w:val="20"/>
          <w:szCs w:val="20"/>
        </w:rPr>
        <w:t>dispersion</w:t>
      </w:r>
      <w:r w:rsidR="00A57C46">
        <w:rPr>
          <w:rFonts w:ascii="Verdana" w:hAnsi="Verdana"/>
          <w:sz w:val="20"/>
          <w:szCs w:val="20"/>
        </w:rPr>
        <w:t xml:space="preserve"> of such customers – covering more than </w:t>
      </w:r>
      <w:r w:rsidR="002B6B22">
        <w:rPr>
          <w:rFonts w:ascii="Verdana" w:hAnsi="Verdana"/>
          <w:sz w:val="20"/>
          <w:szCs w:val="20"/>
        </w:rPr>
        <w:t>160</w:t>
      </w:r>
      <w:r>
        <w:rPr>
          <w:rFonts w:ascii="Verdana" w:hAnsi="Verdana"/>
          <w:sz w:val="20"/>
          <w:szCs w:val="20"/>
        </w:rPr>
        <w:t xml:space="preserve"> jurisdictions</w:t>
      </w:r>
      <w:r w:rsidR="002B6B22">
        <w:rPr>
          <w:rFonts w:ascii="Verdana" w:hAnsi="Verdana"/>
          <w:sz w:val="20"/>
          <w:szCs w:val="20"/>
        </w:rPr>
        <w:t>, 22 of which are higher risk</w:t>
      </w:r>
      <w:r w:rsidR="00B609BA">
        <w:rPr>
          <w:rFonts w:ascii="Verdana" w:hAnsi="Verdana"/>
          <w:sz w:val="20"/>
          <w:szCs w:val="20"/>
        </w:rPr>
        <w:t xml:space="preserve"> – this poses an increased risk </w:t>
      </w:r>
      <w:r>
        <w:rPr>
          <w:rFonts w:ascii="Verdana" w:hAnsi="Verdana"/>
          <w:sz w:val="20"/>
          <w:szCs w:val="20"/>
        </w:rPr>
        <w:t>from a ML/TF perspective</w:t>
      </w:r>
      <w:r w:rsidR="00B609BA">
        <w:rPr>
          <w:rFonts w:ascii="Verdana" w:hAnsi="Verdana"/>
          <w:sz w:val="20"/>
          <w:szCs w:val="20"/>
        </w:rPr>
        <w:t xml:space="preserve"> in respect </w:t>
      </w:r>
      <w:r w:rsidR="009C10B6">
        <w:rPr>
          <w:rFonts w:ascii="Verdana" w:hAnsi="Verdana"/>
          <w:sz w:val="20"/>
          <w:szCs w:val="20"/>
        </w:rPr>
        <w:t>of cross-border transactions and the need for SIB Licensees to be well versed in adherence to the AML/CFT requirements of multiple jurisdictions</w:t>
      </w:r>
      <w:r>
        <w:rPr>
          <w:rFonts w:ascii="Verdana" w:hAnsi="Verdana"/>
          <w:sz w:val="20"/>
          <w:szCs w:val="20"/>
        </w:rPr>
        <w:t>.</w:t>
      </w:r>
      <w:r w:rsidR="002B6B22">
        <w:rPr>
          <w:rFonts w:ascii="Verdana" w:hAnsi="Verdana"/>
          <w:sz w:val="20"/>
          <w:szCs w:val="20"/>
        </w:rPr>
        <w:t xml:space="preserve"> </w:t>
      </w:r>
      <w:r w:rsidR="002B6B22" w:rsidRPr="00B75B12">
        <w:rPr>
          <w:rFonts w:ascii="Verdana" w:hAnsi="Verdana" w:cs="Times New Roman"/>
          <w:color w:val="000000" w:themeColor="text1"/>
          <w:sz w:val="20"/>
          <w:szCs w:val="20"/>
          <w:lang w:val="en-US"/>
        </w:rPr>
        <w:t>Based on the analysis</w:t>
      </w:r>
      <w:r w:rsidR="002B6B22">
        <w:rPr>
          <w:rFonts w:ascii="Verdana" w:hAnsi="Verdana" w:cs="Times New Roman"/>
          <w:color w:val="000000" w:themeColor="text1"/>
          <w:sz w:val="20"/>
          <w:szCs w:val="20"/>
          <w:lang w:val="en-US"/>
        </w:rPr>
        <w:t xml:space="preserve"> above, </w:t>
      </w:r>
      <w:r w:rsidR="002B6B22">
        <w:rPr>
          <w:rFonts w:ascii="Verdana" w:hAnsi="Verdana" w:cs="Times New Roman"/>
          <w:color w:val="000000" w:themeColor="text1"/>
          <w:sz w:val="20"/>
          <w:szCs w:val="20"/>
          <w:lang w:val="en-US"/>
        </w:rPr>
        <w:t>the overall risk assessment is medium-high.</w:t>
      </w:r>
    </w:p>
    <w:p w14:paraId="268FD77C" w14:textId="63665A71" w:rsidR="005E3090" w:rsidRDefault="005E3090" w:rsidP="005E3090">
      <w:pPr>
        <w:spacing w:line="276" w:lineRule="auto"/>
        <w:jc w:val="both"/>
        <w:rPr>
          <w:rFonts w:ascii="Verdana" w:hAnsi="Verdana"/>
          <w:sz w:val="20"/>
          <w:szCs w:val="20"/>
        </w:rPr>
      </w:pPr>
    </w:p>
    <w:tbl>
      <w:tblPr>
        <w:tblStyle w:val="TableGrid"/>
        <w:tblW w:w="6750" w:type="dxa"/>
        <w:tblInd w:w="108" w:type="dxa"/>
        <w:shd w:val="clear" w:color="auto" w:fill="FFC000"/>
        <w:tblLook w:val="04A0" w:firstRow="1" w:lastRow="0" w:firstColumn="1" w:lastColumn="0" w:noHBand="0" w:noVBand="1"/>
      </w:tblPr>
      <w:tblGrid>
        <w:gridCol w:w="6750"/>
      </w:tblGrid>
      <w:tr w:rsidR="005E3090" w:rsidRPr="00B47CAF" w14:paraId="53379161" w14:textId="77777777" w:rsidTr="005E3090">
        <w:tc>
          <w:tcPr>
            <w:tcW w:w="6750" w:type="dxa"/>
            <w:shd w:val="clear" w:color="auto" w:fill="FFC000"/>
          </w:tcPr>
          <w:p w14:paraId="78A7AA27" w14:textId="59FF1C8C" w:rsidR="005E3090" w:rsidRPr="00B47CAF" w:rsidRDefault="005E3090" w:rsidP="00877173">
            <w:pPr>
              <w:jc w:val="both"/>
              <w:rPr>
                <w:rFonts w:ascii="Verdana" w:hAnsi="Verdana"/>
                <w:b/>
                <w:sz w:val="20"/>
                <w:szCs w:val="20"/>
              </w:rPr>
            </w:pPr>
            <w:r>
              <w:rPr>
                <w:rFonts w:ascii="Verdana" w:hAnsi="Verdana"/>
                <w:b/>
                <w:sz w:val="20"/>
                <w:szCs w:val="20"/>
              </w:rPr>
              <w:t>Geography</w:t>
            </w:r>
            <w:r w:rsidRPr="00B47CAF">
              <w:rPr>
                <w:rFonts w:ascii="Verdana" w:hAnsi="Verdana"/>
                <w:b/>
                <w:sz w:val="20"/>
                <w:szCs w:val="20"/>
              </w:rPr>
              <w:t xml:space="preserve"> </w:t>
            </w:r>
          </w:p>
        </w:tc>
      </w:tr>
      <w:tr w:rsidR="005E3090" w:rsidRPr="00B47CAF" w14:paraId="10572175" w14:textId="77777777" w:rsidTr="005E3090">
        <w:trPr>
          <w:trHeight w:val="70"/>
        </w:trPr>
        <w:tc>
          <w:tcPr>
            <w:tcW w:w="6750" w:type="dxa"/>
            <w:shd w:val="clear" w:color="auto" w:fill="FFC000"/>
          </w:tcPr>
          <w:p w14:paraId="15D10FC8" w14:textId="4429C296" w:rsidR="005E3090" w:rsidRPr="00B47CAF" w:rsidRDefault="005E3090" w:rsidP="00877173">
            <w:pPr>
              <w:pStyle w:val="ListParagraph"/>
              <w:ind w:left="0"/>
              <w:rPr>
                <w:rFonts w:ascii="Verdana" w:hAnsi="Verdana"/>
                <w:sz w:val="20"/>
                <w:szCs w:val="20"/>
              </w:rPr>
            </w:pPr>
            <w:r w:rsidRPr="00B47CAF">
              <w:rPr>
                <w:rFonts w:ascii="Verdana" w:hAnsi="Verdana"/>
                <w:sz w:val="20"/>
                <w:szCs w:val="20"/>
              </w:rPr>
              <w:t xml:space="preserve">Risk rating: </w:t>
            </w:r>
            <w:r w:rsidRPr="005E3090">
              <w:rPr>
                <w:rFonts w:ascii="Verdana" w:hAnsi="Verdana"/>
                <w:b/>
                <w:bCs/>
                <w:sz w:val="20"/>
                <w:szCs w:val="20"/>
              </w:rPr>
              <w:t>Medium</w:t>
            </w:r>
            <w:r>
              <w:rPr>
                <w:rFonts w:ascii="Verdana" w:hAnsi="Verdana"/>
                <w:b/>
                <w:bCs/>
                <w:sz w:val="20"/>
                <w:szCs w:val="20"/>
              </w:rPr>
              <w:t>-</w:t>
            </w:r>
            <w:r w:rsidRPr="00B47CAF">
              <w:rPr>
                <w:rFonts w:ascii="Verdana" w:hAnsi="Verdana"/>
                <w:b/>
                <w:sz w:val="20"/>
                <w:szCs w:val="20"/>
              </w:rPr>
              <w:t>High</w:t>
            </w:r>
          </w:p>
        </w:tc>
      </w:tr>
    </w:tbl>
    <w:p w14:paraId="2E8A08AE" w14:textId="77777777" w:rsidR="005E3090" w:rsidRDefault="005E3090" w:rsidP="005E3090">
      <w:pPr>
        <w:pStyle w:val="ListParagraph"/>
        <w:spacing w:line="276" w:lineRule="auto"/>
        <w:ind w:left="709"/>
        <w:jc w:val="both"/>
        <w:rPr>
          <w:rFonts w:ascii="Verdana" w:hAnsi="Verdana" w:cs="Times New Roman"/>
          <w:b/>
          <w:sz w:val="20"/>
          <w:szCs w:val="20"/>
        </w:rPr>
      </w:pPr>
    </w:p>
    <w:p w14:paraId="4280B285" w14:textId="77777777" w:rsidR="00017990" w:rsidRPr="00017990" w:rsidRDefault="00017990" w:rsidP="00017990">
      <w:pPr>
        <w:pStyle w:val="ListParagraph"/>
        <w:numPr>
          <w:ilvl w:val="0"/>
          <w:numId w:val="8"/>
        </w:numPr>
        <w:spacing w:line="276" w:lineRule="auto"/>
        <w:ind w:left="709" w:hanging="709"/>
        <w:jc w:val="both"/>
        <w:rPr>
          <w:rFonts w:ascii="Verdana" w:hAnsi="Verdana" w:cs="Times New Roman"/>
          <w:b/>
          <w:sz w:val="20"/>
          <w:szCs w:val="20"/>
        </w:rPr>
      </w:pPr>
      <w:r w:rsidRPr="00017990">
        <w:rPr>
          <w:rFonts w:ascii="Verdana" w:hAnsi="Verdana" w:cs="Times New Roman"/>
          <w:b/>
          <w:sz w:val="20"/>
          <w:szCs w:val="20"/>
        </w:rPr>
        <w:t>Mitigating Measures</w:t>
      </w:r>
    </w:p>
    <w:p w14:paraId="5E4D5EE6" w14:textId="77777777" w:rsidR="00017990" w:rsidRDefault="00017990" w:rsidP="00017990">
      <w:pPr>
        <w:rPr>
          <w:rFonts w:ascii="Verdana" w:eastAsiaTheme="majorEastAsia" w:hAnsi="Verdana" w:cstheme="majorBidi"/>
          <w:b/>
          <w:spacing w:val="5"/>
          <w:kern w:val="28"/>
        </w:rPr>
      </w:pPr>
    </w:p>
    <w:p w14:paraId="593E7B70" w14:textId="51806855" w:rsidR="00017990" w:rsidRPr="009226F9" w:rsidRDefault="00017990" w:rsidP="00017990">
      <w:pPr>
        <w:pStyle w:val="ListParagraph"/>
        <w:numPr>
          <w:ilvl w:val="0"/>
          <w:numId w:val="24"/>
        </w:numPr>
        <w:spacing w:line="276" w:lineRule="auto"/>
        <w:jc w:val="both"/>
        <w:rPr>
          <w:rFonts w:ascii="Verdana" w:hAnsi="Verdana"/>
          <w:sz w:val="20"/>
          <w:szCs w:val="20"/>
        </w:rPr>
      </w:pPr>
      <w:r w:rsidRPr="009226F9">
        <w:rPr>
          <w:rFonts w:ascii="Verdana" w:hAnsi="Verdana"/>
          <w:sz w:val="20"/>
          <w:szCs w:val="20"/>
        </w:rPr>
        <w:t>During onsite inspections, procedures are performed to ensure that</w:t>
      </w:r>
      <w:r w:rsidRPr="009226F9">
        <w:rPr>
          <w:rFonts w:ascii="Verdana" w:hAnsi="Verdana"/>
          <w:sz w:val="20"/>
          <w:szCs w:val="20"/>
        </w:rPr>
        <w:t xml:space="preserve"> SIB Licensees</w:t>
      </w:r>
      <w:r w:rsidRPr="009226F9">
        <w:rPr>
          <w:rFonts w:ascii="Verdana" w:hAnsi="Verdana"/>
          <w:sz w:val="20"/>
          <w:szCs w:val="20"/>
        </w:rPr>
        <w:t xml:space="preserve"> have an effective program for monitoring the </w:t>
      </w:r>
      <w:r w:rsidRPr="009226F9">
        <w:rPr>
          <w:rFonts w:ascii="Verdana" w:hAnsi="Verdana"/>
          <w:sz w:val="20"/>
          <w:szCs w:val="20"/>
        </w:rPr>
        <w:t xml:space="preserve">transactions, </w:t>
      </w:r>
      <w:r w:rsidRPr="009226F9">
        <w:rPr>
          <w:rFonts w:ascii="Verdana" w:hAnsi="Verdana"/>
          <w:sz w:val="20"/>
          <w:szCs w:val="20"/>
        </w:rPr>
        <w:t xml:space="preserve">outsourced services, particularly AML/CFT compliance services and the onboarding of clients through non face to face channels. Enhanced due diligence procedures are also expected to be performed for customers from high risk countries, with confirmation also obtained as part of the onsite inspection procedures.  Onsite inspections will continue to be conducted on </w:t>
      </w:r>
      <w:r w:rsidRPr="009226F9">
        <w:rPr>
          <w:rFonts w:ascii="Verdana" w:hAnsi="Verdana"/>
          <w:sz w:val="20"/>
          <w:szCs w:val="20"/>
        </w:rPr>
        <w:t>SIB Licensees</w:t>
      </w:r>
      <w:r w:rsidRPr="009226F9">
        <w:rPr>
          <w:rFonts w:ascii="Verdana" w:hAnsi="Verdana"/>
          <w:sz w:val="20"/>
          <w:szCs w:val="20"/>
        </w:rPr>
        <w:t xml:space="preserve"> in accordance with each licensee’s supervisory plan, which takes into consideration the results of the risk assessments, previous onsite inspections and remediation responses. </w:t>
      </w:r>
    </w:p>
    <w:p w14:paraId="4D126861" w14:textId="77777777" w:rsidR="00017990" w:rsidRPr="009226F9" w:rsidRDefault="00017990" w:rsidP="00017990">
      <w:pPr>
        <w:pStyle w:val="ListParagraph"/>
        <w:spacing w:line="276" w:lineRule="auto"/>
        <w:ind w:left="540"/>
        <w:jc w:val="both"/>
        <w:rPr>
          <w:rFonts w:ascii="Verdana" w:hAnsi="Verdana"/>
          <w:sz w:val="20"/>
          <w:szCs w:val="20"/>
        </w:rPr>
      </w:pPr>
    </w:p>
    <w:p w14:paraId="563B3245" w14:textId="0AD9AD7D" w:rsidR="00017990" w:rsidRPr="009226F9" w:rsidRDefault="00017990" w:rsidP="00017990">
      <w:pPr>
        <w:pStyle w:val="ListParagraph"/>
        <w:numPr>
          <w:ilvl w:val="0"/>
          <w:numId w:val="24"/>
        </w:numPr>
        <w:spacing w:line="276" w:lineRule="auto"/>
        <w:jc w:val="both"/>
        <w:rPr>
          <w:rFonts w:ascii="Verdana" w:hAnsi="Verdana"/>
          <w:sz w:val="20"/>
          <w:szCs w:val="20"/>
        </w:rPr>
      </w:pPr>
      <w:r w:rsidRPr="009226F9">
        <w:rPr>
          <w:rFonts w:ascii="Verdana" w:hAnsi="Verdana"/>
          <w:sz w:val="20"/>
          <w:szCs w:val="20"/>
        </w:rPr>
        <w:t xml:space="preserve">In addition, </w:t>
      </w:r>
      <w:r w:rsidRPr="009226F9">
        <w:rPr>
          <w:rFonts w:ascii="Verdana" w:hAnsi="Verdana"/>
          <w:sz w:val="20"/>
          <w:szCs w:val="20"/>
        </w:rPr>
        <w:t>SIB Licensees</w:t>
      </w:r>
      <w:r w:rsidRPr="009226F9">
        <w:rPr>
          <w:rFonts w:ascii="Verdana" w:hAnsi="Verdana"/>
          <w:sz w:val="20"/>
          <w:szCs w:val="20"/>
        </w:rPr>
        <w:t xml:space="preserve">, as they carry on relevant financial business as defined in Proceeds of Crime Law, are required to comply with the AMLRs. CIMA will continue to monitor their compliance with the AMLRs and Guidance Notes. </w:t>
      </w:r>
    </w:p>
    <w:p w14:paraId="38046386" w14:textId="77777777" w:rsidR="00017990" w:rsidRPr="009226F9" w:rsidRDefault="00017990" w:rsidP="00017990">
      <w:pPr>
        <w:pStyle w:val="ListParagraph"/>
        <w:spacing w:line="276" w:lineRule="auto"/>
        <w:ind w:left="540"/>
        <w:jc w:val="both"/>
        <w:rPr>
          <w:rFonts w:ascii="Verdana" w:hAnsi="Verdana"/>
          <w:sz w:val="20"/>
          <w:szCs w:val="20"/>
        </w:rPr>
      </w:pPr>
    </w:p>
    <w:p w14:paraId="1B6AD915" w14:textId="3AA1C9FA" w:rsidR="00017990" w:rsidRPr="009226F9" w:rsidRDefault="00017990" w:rsidP="00017990">
      <w:pPr>
        <w:pStyle w:val="ListParagraph"/>
        <w:numPr>
          <w:ilvl w:val="0"/>
          <w:numId w:val="24"/>
        </w:numPr>
        <w:spacing w:line="276" w:lineRule="auto"/>
        <w:jc w:val="both"/>
        <w:rPr>
          <w:rFonts w:ascii="Verdana" w:hAnsi="Verdana"/>
          <w:sz w:val="20"/>
          <w:szCs w:val="20"/>
        </w:rPr>
      </w:pPr>
      <w:r w:rsidRPr="009226F9">
        <w:rPr>
          <w:rFonts w:ascii="Verdana" w:hAnsi="Verdana"/>
          <w:sz w:val="20"/>
          <w:szCs w:val="20"/>
        </w:rPr>
        <w:t xml:space="preserve">Each </w:t>
      </w:r>
      <w:r w:rsidRPr="009226F9">
        <w:rPr>
          <w:rFonts w:ascii="Verdana" w:hAnsi="Verdana"/>
          <w:sz w:val="20"/>
          <w:szCs w:val="20"/>
        </w:rPr>
        <w:t>SIB Licensee’s</w:t>
      </w:r>
      <w:r w:rsidRPr="009226F9">
        <w:rPr>
          <w:rFonts w:ascii="Verdana" w:hAnsi="Verdana"/>
          <w:sz w:val="20"/>
          <w:szCs w:val="20"/>
        </w:rPr>
        <w:t xml:space="preserve"> risk assessment and supervisory plan is updated periodically, in keeping with its individual risk rating and includes a consideration of major events that can potentially impact on the supervisory risk response and overall rating. The analysis of the </w:t>
      </w:r>
      <w:r w:rsidRPr="009226F9">
        <w:rPr>
          <w:rFonts w:ascii="Verdana" w:hAnsi="Verdana"/>
          <w:sz w:val="20"/>
          <w:szCs w:val="20"/>
        </w:rPr>
        <w:t>SIB Licensee’s</w:t>
      </w:r>
      <w:r w:rsidRPr="009226F9">
        <w:rPr>
          <w:rFonts w:ascii="Verdana" w:hAnsi="Verdana"/>
          <w:sz w:val="20"/>
          <w:szCs w:val="20"/>
        </w:rPr>
        <w:t xml:space="preserve"> annual audited financial statements will also continue to be performed, supplemented with prudential meetings. </w:t>
      </w:r>
    </w:p>
    <w:p w14:paraId="4A9B4A5D" w14:textId="77777777" w:rsidR="00017990" w:rsidRDefault="00017990" w:rsidP="00017990">
      <w:pPr>
        <w:pStyle w:val="ListParagraph"/>
        <w:spacing w:line="276" w:lineRule="auto"/>
        <w:ind w:left="709"/>
        <w:jc w:val="both"/>
        <w:rPr>
          <w:rFonts w:ascii="Verdana" w:hAnsi="Verdana" w:cs="Times New Roman"/>
          <w:b/>
          <w:sz w:val="20"/>
          <w:szCs w:val="20"/>
        </w:rPr>
      </w:pPr>
    </w:p>
    <w:p w14:paraId="3E917AE5" w14:textId="6E2989E0" w:rsidR="00574DAC" w:rsidRPr="002D12D8" w:rsidRDefault="00574DAC" w:rsidP="002D12D8">
      <w:pPr>
        <w:pStyle w:val="ListParagraph"/>
        <w:numPr>
          <w:ilvl w:val="0"/>
          <w:numId w:val="8"/>
        </w:numPr>
        <w:spacing w:line="276" w:lineRule="auto"/>
        <w:ind w:left="709" w:hanging="709"/>
        <w:jc w:val="both"/>
        <w:rPr>
          <w:rFonts w:ascii="Verdana" w:hAnsi="Verdana" w:cs="Times New Roman"/>
          <w:b/>
          <w:sz w:val="20"/>
          <w:szCs w:val="20"/>
        </w:rPr>
      </w:pPr>
      <w:r w:rsidRPr="002D12D8">
        <w:rPr>
          <w:rFonts w:ascii="Verdana" w:hAnsi="Verdana" w:cs="Times New Roman"/>
          <w:b/>
          <w:sz w:val="20"/>
          <w:szCs w:val="20"/>
        </w:rPr>
        <w:t>O</w:t>
      </w:r>
      <w:r w:rsidR="00EF3E47">
        <w:rPr>
          <w:rFonts w:ascii="Verdana" w:hAnsi="Verdana" w:cs="Times New Roman"/>
          <w:b/>
          <w:sz w:val="20"/>
          <w:szCs w:val="20"/>
        </w:rPr>
        <w:t>VERALL CONCLUSION</w:t>
      </w:r>
      <w:r w:rsidRPr="002D12D8">
        <w:rPr>
          <w:rFonts w:ascii="Verdana" w:hAnsi="Verdana" w:cs="Times New Roman"/>
          <w:b/>
          <w:sz w:val="20"/>
          <w:szCs w:val="20"/>
        </w:rPr>
        <w:t xml:space="preserve"> </w:t>
      </w:r>
    </w:p>
    <w:p w14:paraId="194DA473" w14:textId="3260BBD6" w:rsidR="00094E1D" w:rsidRPr="00BB152E" w:rsidRDefault="00574DAC" w:rsidP="00BB152E">
      <w:pPr>
        <w:pStyle w:val="ListParagraph"/>
        <w:numPr>
          <w:ilvl w:val="0"/>
          <w:numId w:val="24"/>
        </w:numPr>
        <w:spacing w:line="276" w:lineRule="auto"/>
        <w:jc w:val="both"/>
        <w:rPr>
          <w:rFonts w:ascii="Verdana" w:hAnsi="Verdana"/>
          <w:sz w:val="20"/>
          <w:szCs w:val="20"/>
        </w:rPr>
      </w:pPr>
      <w:r w:rsidRPr="00094E1D">
        <w:rPr>
          <w:rFonts w:ascii="Verdana" w:hAnsi="Verdana"/>
          <w:sz w:val="20"/>
          <w:szCs w:val="20"/>
        </w:rPr>
        <w:t xml:space="preserve">CIMA has </w:t>
      </w:r>
      <w:r w:rsidR="005F12B2" w:rsidRPr="00094E1D">
        <w:rPr>
          <w:rFonts w:ascii="Verdana" w:hAnsi="Verdana"/>
          <w:sz w:val="20"/>
          <w:szCs w:val="20"/>
        </w:rPr>
        <w:t xml:space="preserve">undertaken </w:t>
      </w:r>
      <w:r w:rsidR="00094E1D" w:rsidRPr="00094E1D">
        <w:rPr>
          <w:rFonts w:ascii="Verdana" w:hAnsi="Verdana"/>
          <w:sz w:val="20"/>
          <w:szCs w:val="20"/>
        </w:rPr>
        <w:t>further</w:t>
      </w:r>
      <w:r w:rsidR="00094E1D" w:rsidRPr="00094E1D">
        <w:rPr>
          <w:rFonts w:ascii="Verdana" w:hAnsi="Verdana"/>
          <w:sz w:val="20"/>
          <w:szCs w:val="20"/>
        </w:rPr>
        <w:t xml:space="preserve"> </w:t>
      </w:r>
      <w:r w:rsidRPr="00094E1D">
        <w:rPr>
          <w:rFonts w:ascii="Verdana" w:hAnsi="Verdana"/>
          <w:sz w:val="20"/>
          <w:szCs w:val="20"/>
        </w:rPr>
        <w:t xml:space="preserve">analysis </w:t>
      </w:r>
      <w:r w:rsidR="005F12B2" w:rsidRPr="00094E1D">
        <w:rPr>
          <w:rFonts w:ascii="Verdana" w:hAnsi="Verdana"/>
          <w:sz w:val="20"/>
          <w:szCs w:val="20"/>
        </w:rPr>
        <w:t xml:space="preserve">of the data provided by </w:t>
      </w:r>
      <w:r w:rsidR="00AC3722">
        <w:rPr>
          <w:rFonts w:ascii="Verdana" w:hAnsi="Verdana"/>
          <w:sz w:val="20"/>
          <w:szCs w:val="20"/>
        </w:rPr>
        <w:t xml:space="preserve">the </w:t>
      </w:r>
      <w:r w:rsidR="00094E1D" w:rsidRPr="00094E1D">
        <w:rPr>
          <w:rFonts w:ascii="Verdana" w:hAnsi="Verdana"/>
          <w:sz w:val="20"/>
          <w:szCs w:val="20"/>
        </w:rPr>
        <w:t xml:space="preserve">83% of </w:t>
      </w:r>
      <w:r w:rsidR="00C00A9E" w:rsidRPr="00094E1D">
        <w:rPr>
          <w:rFonts w:ascii="Verdana" w:hAnsi="Verdana"/>
          <w:sz w:val="20"/>
          <w:szCs w:val="20"/>
        </w:rPr>
        <w:t>SIB Licensees</w:t>
      </w:r>
      <w:r w:rsidR="00AC3722">
        <w:rPr>
          <w:rFonts w:ascii="Verdana" w:hAnsi="Verdana"/>
          <w:sz w:val="20"/>
          <w:szCs w:val="20"/>
        </w:rPr>
        <w:t xml:space="preserve"> that responded to the AML/CFT survey</w:t>
      </w:r>
      <w:r w:rsidR="005F12B2" w:rsidRPr="00094E1D">
        <w:rPr>
          <w:rFonts w:ascii="Verdana" w:hAnsi="Verdana"/>
          <w:sz w:val="20"/>
          <w:szCs w:val="20"/>
        </w:rPr>
        <w:t xml:space="preserve">, </w:t>
      </w:r>
      <w:r w:rsidR="00BB152E">
        <w:rPr>
          <w:rFonts w:ascii="Verdana" w:hAnsi="Verdana"/>
          <w:sz w:val="20"/>
          <w:szCs w:val="20"/>
        </w:rPr>
        <w:t>in conjunction with</w:t>
      </w:r>
      <w:r w:rsidR="005F12B2" w:rsidRPr="00094E1D">
        <w:rPr>
          <w:rFonts w:ascii="Verdana" w:hAnsi="Verdana"/>
          <w:sz w:val="20"/>
          <w:szCs w:val="20"/>
        </w:rPr>
        <w:t xml:space="preserve"> the other data sources as outlined above, in order</w:t>
      </w:r>
      <w:r w:rsidRPr="00094E1D">
        <w:rPr>
          <w:rFonts w:ascii="Verdana" w:hAnsi="Verdana"/>
          <w:sz w:val="20"/>
          <w:szCs w:val="20"/>
        </w:rPr>
        <w:t xml:space="preserve"> to </w:t>
      </w:r>
      <w:r w:rsidR="002E7D36" w:rsidRPr="00094E1D">
        <w:rPr>
          <w:rFonts w:ascii="Verdana" w:hAnsi="Verdana"/>
          <w:sz w:val="20"/>
          <w:szCs w:val="20"/>
        </w:rPr>
        <w:t xml:space="preserve">make a determination </w:t>
      </w:r>
      <w:r w:rsidRPr="00094E1D">
        <w:rPr>
          <w:rFonts w:ascii="Verdana" w:hAnsi="Verdana"/>
          <w:sz w:val="20"/>
          <w:szCs w:val="20"/>
        </w:rPr>
        <w:t xml:space="preserve">on the </w:t>
      </w:r>
      <w:r w:rsidR="00113EA6" w:rsidRPr="00094E1D">
        <w:rPr>
          <w:rFonts w:ascii="Verdana" w:hAnsi="Verdana"/>
          <w:sz w:val="20"/>
          <w:szCs w:val="20"/>
        </w:rPr>
        <w:t>jurisdiction</w:t>
      </w:r>
      <w:r w:rsidRPr="00094E1D">
        <w:rPr>
          <w:rFonts w:ascii="Verdana" w:hAnsi="Verdana"/>
          <w:sz w:val="20"/>
          <w:szCs w:val="20"/>
        </w:rPr>
        <w:t xml:space="preserve">’s risk exposure to ML/TF </w:t>
      </w:r>
      <w:r w:rsidR="00AC3722">
        <w:rPr>
          <w:rFonts w:ascii="Verdana" w:hAnsi="Verdana"/>
          <w:sz w:val="20"/>
          <w:szCs w:val="20"/>
        </w:rPr>
        <w:t xml:space="preserve">risks </w:t>
      </w:r>
      <w:r w:rsidR="005F12B2" w:rsidRPr="00094E1D">
        <w:rPr>
          <w:rFonts w:ascii="Verdana" w:hAnsi="Verdana"/>
          <w:sz w:val="20"/>
          <w:szCs w:val="20"/>
        </w:rPr>
        <w:t xml:space="preserve">through the activities undertaken by SIB Licensees.  </w:t>
      </w:r>
      <w:r w:rsidR="00AC3722">
        <w:rPr>
          <w:rFonts w:ascii="Verdana" w:hAnsi="Verdana"/>
          <w:sz w:val="20"/>
          <w:szCs w:val="20"/>
        </w:rPr>
        <w:t>T</w:t>
      </w:r>
      <w:r w:rsidR="00094E1D" w:rsidRPr="00BB152E">
        <w:rPr>
          <w:rFonts w:ascii="Verdana" w:hAnsi="Verdana"/>
          <w:sz w:val="20"/>
          <w:szCs w:val="20"/>
        </w:rPr>
        <w:t>he risks emanating from</w:t>
      </w:r>
      <w:r w:rsidR="00AC3722">
        <w:rPr>
          <w:rFonts w:ascii="Verdana" w:hAnsi="Verdana"/>
          <w:sz w:val="20"/>
          <w:szCs w:val="20"/>
        </w:rPr>
        <w:t xml:space="preserve"> </w:t>
      </w:r>
      <w:r w:rsidR="00675EDB">
        <w:rPr>
          <w:rFonts w:ascii="Verdana" w:hAnsi="Verdana"/>
          <w:sz w:val="20"/>
          <w:szCs w:val="20"/>
        </w:rPr>
        <w:t>one</w:t>
      </w:r>
      <w:r w:rsidR="00AC3722">
        <w:rPr>
          <w:rFonts w:ascii="Verdana" w:hAnsi="Verdana"/>
          <w:sz w:val="20"/>
          <w:szCs w:val="20"/>
        </w:rPr>
        <w:t xml:space="preserve"> categor</w:t>
      </w:r>
      <w:r w:rsidR="00675EDB">
        <w:rPr>
          <w:rFonts w:ascii="Verdana" w:hAnsi="Verdana"/>
          <w:sz w:val="20"/>
          <w:szCs w:val="20"/>
        </w:rPr>
        <w:t>y</w:t>
      </w:r>
      <w:r w:rsidR="00AC3722">
        <w:rPr>
          <w:rFonts w:ascii="Verdana" w:hAnsi="Verdana"/>
          <w:sz w:val="20"/>
          <w:szCs w:val="20"/>
        </w:rPr>
        <w:t>, namely</w:t>
      </w:r>
      <w:r w:rsidR="00094E1D" w:rsidRPr="00BB152E">
        <w:rPr>
          <w:rFonts w:ascii="Verdana" w:hAnsi="Verdana"/>
          <w:sz w:val="20"/>
          <w:szCs w:val="20"/>
        </w:rPr>
        <w:t xml:space="preserve"> </w:t>
      </w:r>
      <w:r w:rsidR="00AC3722">
        <w:rPr>
          <w:rFonts w:ascii="Verdana" w:hAnsi="Verdana"/>
          <w:sz w:val="20"/>
          <w:szCs w:val="20"/>
        </w:rPr>
        <w:t xml:space="preserve">transactions, products and services are deemed high risk. However, as </w:t>
      </w:r>
      <w:r w:rsidR="00675EDB">
        <w:rPr>
          <w:rFonts w:ascii="Verdana" w:hAnsi="Verdana"/>
          <w:sz w:val="20"/>
          <w:szCs w:val="20"/>
        </w:rPr>
        <w:t>four</w:t>
      </w:r>
      <w:r w:rsidR="00AC3722">
        <w:rPr>
          <w:rFonts w:ascii="Verdana" w:hAnsi="Verdana"/>
          <w:sz w:val="20"/>
          <w:szCs w:val="20"/>
        </w:rPr>
        <w:t xml:space="preserve"> categories, namely </w:t>
      </w:r>
      <w:r w:rsidR="00675EDB" w:rsidRPr="00BB152E">
        <w:rPr>
          <w:rFonts w:ascii="Verdana" w:hAnsi="Verdana"/>
          <w:sz w:val="20"/>
          <w:szCs w:val="20"/>
        </w:rPr>
        <w:t xml:space="preserve">the </w:t>
      </w:r>
      <w:r w:rsidR="00675EDB">
        <w:rPr>
          <w:rFonts w:ascii="Verdana" w:hAnsi="Verdana"/>
          <w:sz w:val="20"/>
          <w:szCs w:val="20"/>
        </w:rPr>
        <w:t xml:space="preserve">nature, size and complexity </w:t>
      </w:r>
      <w:r w:rsidR="00094E1D" w:rsidRPr="00BB152E">
        <w:rPr>
          <w:rFonts w:ascii="Verdana" w:hAnsi="Verdana"/>
          <w:sz w:val="20"/>
          <w:szCs w:val="20"/>
        </w:rPr>
        <w:t>customers</w:t>
      </w:r>
      <w:r w:rsidR="00AC3722">
        <w:rPr>
          <w:rFonts w:ascii="Verdana" w:hAnsi="Verdana"/>
          <w:sz w:val="20"/>
          <w:szCs w:val="20"/>
        </w:rPr>
        <w:t>,</w:t>
      </w:r>
      <w:r w:rsidR="00094E1D" w:rsidRPr="00BB152E">
        <w:rPr>
          <w:rFonts w:ascii="Verdana" w:hAnsi="Verdana"/>
          <w:sz w:val="20"/>
          <w:szCs w:val="20"/>
        </w:rPr>
        <w:t xml:space="preserve"> geograph</w:t>
      </w:r>
      <w:r w:rsidR="00AC3722">
        <w:rPr>
          <w:rFonts w:ascii="Verdana" w:hAnsi="Verdana"/>
          <w:sz w:val="20"/>
          <w:szCs w:val="20"/>
        </w:rPr>
        <w:t>y and delivery channel</w:t>
      </w:r>
      <w:r w:rsidR="00094E1D" w:rsidRPr="00BB152E">
        <w:rPr>
          <w:rFonts w:ascii="Verdana" w:hAnsi="Verdana"/>
          <w:sz w:val="20"/>
          <w:szCs w:val="20"/>
        </w:rPr>
        <w:t xml:space="preserve"> </w:t>
      </w:r>
      <w:r w:rsidR="00AC3722">
        <w:rPr>
          <w:rFonts w:ascii="Verdana" w:hAnsi="Verdana"/>
          <w:sz w:val="20"/>
          <w:szCs w:val="20"/>
        </w:rPr>
        <w:t xml:space="preserve">are deemed medium high </w:t>
      </w:r>
      <w:r w:rsidR="00AC3722">
        <w:rPr>
          <w:rFonts w:ascii="Verdana" w:hAnsi="Verdana"/>
          <w:sz w:val="20"/>
          <w:szCs w:val="20"/>
        </w:rPr>
        <w:lastRenderedPageBreak/>
        <w:t>risk, t</w:t>
      </w:r>
      <w:r w:rsidR="00094E1D" w:rsidRPr="00BB152E">
        <w:rPr>
          <w:rFonts w:ascii="Verdana" w:hAnsi="Verdana"/>
          <w:sz w:val="20"/>
          <w:szCs w:val="20"/>
        </w:rPr>
        <w:t xml:space="preserve">he </w:t>
      </w:r>
      <w:r w:rsidR="00AC3722">
        <w:rPr>
          <w:rFonts w:ascii="Verdana" w:hAnsi="Verdana"/>
          <w:sz w:val="20"/>
          <w:szCs w:val="20"/>
        </w:rPr>
        <w:t xml:space="preserve">overall </w:t>
      </w:r>
      <w:r w:rsidR="00094E1D" w:rsidRPr="00BB152E">
        <w:rPr>
          <w:rFonts w:ascii="Verdana" w:hAnsi="Verdana"/>
          <w:sz w:val="20"/>
          <w:szCs w:val="20"/>
        </w:rPr>
        <w:t xml:space="preserve">weighting of </w:t>
      </w:r>
      <w:r w:rsidR="00AC3722">
        <w:rPr>
          <w:rFonts w:ascii="Verdana" w:hAnsi="Verdana"/>
          <w:sz w:val="20"/>
          <w:szCs w:val="20"/>
        </w:rPr>
        <w:t xml:space="preserve">all five </w:t>
      </w:r>
      <w:r w:rsidR="00094E1D" w:rsidRPr="00BB152E">
        <w:rPr>
          <w:rFonts w:ascii="Verdana" w:hAnsi="Verdana"/>
          <w:sz w:val="20"/>
          <w:szCs w:val="20"/>
        </w:rPr>
        <w:t>factor</w:t>
      </w:r>
      <w:r w:rsidR="00AC3722">
        <w:rPr>
          <w:rFonts w:ascii="Verdana" w:hAnsi="Verdana"/>
          <w:sz w:val="20"/>
          <w:szCs w:val="20"/>
        </w:rPr>
        <w:t>s</w:t>
      </w:r>
      <w:r w:rsidR="00094E1D" w:rsidRPr="00BB152E">
        <w:rPr>
          <w:rFonts w:ascii="Verdana" w:hAnsi="Verdana"/>
          <w:sz w:val="20"/>
          <w:szCs w:val="20"/>
        </w:rPr>
        <w:t xml:space="preserve"> resulted in a composite ML/TF risk rating of medium-high for the sub sector.</w:t>
      </w:r>
    </w:p>
    <w:p w14:paraId="1E85A9DA" w14:textId="64D4EB80" w:rsidR="005A20BD" w:rsidRPr="005E3090" w:rsidRDefault="005A20BD" w:rsidP="00BB152E">
      <w:pPr>
        <w:pStyle w:val="ListParagraph"/>
        <w:spacing w:line="276" w:lineRule="auto"/>
        <w:ind w:left="540"/>
        <w:jc w:val="both"/>
        <w:rPr>
          <w:rFonts w:ascii="Verdana" w:hAnsi="Verdana"/>
          <w:sz w:val="20"/>
          <w:szCs w:val="20"/>
        </w:rPr>
      </w:pPr>
    </w:p>
    <w:sectPr w:rsidR="005A20BD" w:rsidRPr="005E3090" w:rsidSect="00BB152E">
      <w:headerReference w:type="default" r:id="rId9"/>
      <w:footerReference w:type="default" r:id="rId10"/>
      <w:head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CAB4" w14:textId="77777777" w:rsidR="004C0493" w:rsidRDefault="004C0493" w:rsidP="00855B2E">
      <w:r>
        <w:separator/>
      </w:r>
    </w:p>
  </w:endnote>
  <w:endnote w:type="continuationSeparator" w:id="0">
    <w:p w14:paraId="77C39747" w14:textId="77777777" w:rsidR="004C0493" w:rsidRDefault="004C0493" w:rsidP="008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74659"/>
      <w:docPartObj>
        <w:docPartGallery w:val="Page Numbers (Bottom of Page)"/>
        <w:docPartUnique/>
      </w:docPartObj>
    </w:sdtPr>
    <w:sdtEndPr>
      <w:rPr>
        <w:noProof/>
      </w:rPr>
    </w:sdtEndPr>
    <w:sdtContent>
      <w:p w14:paraId="30ED1429" w14:textId="77777777" w:rsidR="006904FE" w:rsidRDefault="006904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2B24B1" w14:textId="77777777" w:rsidR="006904FE" w:rsidRDefault="00690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CBD9" w14:textId="77777777" w:rsidR="004C0493" w:rsidRDefault="004C0493" w:rsidP="00855B2E">
      <w:r>
        <w:separator/>
      </w:r>
    </w:p>
  </w:footnote>
  <w:footnote w:type="continuationSeparator" w:id="0">
    <w:p w14:paraId="33257A4E" w14:textId="77777777" w:rsidR="004C0493" w:rsidRDefault="004C0493" w:rsidP="00855B2E">
      <w:r>
        <w:continuationSeparator/>
      </w:r>
    </w:p>
  </w:footnote>
  <w:footnote w:id="1">
    <w:p w14:paraId="59C287DF" w14:textId="49354307" w:rsidR="006904FE" w:rsidRPr="00EB06C6" w:rsidRDefault="006904FE" w:rsidP="007D61F5">
      <w:pPr>
        <w:pStyle w:val="FootnoteText"/>
        <w:rPr>
          <w:rFonts w:ascii="Verdana" w:hAnsi="Verdana"/>
          <w:sz w:val="16"/>
          <w:szCs w:val="16"/>
        </w:rPr>
      </w:pPr>
      <w:r w:rsidRPr="00EB06C6">
        <w:rPr>
          <w:rStyle w:val="FootnoteReference"/>
          <w:rFonts w:ascii="Verdana" w:hAnsi="Verdana"/>
          <w:sz w:val="16"/>
          <w:szCs w:val="16"/>
        </w:rPr>
        <w:footnoteRef/>
      </w:r>
      <w:r w:rsidRPr="00EB06C6">
        <w:rPr>
          <w:rFonts w:ascii="Verdana" w:hAnsi="Verdana"/>
          <w:sz w:val="16"/>
          <w:szCs w:val="16"/>
        </w:rPr>
        <w:t xml:space="preserve"> </w:t>
      </w:r>
      <w:bookmarkStart w:id="2" w:name="_Hlk30493870"/>
      <w:r w:rsidRPr="00EB06C6">
        <w:rPr>
          <w:rFonts w:ascii="Verdana" w:hAnsi="Verdana"/>
          <w:sz w:val="16"/>
          <w:szCs w:val="16"/>
        </w:rPr>
        <w:fldChar w:fldCharType="begin"/>
      </w:r>
      <w:r w:rsidRPr="00EB06C6">
        <w:rPr>
          <w:rFonts w:ascii="Verdana" w:hAnsi="Verdana"/>
          <w:sz w:val="16"/>
          <w:szCs w:val="16"/>
        </w:rPr>
        <w:instrText xml:space="preserve"> HYPERLINK "http://www.fatf-gafi.org/media/fatf/documents/recommendations/pdfs/RBA-Securities-Sector.pdf" </w:instrText>
      </w:r>
      <w:r w:rsidRPr="00EB06C6">
        <w:rPr>
          <w:rFonts w:ascii="Verdana" w:hAnsi="Verdana"/>
          <w:sz w:val="16"/>
          <w:szCs w:val="16"/>
        </w:rPr>
        <w:fldChar w:fldCharType="separate"/>
      </w:r>
      <w:r w:rsidRPr="00EB06C6">
        <w:rPr>
          <w:rStyle w:val="Hyperlink"/>
          <w:rFonts w:ascii="Verdana" w:hAnsi="Verdana"/>
          <w:color w:val="auto"/>
          <w:sz w:val="16"/>
          <w:szCs w:val="16"/>
        </w:rPr>
        <w:t>http://www.fatf-gafi.org/media/fatf/documents/recommendations/pdfs/RBA-Securities-Sector.pdf</w:t>
      </w:r>
      <w:r w:rsidRPr="00EB06C6">
        <w:rPr>
          <w:rFonts w:ascii="Verdana" w:hAnsi="Verdana"/>
          <w:sz w:val="16"/>
          <w:szCs w:val="16"/>
        </w:rPr>
        <w:fldChar w:fldCharType="end"/>
      </w:r>
      <w:r w:rsidRPr="00EB06C6">
        <w:rPr>
          <w:rFonts w:ascii="Verdana" w:hAnsi="Verdana"/>
          <w:sz w:val="16"/>
          <w:szCs w:val="16"/>
        </w:rPr>
        <w:t xml:space="preserve">;   </w:t>
      </w:r>
      <w:bookmarkStart w:id="3" w:name="_Hlk30493887"/>
      <w:bookmarkEnd w:id="2"/>
      <w:r w:rsidRPr="00EB06C6">
        <w:rPr>
          <w:rFonts w:ascii="Verdana" w:hAnsi="Verdana"/>
          <w:sz w:val="16"/>
          <w:szCs w:val="16"/>
        </w:rPr>
        <w:fldChar w:fldCharType="begin"/>
      </w:r>
      <w:r w:rsidRPr="00EB06C6">
        <w:rPr>
          <w:rFonts w:ascii="Verdana" w:hAnsi="Verdana"/>
          <w:sz w:val="16"/>
          <w:szCs w:val="16"/>
        </w:rPr>
        <w:instrText xml:space="preserve"> HYPERLINK "https://www.un.org/securitycouncil/sanctions/information" </w:instrText>
      </w:r>
      <w:r w:rsidRPr="00EB06C6">
        <w:rPr>
          <w:rFonts w:ascii="Verdana" w:hAnsi="Verdana"/>
          <w:sz w:val="16"/>
          <w:szCs w:val="16"/>
        </w:rPr>
        <w:fldChar w:fldCharType="separate"/>
      </w:r>
      <w:r w:rsidRPr="00EB06C6">
        <w:rPr>
          <w:rStyle w:val="Hyperlink"/>
          <w:rFonts w:ascii="Verdana" w:hAnsi="Verdana"/>
          <w:sz w:val="16"/>
          <w:szCs w:val="16"/>
        </w:rPr>
        <w:t>https://www.un.org/securitycouncil/sanctions/information</w:t>
      </w:r>
      <w:r w:rsidRPr="00EB06C6">
        <w:rPr>
          <w:rFonts w:ascii="Verdana" w:hAnsi="Verdana"/>
          <w:sz w:val="16"/>
          <w:szCs w:val="16"/>
        </w:rPr>
        <w:fldChar w:fldCharType="end"/>
      </w:r>
      <w:r w:rsidRPr="00EB06C6">
        <w:rPr>
          <w:rFonts w:ascii="Verdana" w:hAnsi="Verdana"/>
          <w:sz w:val="16"/>
          <w:szCs w:val="16"/>
        </w:rPr>
        <w:t xml:space="preserve"> </w:t>
      </w:r>
    </w:p>
    <w:p w14:paraId="31A9E62F" w14:textId="39A7C13C" w:rsidR="006904FE" w:rsidRPr="00EB06C6" w:rsidRDefault="006904FE" w:rsidP="007D61F5">
      <w:pPr>
        <w:pStyle w:val="FootnoteText"/>
        <w:rPr>
          <w:rStyle w:val="Hyperlink"/>
          <w:rFonts w:ascii="Verdana" w:hAnsi="Verdana"/>
          <w:color w:val="auto"/>
          <w:sz w:val="16"/>
          <w:szCs w:val="16"/>
        </w:rPr>
      </w:pPr>
      <w:hyperlink r:id="rId1" w:history="1">
        <w:r w:rsidRPr="00EB06C6">
          <w:rPr>
            <w:rStyle w:val="Hyperlink"/>
            <w:rFonts w:ascii="Verdana" w:hAnsi="Verdana"/>
            <w:color w:val="auto"/>
            <w:sz w:val="16"/>
            <w:szCs w:val="16"/>
          </w:rPr>
          <w:t>https://www.baselgovernance.org/basel-aml-index/public-ranking</w:t>
        </w:r>
      </w:hyperlink>
      <w:bookmarkEnd w:id="3"/>
    </w:p>
    <w:p w14:paraId="73ACF53C" w14:textId="17955147" w:rsidR="006904FE" w:rsidRPr="00EB06C6" w:rsidRDefault="006904FE" w:rsidP="007D61F5">
      <w:pPr>
        <w:pStyle w:val="FootnoteText"/>
        <w:rPr>
          <w:rFonts w:ascii="Verdana" w:hAnsi="Verdana"/>
          <w:sz w:val="16"/>
          <w:szCs w:val="16"/>
          <w:lang w:val="en-US"/>
        </w:rPr>
      </w:pPr>
      <w:hyperlink r:id="rId2" w:anchor="high-risk" w:history="1">
        <w:r w:rsidRPr="00EB06C6">
          <w:rPr>
            <w:rStyle w:val="Hyperlink"/>
            <w:rFonts w:ascii="Verdana" w:hAnsi="Verdana"/>
            <w:sz w:val="16"/>
            <w:szCs w:val="16"/>
          </w:rPr>
          <w:t>http://www.fatf-gafi.org/</w:t>
        </w:r>
        <w:r>
          <w:rPr>
            <w:rStyle w:val="Hyperlink"/>
            <w:rFonts w:ascii="Verdana" w:hAnsi="Verdana"/>
            <w:sz w:val="16"/>
            <w:szCs w:val="16"/>
          </w:rPr>
          <w:t>jurisdictions</w:t>
        </w:r>
        <w:r w:rsidRPr="00EB06C6">
          <w:rPr>
            <w:rStyle w:val="Hyperlink"/>
            <w:rFonts w:ascii="Verdana" w:hAnsi="Verdana"/>
            <w:sz w:val="16"/>
            <w:szCs w:val="16"/>
          </w:rPr>
          <w:t>/#high-risk</w:t>
        </w:r>
      </w:hyperlink>
      <w:r w:rsidRPr="00EB06C6">
        <w:rPr>
          <w:rFonts w:ascii="Verdana" w:hAnsi="Verdana"/>
          <w:sz w:val="16"/>
          <w:szCs w:val="16"/>
        </w:rPr>
        <w:t>.</w:t>
      </w:r>
    </w:p>
  </w:footnote>
  <w:footnote w:id="2">
    <w:p w14:paraId="3E4571A8" w14:textId="77777777" w:rsidR="006904FE" w:rsidRPr="00116BC6" w:rsidRDefault="006904FE" w:rsidP="007D61F5">
      <w:pPr>
        <w:pStyle w:val="FootnoteText"/>
        <w:rPr>
          <w:rFonts w:ascii="Verdana" w:hAnsi="Verdana"/>
          <w:sz w:val="16"/>
          <w:szCs w:val="16"/>
          <w:lang w:val="en-US"/>
        </w:rPr>
      </w:pPr>
      <w:r w:rsidRPr="00EB06C6">
        <w:rPr>
          <w:rStyle w:val="FootnoteReference"/>
          <w:rFonts w:ascii="Verdana" w:hAnsi="Verdana"/>
          <w:sz w:val="16"/>
          <w:szCs w:val="16"/>
        </w:rPr>
        <w:footnoteRef/>
      </w:r>
      <w:r w:rsidRPr="00EB06C6">
        <w:rPr>
          <w:rFonts w:ascii="Verdana" w:hAnsi="Verdana"/>
          <w:sz w:val="16"/>
          <w:szCs w:val="16"/>
        </w:rPr>
        <w:t xml:space="preserve"> </w:t>
      </w:r>
      <w:hyperlink r:id="rId3" w:history="1">
        <w:r w:rsidRPr="00EB06C6">
          <w:rPr>
            <w:rStyle w:val="Hyperlink"/>
            <w:rFonts w:ascii="Verdana" w:hAnsi="Verdana"/>
            <w:color w:val="auto"/>
            <w:sz w:val="16"/>
            <w:szCs w:val="16"/>
          </w:rPr>
          <w:t>https://www.cima.ky/guidance-notes</w:t>
        </w:r>
      </w:hyperlink>
    </w:p>
  </w:footnote>
  <w:footnote w:id="3">
    <w:p w14:paraId="707E1784" w14:textId="44A23543" w:rsidR="006904FE" w:rsidRPr="00C6242A" w:rsidRDefault="006904FE" w:rsidP="00C6242A">
      <w:pPr>
        <w:pStyle w:val="FootnoteText"/>
        <w:jc w:val="both"/>
        <w:rPr>
          <w:sz w:val="16"/>
          <w:szCs w:val="16"/>
          <w:lang w:val="en-US"/>
        </w:rPr>
      </w:pPr>
      <w:r>
        <w:rPr>
          <w:rStyle w:val="FootnoteReference"/>
        </w:rPr>
        <w:footnoteRef/>
      </w:r>
      <w:r>
        <w:t xml:space="preserve"> </w:t>
      </w:r>
      <w:r w:rsidRPr="00C6242A">
        <w:rPr>
          <w:rFonts w:ascii="Verdana" w:hAnsi="Verdana"/>
          <w:color w:val="000000" w:themeColor="text1"/>
          <w:sz w:val="16"/>
          <w:szCs w:val="16"/>
        </w:rPr>
        <w:t>It should be noted that Registered Persons, previously known as Excluded Persons, which provide the same services (</w:t>
      </w:r>
      <w:r w:rsidRPr="00C6242A">
        <w:rPr>
          <w:rFonts w:ascii="Verdana" w:hAnsi="Verdana"/>
          <w:sz w:val="16"/>
          <w:szCs w:val="16"/>
        </w:rPr>
        <w:t xml:space="preserve">to high net worth and sophisticated persons or to entities whose investors are high net worth and sophisticated persons; and those regulated by overseas regulators) that </w:t>
      </w:r>
      <w:r w:rsidRPr="00C6242A">
        <w:rPr>
          <w:rFonts w:ascii="Verdana" w:hAnsi="Verdana"/>
          <w:color w:val="000000" w:themeColor="text1"/>
          <w:sz w:val="16"/>
          <w:szCs w:val="16"/>
        </w:rPr>
        <w:t xml:space="preserve"> were exempt from the requirement to be licensed, pursuant to schedule 4 of the Securities Investment Business Law (2019 Revision) (SIBL), </w:t>
      </w:r>
      <w:r w:rsidRPr="00C6242A">
        <w:rPr>
          <w:rFonts w:ascii="Verdana" w:hAnsi="Verdana"/>
          <w:sz w:val="16"/>
          <w:szCs w:val="16"/>
        </w:rPr>
        <w:t>are not considered for the purposes of this report. A separate report for this sub-sector was submitted to the CFATF in February 2020 to cover the sectoral assessment for this sub-sector of securities investment businesses that are operating in or from within the Cayman Islands</w:t>
      </w:r>
      <w:r>
        <w:rPr>
          <w:rFonts w:ascii="Verdana" w:hAnsi="Verdana"/>
          <w:sz w:val="16"/>
          <w:szCs w:val="16"/>
        </w:rPr>
        <w:t>.</w:t>
      </w:r>
    </w:p>
  </w:footnote>
  <w:footnote w:id="4">
    <w:p w14:paraId="0CAC3250" w14:textId="65D1F12B" w:rsidR="006904FE" w:rsidRPr="00E46D41" w:rsidRDefault="006904FE" w:rsidP="00E46D41">
      <w:pPr>
        <w:pStyle w:val="FootnoteText"/>
        <w:jc w:val="both"/>
        <w:rPr>
          <w:lang w:val="en-US"/>
        </w:rPr>
      </w:pPr>
      <w:r>
        <w:rPr>
          <w:rStyle w:val="FootnoteReference"/>
        </w:rPr>
        <w:footnoteRef/>
      </w:r>
      <w:r>
        <w:t xml:space="preserve"> </w:t>
      </w:r>
      <w:r w:rsidRPr="00D719B4">
        <w:rPr>
          <w:rFonts w:ascii="Verdana" w:hAnsi="Verdana" w:cstheme="minorHAnsi"/>
          <w:color w:val="000000" w:themeColor="text1"/>
          <w:sz w:val="16"/>
          <w:szCs w:val="16"/>
          <w:lang w:val="en-US"/>
        </w:rPr>
        <w:t xml:space="preserve">Inherent risk is the risk that a </w:t>
      </w:r>
      <w:proofErr w:type="gramStart"/>
      <w:r w:rsidRPr="00D719B4">
        <w:rPr>
          <w:rFonts w:ascii="Verdana" w:hAnsi="Verdana" w:cstheme="minorHAnsi"/>
          <w:color w:val="000000" w:themeColor="text1"/>
          <w:sz w:val="16"/>
          <w:szCs w:val="16"/>
          <w:lang w:val="en-US"/>
        </w:rPr>
        <w:t>particular product/service</w:t>
      </w:r>
      <w:proofErr w:type="gramEnd"/>
      <w:r w:rsidRPr="00D719B4">
        <w:rPr>
          <w:rFonts w:ascii="Verdana" w:hAnsi="Verdana" w:cstheme="minorHAnsi"/>
          <w:color w:val="000000" w:themeColor="text1"/>
          <w:sz w:val="16"/>
          <w:szCs w:val="16"/>
          <w:lang w:val="en-US"/>
        </w:rPr>
        <w:t>, customer, delivery channel or activity poses, regardless of the entity that offers it and not considering any risk mitigating controls that may be in place.</w:t>
      </w:r>
      <w:r w:rsidR="00CC4F28">
        <w:rPr>
          <w:rFonts w:ascii="Verdana" w:hAnsi="Verdana" w:cstheme="minorHAnsi"/>
          <w:color w:val="000000" w:themeColor="text1"/>
          <w:sz w:val="16"/>
          <w:szCs w:val="16"/>
          <w:lang w:val="en-US"/>
        </w:rPr>
        <w:t xml:space="preserve"> </w:t>
      </w:r>
      <w:r>
        <w:rPr>
          <w:rFonts w:ascii="Verdana" w:hAnsi="Verdana" w:cstheme="minorHAnsi"/>
          <w:color w:val="000000" w:themeColor="text1"/>
          <w:sz w:val="16"/>
          <w:szCs w:val="16"/>
          <w:lang w:val="en-US"/>
        </w:rPr>
        <w:t>This approach allows for the creation of peer groups and for the benchmarking of expected controls which vary significantly for each SIB Licensee and is expected to be commensurate with the inherent risk that each SIB Licensee faces.</w:t>
      </w:r>
    </w:p>
  </w:footnote>
  <w:footnote w:id="5">
    <w:p w14:paraId="2829CAF5" w14:textId="77777777" w:rsidR="006904FE" w:rsidRPr="00EB06C6" w:rsidRDefault="006904FE" w:rsidP="00D719B4">
      <w:pPr>
        <w:pStyle w:val="FootnoteText"/>
        <w:rPr>
          <w:rFonts w:ascii="Verdana" w:hAnsi="Verdana"/>
          <w:sz w:val="16"/>
          <w:szCs w:val="16"/>
          <w:lang w:val="en-US"/>
        </w:rPr>
      </w:pPr>
      <w:r w:rsidRPr="00EB06C6">
        <w:rPr>
          <w:rStyle w:val="FootnoteReference"/>
          <w:rFonts w:ascii="Verdana" w:hAnsi="Verdana"/>
          <w:sz w:val="16"/>
          <w:szCs w:val="16"/>
        </w:rPr>
        <w:footnoteRef/>
      </w:r>
      <w:r w:rsidRPr="00EB06C6">
        <w:rPr>
          <w:rFonts w:ascii="Verdana" w:hAnsi="Verdana"/>
          <w:sz w:val="16"/>
          <w:szCs w:val="16"/>
        </w:rPr>
        <w:t xml:space="preserve"> </w:t>
      </w:r>
      <w:r w:rsidRPr="00EB06C6">
        <w:rPr>
          <w:rFonts w:ascii="Verdana" w:hAnsi="Verdana"/>
          <w:sz w:val="16"/>
          <w:szCs w:val="16"/>
          <w:lang w:val="en-US"/>
        </w:rPr>
        <w:t>Based on the 83% of SIB Licensees that responded to the AML/CFT survey</w:t>
      </w:r>
      <w:r>
        <w:rPr>
          <w:rFonts w:ascii="Verdana" w:hAnsi="Verdana"/>
          <w:sz w:val="16"/>
          <w:szCs w:val="16"/>
          <w:lang w:val="en-US"/>
        </w:rPr>
        <w:t xml:space="preserve"> and covering the period </w:t>
      </w:r>
      <w:r w:rsidRPr="00330122">
        <w:rPr>
          <w:rFonts w:ascii="Verdana" w:hAnsi="Verdana"/>
          <w:color w:val="000000" w:themeColor="text1"/>
          <w:sz w:val="16"/>
          <w:szCs w:val="16"/>
        </w:rPr>
        <w:t>1 July 2018 to 30 June 2019</w:t>
      </w:r>
      <w:r w:rsidRPr="00EB06C6">
        <w:rPr>
          <w:rFonts w:ascii="Verdana" w:hAnsi="Verdana"/>
          <w:sz w:val="16"/>
          <w:szCs w:val="16"/>
          <w:lang w:val="en-US"/>
        </w:rPr>
        <w:t>.</w:t>
      </w:r>
    </w:p>
  </w:footnote>
  <w:footnote w:id="6">
    <w:p w14:paraId="292582EC" w14:textId="713001EB" w:rsidR="006904FE" w:rsidRPr="009D1F03" w:rsidRDefault="006904FE" w:rsidP="00CF22F3">
      <w:pPr>
        <w:pStyle w:val="FootnoteText"/>
        <w:jc w:val="both"/>
        <w:rPr>
          <w:rFonts w:ascii="Verdana" w:hAnsi="Verdana"/>
          <w:sz w:val="16"/>
          <w:szCs w:val="16"/>
        </w:rPr>
      </w:pPr>
      <w:r w:rsidRPr="009D1F03">
        <w:rPr>
          <w:rStyle w:val="FootnoteReference"/>
          <w:rFonts w:ascii="Verdana" w:hAnsi="Verdana"/>
          <w:sz w:val="16"/>
          <w:szCs w:val="16"/>
        </w:rPr>
        <w:footnoteRef/>
      </w:r>
      <w:r w:rsidRPr="009D1F03">
        <w:rPr>
          <w:rFonts w:ascii="Verdana" w:hAnsi="Verdana"/>
          <w:sz w:val="16"/>
          <w:szCs w:val="16"/>
        </w:rPr>
        <w:t xml:space="preserve"> This includes </w:t>
      </w:r>
      <w:proofErr w:type="gramStart"/>
      <w:r w:rsidRPr="009D1F03">
        <w:rPr>
          <w:rFonts w:ascii="Verdana" w:hAnsi="Verdana"/>
          <w:sz w:val="16"/>
          <w:szCs w:val="16"/>
        </w:rPr>
        <w:t>making arrangements</w:t>
      </w:r>
      <w:proofErr w:type="gramEnd"/>
      <w:r w:rsidRPr="009D1F03">
        <w:rPr>
          <w:rFonts w:ascii="Verdana" w:hAnsi="Verdana"/>
          <w:sz w:val="16"/>
          <w:szCs w:val="16"/>
        </w:rPr>
        <w:t xml:space="preserve"> with respect to the buying, selling, subscribing for or underwriting securities as an agent or principal.</w:t>
      </w:r>
    </w:p>
    <w:p w14:paraId="59C693AC" w14:textId="77777777" w:rsidR="006904FE" w:rsidRPr="009D1F03" w:rsidRDefault="006904FE" w:rsidP="00CF22F3">
      <w:pPr>
        <w:pStyle w:val="FootnoteText"/>
        <w:jc w:val="both"/>
        <w:rPr>
          <w:rFonts w:ascii="Verdana" w:hAnsi="Verdana"/>
          <w:sz w:val="16"/>
          <w:szCs w:val="16"/>
          <w:lang w:val="en-US"/>
        </w:rPr>
      </w:pPr>
    </w:p>
  </w:footnote>
  <w:footnote w:id="7">
    <w:p w14:paraId="4367E424" w14:textId="5029B79F" w:rsidR="006904FE" w:rsidRPr="009D1F03" w:rsidRDefault="006904FE" w:rsidP="00CF22F3">
      <w:pPr>
        <w:pStyle w:val="FootnoteText"/>
        <w:jc w:val="both"/>
        <w:rPr>
          <w:rFonts w:ascii="Verdana" w:hAnsi="Verdana"/>
          <w:sz w:val="16"/>
          <w:szCs w:val="16"/>
        </w:rPr>
      </w:pPr>
      <w:r w:rsidRPr="009D1F03">
        <w:rPr>
          <w:rStyle w:val="FootnoteReference"/>
          <w:rFonts w:ascii="Verdana" w:hAnsi="Verdana"/>
          <w:sz w:val="16"/>
          <w:szCs w:val="16"/>
        </w:rPr>
        <w:footnoteRef/>
      </w:r>
      <w:r w:rsidRPr="009D1F03">
        <w:rPr>
          <w:rFonts w:ascii="Verdana" w:hAnsi="Verdana"/>
          <w:sz w:val="16"/>
          <w:szCs w:val="16"/>
        </w:rPr>
        <w:t xml:space="preserve"> This includes giving advice to third parties in their capacity as an investor or potential investor or as agent for an investor or potential investor; or giving advice on the merits of buying, selling, subscribing for or underwriting securities or the exercise of any rights conferred by a security, as an agent or principal.</w:t>
      </w:r>
    </w:p>
    <w:p w14:paraId="6B76363C" w14:textId="77777777" w:rsidR="006904FE" w:rsidRPr="009D1F03" w:rsidRDefault="006904FE" w:rsidP="00CF22F3">
      <w:pPr>
        <w:pStyle w:val="FootnoteText"/>
        <w:jc w:val="both"/>
        <w:rPr>
          <w:rFonts w:ascii="Verdana" w:hAnsi="Verdana"/>
          <w:sz w:val="16"/>
          <w:szCs w:val="16"/>
          <w:lang w:val="en-US"/>
        </w:rPr>
      </w:pPr>
    </w:p>
  </w:footnote>
  <w:footnote w:id="8">
    <w:p w14:paraId="7BD2A479" w14:textId="085815FF" w:rsidR="006904FE" w:rsidRPr="009D1F03" w:rsidRDefault="006904FE" w:rsidP="00CF22F3">
      <w:pPr>
        <w:pStyle w:val="FootnoteText"/>
        <w:jc w:val="both"/>
        <w:rPr>
          <w:rFonts w:ascii="Verdana" w:hAnsi="Verdana"/>
          <w:sz w:val="16"/>
          <w:szCs w:val="16"/>
        </w:rPr>
      </w:pPr>
      <w:r w:rsidRPr="009D1F03">
        <w:rPr>
          <w:rStyle w:val="FootnoteReference"/>
          <w:rFonts w:ascii="Verdana" w:hAnsi="Verdana"/>
          <w:sz w:val="16"/>
          <w:szCs w:val="16"/>
        </w:rPr>
        <w:footnoteRef/>
      </w:r>
      <w:r w:rsidRPr="009D1F03">
        <w:rPr>
          <w:rFonts w:ascii="Verdana" w:hAnsi="Verdana"/>
          <w:sz w:val="16"/>
          <w:szCs w:val="16"/>
        </w:rPr>
        <w:t xml:space="preserve"> - This includes buying, selling, subscribing for or underwriting securities as an agent or principal in certain circumstances.</w:t>
      </w:r>
    </w:p>
    <w:p w14:paraId="36509FDE" w14:textId="77777777" w:rsidR="006904FE" w:rsidRPr="009D1F03" w:rsidRDefault="006904FE" w:rsidP="00CF22F3">
      <w:pPr>
        <w:pStyle w:val="FootnoteText"/>
        <w:jc w:val="both"/>
        <w:rPr>
          <w:rFonts w:ascii="Verdana" w:hAnsi="Verdana"/>
          <w:sz w:val="16"/>
          <w:szCs w:val="16"/>
          <w:lang w:val="en-US"/>
        </w:rPr>
      </w:pPr>
    </w:p>
  </w:footnote>
  <w:footnote w:id="9">
    <w:p w14:paraId="248967E4" w14:textId="7B80D9A5" w:rsidR="006904FE" w:rsidRPr="00CF22F3" w:rsidRDefault="006904FE" w:rsidP="009D1F03">
      <w:pPr>
        <w:pStyle w:val="FootnoteText"/>
        <w:jc w:val="both"/>
        <w:rPr>
          <w:lang w:val="en-US"/>
        </w:rPr>
      </w:pPr>
      <w:r w:rsidRPr="009D1F03">
        <w:rPr>
          <w:rStyle w:val="FootnoteReference"/>
          <w:rFonts w:ascii="Verdana" w:hAnsi="Verdana"/>
          <w:sz w:val="16"/>
          <w:szCs w:val="16"/>
        </w:rPr>
        <w:footnoteRef/>
      </w:r>
      <w:r w:rsidRPr="009D1F03">
        <w:rPr>
          <w:rFonts w:ascii="Verdana" w:hAnsi="Verdana"/>
          <w:sz w:val="16"/>
          <w:szCs w:val="16"/>
        </w:rPr>
        <w:t xml:space="preserve"> This includes managing securities belonging to another person in circumstances involving the exercise of discretion.</w:t>
      </w:r>
    </w:p>
  </w:footnote>
  <w:footnote w:id="10">
    <w:p w14:paraId="5BCD3B91" w14:textId="2A408AE0" w:rsidR="006904FE" w:rsidRPr="0084179C" w:rsidRDefault="006904FE">
      <w:pPr>
        <w:pStyle w:val="FootnoteText"/>
        <w:rPr>
          <w:rFonts w:ascii="Verdana" w:hAnsi="Verdana"/>
          <w:sz w:val="16"/>
          <w:szCs w:val="16"/>
          <w:lang w:val="en-US"/>
        </w:rPr>
      </w:pPr>
      <w:r w:rsidRPr="00B42D45">
        <w:rPr>
          <w:rStyle w:val="FootnoteReference"/>
        </w:rPr>
        <w:footnoteRef/>
      </w:r>
      <w:r w:rsidRPr="00675EDB">
        <w:rPr>
          <w:rStyle w:val="FootnoteReference"/>
        </w:rPr>
        <w:t xml:space="preserve"> </w:t>
      </w:r>
      <w:r w:rsidRPr="00675EDB">
        <w:rPr>
          <w:rFonts w:ascii="Verdana" w:hAnsi="Verdana"/>
          <w:sz w:val="16"/>
          <w:szCs w:val="16"/>
        </w:rPr>
        <w:t xml:space="preserve">A Family Office may not see family members as </w:t>
      </w:r>
      <w:r w:rsidR="00CC4F28">
        <w:rPr>
          <w:rFonts w:ascii="Verdana" w:hAnsi="Verdana"/>
          <w:sz w:val="16"/>
          <w:szCs w:val="16"/>
        </w:rPr>
        <w:t>customers</w:t>
      </w:r>
      <w:r w:rsidRPr="00675EDB">
        <w:rPr>
          <w:rFonts w:ascii="Verdana" w:hAnsi="Verdana"/>
          <w:sz w:val="16"/>
          <w:szCs w:val="16"/>
        </w:rPr>
        <w:t xml:space="preserve"> distinct from itself and therefore only trades on its own behalf.</w:t>
      </w:r>
    </w:p>
  </w:footnote>
  <w:footnote w:id="11">
    <w:p w14:paraId="7ED5EEF8" w14:textId="12A34F41" w:rsidR="006904FE" w:rsidRPr="005E3090" w:rsidRDefault="006904FE" w:rsidP="005E3090">
      <w:pPr>
        <w:pStyle w:val="FootnoteText"/>
        <w:jc w:val="both"/>
        <w:rPr>
          <w:rFonts w:ascii="Verdana" w:hAnsi="Verdana"/>
          <w:sz w:val="16"/>
          <w:szCs w:val="16"/>
          <w:lang w:val="en-US"/>
        </w:rPr>
      </w:pPr>
      <w:r w:rsidRPr="005E3090">
        <w:rPr>
          <w:rStyle w:val="FootnoteReference"/>
          <w:rFonts w:ascii="Verdana" w:hAnsi="Verdana"/>
          <w:sz w:val="16"/>
          <w:szCs w:val="16"/>
        </w:rPr>
        <w:footnoteRef/>
      </w:r>
      <w:r w:rsidRPr="005E3090">
        <w:rPr>
          <w:rFonts w:ascii="Verdana" w:hAnsi="Verdana"/>
          <w:sz w:val="16"/>
          <w:szCs w:val="16"/>
        </w:rPr>
        <w:t xml:space="preserve"> </w:t>
      </w:r>
      <w:r w:rsidRPr="005E3090">
        <w:rPr>
          <w:rFonts w:ascii="Verdana" w:hAnsi="Verdana"/>
          <w:sz w:val="16"/>
          <w:szCs w:val="16"/>
          <w:lang w:val="en-US"/>
        </w:rPr>
        <w:t xml:space="preserve">This category includes private commercial non-financial corporations, such as construction companies, hotels, restaurants, retailers and wholesalers. Designated non-financial business and profession can also be accounted for in this category.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954F" w14:textId="38B130F7" w:rsidR="00094E1D" w:rsidRDefault="00094E1D">
    <w:pPr>
      <w:pStyle w:val="Header"/>
    </w:pPr>
    <w:r>
      <w:t xml:space="preserve">                               </w:t>
    </w:r>
  </w:p>
  <w:p w14:paraId="46D40DCA" w14:textId="7DC01DD9" w:rsidR="00C6242A" w:rsidRDefault="00C6242A" w:rsidP="00CC4F28">
    <w:pPr>
      <w:pStyle w:val="Header"/>
      <w:tabs>
        <w:tab w:val="clear" w:pos="4680"/>
        <w:tab w:val="clear" w:pos="9360"/>
        <w:tab w:val="left" w:pos="27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72CD" w14:textId="14AAAC75" w:rsidR="00094E1D" w:rsidRPr="001F7E6C" w:rsidRDefault="00094E1D" w:rsidP="00BB152E">
    <w:pPr>
      <w:pStyle w:val="Header"/>
      <w:jc w:val="center"/>
      <w:rPr>
        <w:rFonts w:ascii="Arial" w:hAnsi="Arial" w:cs="Arial"/>
        <w:color w:val="00447B"/>
        <w:sz w:val="34"/>
      </w:rPr>
    </w:pPr>
    <w:r w:rsidRPr="001F7E6C">
      <w:rPr>
        <w:rFonts w:ascii="Arial" w:hAnsi="Arial" w:cs="Arial"/>
        <w:color w:val="00447B"/>
        <w:sz w:val="34"/>
      </w:rPr>
      <w:t>C A Y M A N   I S L A N D S</w:t>
    </w:r>
  </w:p>
  <w:p w14:paraId="72C3CF47" w14:textId="72A6CDDB" w:rsidR="00094E1D" w:rsidRPr="001F7E6C" w:rsidRDefault="00094E1D" w:rsidP="00BB152E">
    <w:pPr>
      <w:pStyle w:val="Header"/>
      <w:jc w:val="center"/>
      <w:rPr>
        <w:rFonts w:ascii="Arial Black" w:hAnsi="Arial Black" w:cs="Arial"/>
        <w:b/>
        <w:bCs/>
        <w:color w:val="00447B"/>
        <w:sz w:val="34"/>
      </w:rPr>
    </w:pPr>
    <w:r w:rsidRPr="001F7E6C">
      <w:rPr>
        <w:rFonts w:ascii="Arial Black" w:hAnsi="Arial Black" w:cs="Arial"/>
        <w:b/>
        <w:bCs/>
        <w:color w:val="00447B"/>
        <w:sz w:val="34"/>
      </w:rPr>
      <w:t>MONETARY AUTHORITY</w:t>
    </w:r>
  </w:p>
  <w:p w14:paraId="4CC77920" w14:textId="5CF3C875" w:rsidR="003B47BA" w:rsidRDefault="003B47BA" w:rsidP="00BB152E">
    <w:pPr>
      <w:pStyle w:val="Header"/>
      <w:tabs>
        <w:tab w:val="clear" w:pos="4680"/>
        <w:tab w:val="clear" w:pos="9360"/>
        <w:tab w:val="left"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A85889"/>
    <w:multiLevelType w:val="hybridMultilevel"/>
    <w:tmpl w:val="06E7F7B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4D7AD5"/>
    <w:multiLevelType w:val="hybridMultilevel"/>
    <w:tmpl w:val="12A62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543DE"/>
    <w:multiLevelType w:val="hybridMultilevel"/>
    <w:tmpl w:val="2FF074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DA75B8"/>
    <w:multiLevelType w:val="hybridMultilevel"/>
    <w:tmpl w:val="9F6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0425C"/>
    <w:multiLevelType w:val="hybridMultilevel"/>
    <w:tmpl w:val="F8D0D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3CE"/>
    <w:multiLevelType w:val="hybridMultilevel"/>
    <w:tmpl w:val="9F76FFB8"/>
    <w:lvl w:ilvl="0" w:tplc="BF70A80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622AA"/>
    <w:multiLevelType w:val="hybridMultilevel"/>
    <w:tmpl w:val="1956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B53E1"/>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A1974"/>
    <w:multiLevelType w:val="hybridMultilevel"/>
    <w:tmpl w:val="710AE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65667"/>
    <w:multiLevelType w:val="hybridMultilevel"/>
    <w:tmpl w:val="EF3ED90C"/>
    <w:lvl w:ilvl="0" w:tplc="2B12D41C">
      <w:start w:val="1"/>
      <w:numFmt w:val="decimal"/>
      <w:lvlText w:val="%1."/>
      <w:lvlJc w:val="left"/>
      <w:pPr>
        <w:ind w:left="720" w:hanging="360"/>
      </w:pPr>
      <w:rPr>
        <w:rFonts w:hint="default"/>
        <w:b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40DAB"/>
    <w:multiLevelType w:val="multilevel"/>
    <w:tmpl w:val="AD762736"/>
    <w:lvl w:ilvl="0">
      <w:start w:val="1"/>
      <w:numFmt w:val="decimal"/>
      <w:pStyle w:val="Heading1"/>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8"/>
      <w:numFmt w:val="decimal"/>
      <w:lvlText w:val="%3."/>
      <w:lvlJc w:val="left"/>
      <w:pPr>
        <w:ind w:left="927" w:hanging="360"/>
      </w:pPr>
      <w:rPr>
        <w:rFonts w:hint="default"/>
        <w:b w:val="0"/>
        <w:i w:val="0"/>
        <w:sz w:val="22"/>
      </w:rPr>
    </w:lvl>
    <w:lvl w:ilvl="3">
      <w:start w:val="1"/>
      <w:numFmt w:val="decimal"/>
      <w:pStyle w:val="Heading4"/>
      <w:lvlText w:val="%1.%2.%3.%4"/>
      <w:lvlJc w:val="left"/>
      <w:pPr>
        <w:tabs>
          <w:tab w:val="num" w:pos="2693"/>
        </w:tabs>
        <w:ind w:left="2693" w:hanging="1275"/>
      </w:pPr>
      <w:rPr>
        <w:rFonts w:hint="default"/>
      </w:rPr>
    </w:lvl>
    <w:lvl w:ilvl="4">
      <w:start w:val="1"/>
      <w:numFmt w:val="bullet"/>
      <w:pStyle w:val="Heading5"/>
      <w:lvlText w:val="›"/>
      <w:lvlJc w:val="left"/>
      <w:pPr>
        <w:tabs>
          <w:tab w:val="num" w:pos="2977"/>
        </w:tabs>
        <w:ind w:left="2977" w:hanging="284"/>
      </w:pPr>
      <w:rPr>
        <w:rFonts w:ascii="Calibri" w:hAnsi="Calibri" w:hint="default"/>
        <w:b w:val="0"/>
        <w:i w:val="0"/>
        <w:color w:val="auto"/>
        <w:sz w:val="22"/>
      </w:rPr>
    </w:lvl>
    <w:lvl w:ilvl="5">
      <w:start w:val="1"/>
      <w:numFmt w:val="bullet"/>
      <w:lvlText w:val=""/>
      <w:lvlJc w:val="left"/>
      <w:pPr>
        <w:ind w:left="10165" w:hanging="360"/>
      </w:pPr>
      <w:rPr>
        <w:rFonts w:ascii="Wingdings" w:hAnsi="Wingdings" w:hint="default"/>
      </w:rPr>
    </w:lvl>
    <w:lvl w:ilvl="6">
      <w:start w:val="1"/>
      <w:numFmt w:val="bullet"/>
      <w:lvlText w:val=""/>
      <w:lvlJc w:val="left"/>
      <w:pPr>
        <w:ind w:left="10885" w:hanging="360"/>
      </w:pPr>
      <w:rPr>
        <w:rFonts w:ascii="Symbol" w:hAnsi="Symbol" w:hint="default"/>
      </w:rPr>
    </w:lvl>
    <w:lvl w:ilvl="7">
      <w:start w:val="1"/>
      <w:numFmt w:val="bullet"/>
      <w:lvlText w:val="o"/>
      <w:lvlJc w:val="left"/>
      <w:pPr>
        <w:ind w:left="11605" w:hanging="360"/>
      </w:pPr>
      <w:rPr>
        <w:rFonts w:ascii="Courier New" w:hAnsi="Courier New" w:cs="Courier New" w:hint="default"/>
      </w:rPr>
    </w:lvl>
    <w:lvl w:ilvl="8">
      <w:start w:val="1"/>
      <w:numFmt w:val="bullet"/>
      <w:lvlText w:val=""/>
      <w:lvlJc w:val="left"/>
      <w:pPr>
        <w:ind w:left="12325" w:hanging="360"/>
      </w:pPr>
      <w:rPr>
        <w:rFonts w:ascii="Wingdings" w:hAnsi="Wingdings" w:hint="default"/>
      </w:rPr>
    </w:lvl>
  </w:abstractNum>
  <w:abstractNum w:abstractNumId="11" w15:restartNumberingAfterBreak="0">
    <w:nsid w:val="1BDB68C1"/>
    <w:multiLevelType w:val="hybridMultilevel"/>
    <w:tmpl w:val="DDA237F0"/>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49D65CC"/>
    <w:multiLevelType w:val="hybridMultilevel"/>
    <w:tmpl w:val="509011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50890"/>
    <w:multiLevelType w:val="hybridMultilevel"/>
    <w:tmpl w:val="6AB64940"/>
    <w:lvl w:ilvl="0" w:tplc="85D008AC">
      <w:start w:val="57"/>
      <w:numFmt w:val="decimal"/>
      <w:lvlText w:val="%1."/>
      <w:lvlJc w:val="left"/>
      <w:pPr>
        <w:ind w:left="720" w:hanging="360"/>
      </w:pPr>
      <w:rPr>
        <w:rFonts w:ascii="Times New Roman" w:hAnsi="Times New Roman" w:cs="Times New Roman" w:hint="default"/>
        <w:b w:val="0"/>
        <w:i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E6ADE"/>
    <w:multiLevelType w:val="hybridMultilevel"/>
    <w:tmpl w:val="0F88413E"/>
    <w:lvl w:ilvl="0" w:tplc="2DEE64DE">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62DB0"/>
    <w:multiLevelType w:val="hybridMultilevel"/>
    <w:tmpl w:val="A66E71EC"/>
    <w:lvl w:ilvl="0" w:tplc="74D6A9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5629B"/>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E1592"/>
    <w:multiLevelType w:val="hybridMultilevel"/>
    <w:tmpl w:val="82BCEF88"/>
    <w:lvl w:ilvl="0" w:tplc="69F077B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83EB8"/>
    <w:multiLevelType w:val="hybridMultilevel"/>
    <w:tmpl w:val="ADEA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12AFD"/>
    <w:multiLevelType w:val="multilevel"/>
    <w:tmpl w:val="B92A21CE"/>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2A87653"/>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466FE"/>
    <w:multiLevelType w:val="hybridMultilevel"/>
    <w:tmpl w:val="F8D0D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D4091"/>
    <w:multiLevelType w:val="hybridMultilevel"/>
    <w:tmpl w:val="09A8B1C4"/>
    <w:lvl w:ilvl="0" w:tplc="32927362">
      <w:start w:val="8"/>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102D4"/>
    <w:multiLevelType w:val="hybridMultilevel"/>
    <w:tmpl w:val="06B0D4C2"/>
    <w:lvl w:ilvl="0" w:tplc="E4E00F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E6363"/>
    <w:multiLevelType w:val="hybridMultilevel"/>
    <w:tmpl w:val="358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6062D"/>
    <w:multiLevelType w:val="hybridMultilevel"/>
    <w:tmpl w:val="5336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FE7C2D"/>
    <w:multiLevelType w:val="hybridMultilevel"/>
    <w:tmpl w:val="1EBC8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D40C2"/>
    <w:multiLevelType w:val="hybridMultilevel"/>
    <w:tmpl w:val="F5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E1EC1"/>
    <w:multiLevelType w:val="hybridMultilevel"/>
    <w:tmpl w:val="BFD4A23C"/>
    <w:lvl w:ilvl="0" w:tplc="1CFE93D4">
      <w:start w:val="1"/>
      <w:numFmt w:val="decimal"/>
      <w:suff w:val="space"/>
      <w:lvlText w:val="%1."/>
      <w:lvlJc w:val="left"/>
      <w:pPr>
        <w:ind w:left="360" w:hanging="360"/>
      </w:pPr>
      <w:rPr>
        <w:rFonts w:hint="default"/>
        <w:b w:val="0"/>
        <w:i w:val="0"/>
        <w:sz w:val="20"/>
        <w:szCs w:val="2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22420"/>
    <w:multiLevelType w:val="hybridMultilevel"/>
    <w:tmpl w:val="53FEC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42285"/>
    <w:multiLevelType w:val="hybridMultilevel"/>
    <w:tmpl w:val="2DA0C62A"/>
    <w:lvl w:ilvl="0" w:tplc="A3102B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A7101"/>
    <w:multiLevelType w:val="multilevel"/>
    <w:tmpl w:val="21121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347BA3"/>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D7B24"/>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6600A"/>
    <w:multiLevelType w:val="hybridMultilevel"/>
    <w:tmpl w:val="7B7A5634"/>
    <w:lvl w:ilvl="0" w:tplc="3D1A665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978E9"/>
    <w:multiLevelType w:val="hybridMultilevel"/>
    <w:tmpl w:val="CF28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E43A0"/>
    <w:multiLevelType w:val="hybridMultilevel"/>
    <w:tmpl w:val="B156B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96473A"/>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80BE1"/>
    <w:multiLevelType w:val="multilevel"/>
    <w:tmpl w:val="FEC0C9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D840C32"/>
    <w:multiLevelType w:val="multilevel"/>
    <w:tmpl w:val="30A6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35B0A"/>
    <w:multiLevelType w:val="hybridMultilevel"/>
    <w:tmpl w:val="CF28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8"/>
  </w:num>
  <w:num w:numId="5">
    <w:abstractNumId w:val="1"/>
  </w:num>
  <w:num w:numId="6">
    <w:abstractNumId w:val="0"/>
  </w:num>
  <w:num w:numId="7">
    <w:abstractNumId w:val="24"/>
  </w:num>
  <w:num w:numId="8">
    <w:abstractNumId w:val="30"/>
  </w:num>
  <w:num w:numId="9">
    <w:abstractNumId w:val="35"/>
  </w:num>
  <w:num w:numId="10">
    <w:abstractNumId w:val="40"/>
  </w:num>
  <w:num w:numId="11">
    <w:abstractNumId w:val="12"/>
  </w:num>
  <w:num w:numId="12">
    <w:abstractNumId w:val="5"/>
  </w:num>
  <w:num w:numId="13">
    <w:abstractNumId w:val="18"/>
  </w:num>
  <w:num w:numId="14">
    <w:abstractNumId w:val="23"/>
  </w:num>
  <w:num w:numId="15">
    <w:abstractNumId w:val="13"/>
  </w:num>
  <w:num w:numId="16">
    <w:abstractNumId w:val="21"/>
  </w:num>
  <w:num w:numId="17">
    <w:abstractNumId w:val="29"/>
  </w:num>
  <w:num w:numId="18">
    <w:abstractNumId w:val="25"/>
  </w:num>
  <w:num w:numId="19">
    <w:abstractNumId w:val="22"/>
  </w:num>
  <w:num w:numId="20">
    <w:abstractNumId w:val="4"/>
  </w:num>
  <w:num w:numId="21">
    <w:abstractNumId w:val="34"/>
  </w:num>
  <w:num w:numId="22">
    <w:abstractNumId w:val="31"/>
  </w:num>
  <w:num w:numId="23">
    <w:abstractNumId w:val="10"/>
  </w:num>
  <w:num w:numId="24">
    <w:abstractNumId w:val="37"/>
  </w:num>
  <w:num w:numId="25">
    <w:abstractNumId w:val="39"/>
  </w:num>
  <w:num w:numId="26">
    <w:abstractNumId w:val="36"/>
  </w:num>
  <w:num w:numId="27">
    <w:abstractNumId w:val="11"/>
  </w:num>
  <w:num w:numId="28">
    <w:abstractNumId w:val="38"/>
  </w:num>
  <w:num w:numId="29">
    <w:abstractNumId w:val="14"/>
  </w:num>
  <w:num w:numId="30">
    <w:abstractNumId w:val="27"/>
  </w:num>
  <w:num w:numId="31">
    <w:abstractNumId w:val="19"/>
  </w:num>
  <w:num w:numId="32">
    <w:abstractNumId w:val="17"/>
  </w:num>
  <w:num w:numId="33">
    <w:abstractNumId w:val="3"/>
  </w:num>
  <w:num w:numId="34">
    <w:abstractNumId w:val="6"/>
  </w:num>
  <w:num w:numId="35">
    <w:abstractNumId w:val="26"/>
  </w:num>
  <w:num w:numId="36">
    <w:abstractNumId w:val="32"/>
  </w:num>
  <w:num w:numId="37">
    <w:abstractNumId w:val="10"/>
  </w:num>
  <w:num w:numId="38">
    <w:abstractNumId w:val="33"/>
  </w:num>
  <w:num w:numId="39">
    <w:abstractNumId w:val="20"/>
  </w:num>
  <w:num w:numId="40">
    <w:abstractNumId w:val="7"/>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3D"/>
    <w:rsid w:val="0001678E"/>
    <w:rsid w:val="00017990"/>
    <w:rsid w:val="00020522"/>
    <w:rsid w:val="0002220E"/>
    <w:rsid w:val="00022778"/>
    <w:rsid w:val="000237F1"/>
    <w:rsid w:val="000317E3"/>
    <w:rsid w:val="00036BDB"/>
    <w:rsid w:val="00037405"/>
    <w:rsid w:val="00040293"/>
    <w:rsid w:val="00040E7B"/>
    <w:rsid w:val="000414F7"/>
    <w:rsid w:val="0004247F"/>
    <w:rsid w:val="00050AE8"/>
    <w:rsid w:val="00050DAA"/>
    <w:rsid w:val="00051248"/>
    <w:rsid w:val="000551C0"/>
    <w:rsid w:val="0005691C"/>
    <w:rsid w:val="00057A6C"/>
    <w:rsid w:val="00060553"/>
    <w:rsid w:val="0006335A"/>
    <w:rsid w:val="00063C5E"/>
    <w:rsid w:val="000662FC"/>
    <w:rsid w:val="00070146"/>
    <w:rsid w:val="00070BC3"/>
    <w:rsid w:val="000727D5"/>
    <w:rsid w:val="00073D71"/>
    <w:rsid w:val="00074E0F"/>
    <w:rsid w:val="000752C5"/>
    <w:rsid w:val="0008503E"/>
    <w:rsid w:val="000857E8"/>
    <w:rsid w:val="00091077"/>
    <w:rsid w:val="0009306D"/>
    <w:rsid w:val="000936E6"/>
    <w:rsid w:val="00094151"/>
    <w:rsid w:val="00094E1D"/>
    <w:rsid w:val="000A0C44"/>
    <w:rsid w:val="000A1E29"/>
    <w:rsid w:val="000A3672"/>
    <w:rsid w:val="000A4A48"/>
    <w:rsid w:val="000A4A8F"/>
    <w:rsid w:val="000B2583"/>
    <w:rsid w:val="000B3212"/>
    <w:rsid w:val="000B3421"/>
    <w:rsid w:val="000B4029"/>
    <w:rsid w:val="000B6EF9"/>
    <w:rsid w:val="000C3E44"/>
    <w:rsid w:val="000C43DF"/>
    <w:rsid w:val="000C672F"/>
    <w:rsid w:val="000D342B"/>
    <w:rsid w:val="000D4C71"/>
    <w:rsid w:val="000D7169"/>
    <w:rsid w:val="000E6945"/>
    <w:rsid w:val="000F062D"/>
    <w:rsid w:val="000F0818"/>
    <w:rsid w:val="000F7182"/>
    <w:rsid w:val="001011C5"/>
    <w:rsid w:val="00101474"/>
    <w:rsid w:val="00101AB8"/>
    <w:rsid w:val="001034F6"/>
    <w:rsid w:val="00103BAA"/>
    <w:rsid w:val="001047D7"/>
    <w:rsid w:val="00104869"/>
    <w:rsid w:val="00106ABF"/>
    <w:rsid w:val="001110C3"/>
    <w:rsid w:val="001133E9"/>
    <w:rsid w:val="00113B94"/>
    <w:rsid w:val="00113EA6"/>
    <w:rsid w:val="0011541A"/>
    <w:rsid w:val="00115CD2"/>
    <w:rsid w:val="001217C1"/>
    <w:rsid w:val="00125BBE"/>
    <w:rsid w:val="00130B70"/>
    <w:rsid w:val="00133AA7"/>
    <w:rsid w:val="00142E16"/>
    <w:rsid w:val="00145F12"/>
    <w:rsid w:val="001471C3"/>
    <w:rsid w:val="00153D5E"/>
    <w:rsid w:val="00160228"/>
    <w:rsid w:val="001622F3"/>
    <w:rsid w:val="0016268D"/>
    <w:rsid w:val="00163846"/>
    <w:rsid w:val="00166173"/>
    <w:rsid w:val="00181FE8"/>
    <w:rsid w:val="0018660C"/>
    <w:rsid w:val="0019092C"/>
    <w:rsid w:val="00190AC4"/>
    <w:rsid w:val="00190B7F"/>
    <w:rsid w:val="00195AB2"/>
    <w:rsid w:val="00196808"/>
    <w:rsid w:val="001A120C"/>
    <w:rsid w:val="001A32A6"/>
    <w:rsid w:val="001A3627"/>
    <w:rsid w:val="001A450B"/>
    <w:rsid w:val="001A574D"/>
    <w:rsid w:val="001B4D66"/>
    <w:rsid w:val="001B6544"/>
    <w:rsid w:val="001B7569"/>
    <w:rsid w:val="001C2628"/>
    <w:rsid w:val="001C6D95"/>
    <w:rsid w:val="001C7A3E"/>
    <w:rsid w:val="001D01AE"/>
    <w:rsid w:val="001D3DBE"/>
    <w:rsid w:val="001D45ED"/>
    <w:rsid w:val="001D636B"/>
    <w:rsid w:val="001E0366"/>
    <w:rsid w:val="001E12C4"/>
    <w:rsid w:val="001E29CC"/>
    <w:rsid w:val="001E30DD"/>
    <w:rsid w:val="001E3783"/>
    <w:rsid w:val="001E4636"/>
    <w:rsid w:val="001E5FD8"/>
    <w:rsid w:val="001E7150"/>
    <w:rsid w:val="001E7DF3"/>
    <w:rsid w:val="001F09B8"/>
    <w:rsid w:val="001F109D"/>
    <w:rsid w:val="001F2FC3"/>
    <w:rsid w:val="001F6D9C"/>
    <w:rsid w:val="00202845"/>
    <w:rsid w:val="00203AE7"/>
    <w:rsid w:val="00203BF7"/>
    <w:rsid w:val="00210D50"/>
    <w:rsid w:val="0021677A"/>
    <w:rsid w:val="00217CB1"/>
    <w:rsid w:val="00220BE5"/>
    <w:rsid w:val="002210CA"/>
    <w:rsid w:val="00221A57"/>
    <w:rsid w:val="00222E24"/>
    <w:rsid w:val="00223D57"/>
    <w:rsid w:val="0022546E"/>
    <w:rsid w:val="00226F4D"/>
    <w:rsid w:val="002319AE"/>
    <w:rsid w:val="0023255C"/>
    <w:rsid w:val="00232578"/>
    <w:rsid w:val="0023279C"/>
    <w:rsid w:val="00232F68"/>
    <w:rsid w:val="002338BD"/>
    <w:rsid w:val="00241858"/>
    <w:rsid w:val="00241D8F"/>
    <w:rsid w:val="00252981"/>
    <w:rsid w:val="002534FE"/>
    <w:rsid w:val="00254157"/>
    <w:rsid w:val="00254387"/>
    <w:rsid w:val="00255FFB"/>
    <w:rsid w:val="002562B9"/>
    <w:rsid w:val="0026071F"/>
    <w:rsid w:val="002616AD"/>
    <w:rsid w:val="00264872"/>
    <w:rsid w:val="00267FAA"/>
    <w:rsid w:val="00270342"/>
    <w:rsid w:val="00273E12"/>
    <w:rsid w:val="00274688"/>
    <w:rsid w:val="00276F0B"/>
    <w:rsid w:val="0028653B"/>
    <w:rsid w:val="00291B49"/>
    <w:rsid w:val="00293CBA"/>
    <w:rsid w:val="00297623"/>
    <w:rsid w:val="002A44ED"/>
    <w:rsid w:val="002A4C7A"/>
    <w:rsid w:val="002A6197"/>
    <w:rsid w:val="002A7F8A"/>
    <w:rsid w:val="002B0736"/>
    <w:rsid w:val="002B159B"/>
    <w:rsid w:val="002B39FD"/>
    <w:rsid w:val="002B574F"/>
    <w:rsid w:val="002B6B22"/>
    <w:rsid w:val="002C2FBA"/>
    <w:rsid w:val="002D12D8"/>
    <w:rsid w:val="002D33D3"/>
    <w:rsid w:val="002D5A89"/>
    <w:rsid w:val="002E1117"/>
    <w:rsid w:val="002E18CC"/>
    <w:rsid w:val="002E25B9"/>
    <w:rsid w:val="002E2FD8"/>
    <w:rsid w:val="002E72BC"/>
    <w:rsid w:val="002E7D36"/>
    <w:rsid w:val="002F2762"/>
    <w:rsid w:val="00304FE9"/>
    <w:rsid w:val="0030682B"/>
    <w:rsid w:val="00310DDC"/>
    <w:rsid w:val="00310E3B"/>
    <w:rsid w:val="003121F0"/>
    <w:rsid w:val="00313214"/>
    <w:rsid w:val="003134B5"/>
    <w:rsid w:val="003146E6"/>
    <w:rsid w:val="00315E47"/>
    <w:rsid w:val="00317662"/>
    <w:rsid w:val="003202BE"/>
    <w:rsid w:val="00321827"/>
    <w:rsid w:val="003220E3"/>
    <w:rsid w:val="00323C86"/>
    <w:rsid w:val="00324C93"/>
    <w:rsid w:val="00326D81"/>
    <w:rsid w:val="0033213F"/>
    <w:rsid w:val="00341712"/>
    <w:rsid w:val="00346099"/>
    <w:rsid w:val="003468E3"/>
    <w:rsid w:val="00350C06"/>
    <w:rsid w:val="00351DA8"/>
    <w:rsid w:val="00351EB1"/>
    <w:rsid w:val="0035452C"/>
    <w:rsid w:val="003613C4"/>
    <w:rsid w:val="00365A1A"/>
    <w:rsid w:val="0037127F"/>
    <w:rsid w:val="003716A7"/>
    <w:rsid w:val="003723CF"/>
    <w:rsid w:val="00373B1F"/>
    <w:rsid w:val="00377045"/>
    <w:rsid w:val="003806D4"/>
    <w:rsid w:val="00381A0A"/>
    <w:rsid w:val="00381ECA"/>
    <w:rsid w:val="00385E4C"/>
    <w:rsid w:val="0039186F"/>
    <w:rsid w:val="00392255"/>
    <w:rsid w:val="0039285F"/>
    <w:rsid w:val="0039525B"/>
    <w:rsid w:val="00395B75"/>
    <w:rsid w:val="003A1897"/>
    <w:rsid w:val="003A2E44"/>
    <w:rsid w:val="003A3609"/>
    <w:rsid w:val="003A6767"/>
    <w:rsid w:val="003B0F61"/>
    <w:rsid w:val="003B0F75"/>
    <w:rsid w:val="003B4749"/>
    <w:rsid w:val="003B47BA"/>
    <w:rsid w:val="003B75C3"/>
    <w:rsid w:val="003C03A1"/>
    <w:rsid w:val="003C160E"/>
    <w:rsid w:val="003C2C6C"/>
    <w:rsid w:val="003C37D9"/>
    <w:rsid w:val="003C6B7F"/>
    <w:rsid w:val="003D0459"/>
    <w:rsid w:val="003D1A84"/>
    <w:rsid w:val="003D1C90"/>
    <w:rsid w:val="003D1DAB"/>
    <w:rsid w:val="003D4BAC"/>
    <w:rsid w:val="003D5901"/>
    <w:rsid w:val="003D7517"/>
    <w:rsid w:val="003E3514"/>
    <w:rsid w:val="003E3BDB"/>
    <w:rsid w:val="003E413B"/>
    <w:rsid w:val="003E48B7"/>
    <w:rsid w:val="003F0354"/>
    <w:rsid w:val="003F2D0B"/>
    <w:rsid w:val="003F4F57"/>
    <w:rsid w:val="003F517E"/>
    <w:rsid w:val="003F5BBC"/>
    <w:rsid w:val="0040002E"/>
    <w:rsid w:val="004048F9"/>
    <w:rsid w:val="00413B1F"/>
    <w:rsid w:val="00417BB9"/>
    <w:rsid w:val="00420599"/>
    <w:rsid w:val="00420EA6"/>
    <w:rsid w:val="00422B2D"/>
    <w:rsid w:val="00422E37"/>
    <w:rsid w:val="00422F32"/>
    <w:rsid w:val="00423C28"/>
    <w:rsid w:val="00423FF9"/>
    <w:rsid w:val="004256D6"/>
    <w:rsid w:val="00427616"/>
    <w:rsid w:val="00430FE8"/>
    <w:rsid w:val="004333FA"/>
    <w:rsid w:val="00433854"/>
    <w:rsid w:val="00433D33"/>
    <w:rsid w:val="00435332"/>
    <w:rsid w:val="0044225A"/>
    <w:rsid w:val="00446075"/>
    <w:rsid w:val="004460AD"/>
    <w:rsid w:val="00450877"/>
    <w:rsid w:val="004519EE"/>
    <w:rsid w:val="00452264"/>
    <w:rsid w:val="0045305A"/>
    <w:rsid w:val="00453F24"/>
    <w:rsid w:val="00461D9C"/>
    <w:rsid w:val="004629AA"/>
    <w:rsid w:val="00463490"/>
    <w:rsid w:val="004635B9"/>
    <w:rsid w:val="00463F8B"/>
    <w:rsid w:val="0046612B"/>
    <w:rsid w:val="00466422"/>
    <w:rsid w:val="0047065B"/>
    <w:rsid w:val="004739EE"/>
    <w:rsid w:val="00474B30"/>
    <w:rsid w:val="00475DD8"/>
    <w:rsid w:val="00476719"/>
    <w:rsid w:val="00476E8B"/>
    <w:rsid w:val="004807F7"/>
    <w:rsid w:val="00484A0F"/>
    <w:rsid w:val="004900E8"/>
    <w:rsid w:val="0049103F"/>
    <w:rsid w:val="00492807"/>
    <w:rsid w:val="00492D03"/>
    <w:rsid w:val="0049529F"/>
    <w:rsid w:val="00495D3A"/>
    <w:rsid w:val="0049630C"/>
    <w:rsid w:val="004A1DFB"/>
    <w:rsid w:val="004A1F62"/>
    <w:rsid w:val="004A4C44"/>
    <w:rsid w:val="004A4C64"/>
    <w:rsid w:val="004A4DF2"/>
    <w:rsid w:val="004A6449"/>
    <w:rsid w:val="004B0540"/>
    <w:rsid w:val="004B2083"/>
    <w:rsid w:val="004B2116"/>
    <w:rsid w:val="004B27E9"/>
    <w:rsid w:val="004B3246"/>
    <w:rsid w:val="004B489D"/>
    <w:rsid w:val="004B5611"/>
    <w:rsid w:val="004B7D37"/>
    <w:rsid w:val="004C0493"/>
    <w:rsid w:val="004C2593"/>
    <w:rsid w:val="004C287B"/>
    <w:rsid w:val="004C2A92"/>
    <w:rsid w:val="004C5603"/>
    <w:rsid w:val="004D3B56"/>
    <w:rsid w:val="004D679C"/>
    <w:rsid w:val="004D6A6F"/>
    <w:rsid w:val="004E1357"/>
    <w:rsid w:val="004E2B58"/>
    <w:rsid w:val="004E3CD9"/>
    <w:rsid w:val="004E6C4B"/>
    <w:rsid w:val="004F05F3"/>
    <w:rsid w:val="004F0860"/>
    <w:rsid w:val="004F207A"/>
    <w:rsid w:val="004F5637"/>
    <w:rsid w:val="004F6451"/>
    <w:rsid w:val="005010BC"/>
    <w:rsid w:val="005024E1"/>
    <w:rsid w:val="00502DBC"/>
    <w:rsid w:val="005034F0"/>
    <w:rsid w:val="00506781"/>
    <w:rsid w:val="00511A6D"/>
    <w:rsid w:val="005159DD"/>
    <w:rsid w:val="0051661A"/>
    <w:rsid w:val="00516E2D"/>
    <w:rsid w:val="00522526"/>
    <w:rsid w:val="00527198"/>
    <w:rsid w:val="0053084B"/>
    <w:rsid w:val="00532890"/>
    <w:rsid w:val="005337CD"/>
    <w:rsid w:val="00533DE7"/>
    <w:rsid w:val="00535313"/>
    <w:rsid w:val="00545394"/>
    <w:rsid w:val="00545907"/>
    <w:rsid w:val="00545BE1"/>
    <w:rsid w:val="00545E4B"/>
    <w:rsid w:val="00547E5E"/>
    <w:rsid w:val="00552E43"/>
    <w:rsid w:val="0055728A"/>
    <w:rsid w:val="0057184E"/>
    <w:rsid w:val="00571E5E"/>
    <w:rsid w:val="005735A8"/>
    <w:rsid w:val="00574DAC"/>
    <w:rsid w:val="005750BC"/>
    <w:rsid w:val="00581BE5"/>
    <w:rsid w:val="005827F4"/>
    <w:rsid w:val="00583114"/>
    <w:rsid w:val="0058313D"/>
    <w:rsid w:val="00583253"/>
    <w:rsid w:val="00584FB8"/>
    <w:rsid w:val="00590006"/>
    <w:rsid w:val="00590596"/>
    <w:rsid w:val="00590670"/>
    <w:rsid w:val="00590FB0"/>
    <w:rsid w:val="0059589C"/>
    <w:rsid w:val="00596462"/>
    <w:rsid w:val="00597582"/>
    <w:rsid w:val="00597F61"/>
    <w:rsid w:val="005A07A0"/>
    <w:rsid w:val="005A0EB0"/>
    <w:rsid w:val="005A20BD"/>
    <w:rsid w:val="005A654A"/>
    <w:rsid w:val="005A6EF1"/>
    <w:rsid w:val="005A7606"/>
    <w:rsid w:val="005B3774"/>
    <w:rsid w:val="005B3A83"/>
    <w:rsid w:val="005B4324"/>
    <w:rsid w:val="005B4976"/>
    <w:rsid w:val="005B4B33"/>
    <w:rsid w:val="005B68FE"/>
    <w:rsid w:val="005B6E08"/>
    <w:rsid w:val="005C015D"/>
    <w:rsid w:val="005C7429"/>
    <w:rsid w:val="005C7BCF"/>
    <w:rsid w:val="005C7E67"/>
    <w:rsid w:val="005D2F48"/>
    <w:rsid w:val="005E1BB8"/>
    <w:rsid w:val="005E3090"/>
    <w:rsid w:val="005E4180"/>
    <w:rsid w:val="005E42AF"/>
    <w:rsid w:val="005E4742"/>
    <w:rsid w:val="005E5E3D"/>
    <w:rsid w:val="005E6BFE"/>
    <w:rsid w:val="005F01E9"/>
    <w:rsid w:val="005F12B2"/>
    <w:rsid w:val="005F3B8A"/>
    <w:rsid w:val="005F4BAD"/>
    <w:rsid w:val="005F60DA"/>
    <w:rsid w:val="006001C7"/>
    <w:rsid w:val="006010D2"/>
    <w:rsid w:val="006034BB"/>
    <w:rsid w:val="006040D2"/>
    <w:rsid w:val="00605F9F"/>
    <w:rsid w:val="00606953"/>
    <w:rsid w:val="00607738"/>
    <w:rsid w:val="00612EDF"/>
    <w:rsid w:val="00613945"/>
    <w:rsid w:val="006166D8"/>
    <w:rsid w:val="006303B6"/>
    <w:rsid w:val="0063076C"/>
    <w:rsid w:val="006322D9"/>
    <w:rsid w:val="0063460A"/>
    <w:rsid w:val="006374DD"/>
    <w:rsid w:val="00640E6A"/>
    <w:rsid w:val="00641412"/>
    <w:rsid w:val="006421CB"/>
    <w:rsid w:val="00642904"/>
    <w:rsid w:val="00651301"/>
    <w:rsid w:val="006524F2"/>
    <w:rsid w:val="006545C6"/>
    <w:rsid w:val="00662D0E"/>
    <w:rsid w:val="00665A84"/>
    <w:rsid w:val="00671A92"/>
    <w:rsid w:val="00671C2E"/>
    <w:rsid w:val="00672AEB"/>
    <w:rsid w:val="0067360A"/>
    <w:rsid w:val="00673BBB"/>
    <w:rsid w:val="00674312"/>
    <w:rsid w:val="00674B97"/>
    <w:rsid w:val="00675EDB"/>
    <w:rsid w:val="006764D7"/>
    <w:rsid w:val="00676A37"/>
    <w:rsid w:val="00681268"/>
    <w:rsid w:val="00683E78"/>
    <w:rsid w:val="0068688C"/>
    <w:rsid w:val="00686D0A"/>
    <w:rsid w:val="00687623"/>
    <w:rsid w:val="006878A0"/>
    <w:rsid w:val="006904FE"/>
    <w:rsid w:val="00690B74"/>
    <w:rsid w:val="00693872"/>
    <w:rsid w:val="00696621"/>
    <w:rsid w:val="006A1ED3"/>
    <w:rsid w:val="006A1F59"/>
    <w:rsid w:val="006A6EFB"/>
    <w:rsid w:val="006A7760"/>
    <w:rsid w:val="006B0252"/>
    <w:rsid w:val="006B1B60"/>
    <w:rsid w:val="006B34D9"/>
    <w:rsid w:val="006B75B8"/>
    <w:rsid w:val="006C2389"/>
    <w:rsid w:val="006C36DB"/>
    <w:rsid w:val="006C45B2"/>
    <w:rsid w:val="006C6355"/>
    <w:rsid w:val="006C66B0"/>
    <w:rsid w:val="006D258D"/>
    <w:rsid w:val="006D4771"/>
    <w:rsid w:val="006D60BC"/>
    <w:rsid w:val="006E280A"/>
    <w:rsid w:val="006E40BA"/>
    <w:rsid w:val="006E70E6"/>
    <w:rsid w:val="006F088B"/>
    <w:rsid w:val="006F0BFE"/>
    <w:rsid w:val="006F172E"/>
    <w:rsid w:val="006F2144"/>
    <w:rsid w:val="006F57B9"/>
    <w:rsid w:val="006F7603"/>
    <w:rsid w:val="00701073"/>
    <w:rsid w:val="00701E5F"/>
    <w:rsid w:val="007039DE"/>
    <w:rsid w:val="00704C37"/>
    <w:rsid w:val="007164D0"/>
    <w:rsid w:val="00717D76"/>
    <w:rsid w:val="007260F1"/>
    <w:rsid w:val="00727760"/>
    <w:rsid w:val="00733051"/>
    <w:rsid w:val="007333EE"/>
    <w:rsid w:val="007335CA"/>
    <w:rsid w:val="00737089"/>
    <w:rsid w:val="00737E31"/>
    <w:rsid w:val="00744A2A"/>
    <w:rsid w:val="0074559C"/>
    <w:rsid w:val="0075615E"/>
    <w:rsid w:val="007568EE"/>
    <w:rsid w:val="00757859"/>
    <w:rsid w:val="00757EA0"/>
    <w:rsid w:val="00764B05"/>
    <w:rsid w:val="00770399"/>
    <w:rsid w:val="00771C25"/>
    <w:rsid w:val="00772035"/>
    <w:rsid w:val="00773198"/>
    <w:rsid w:val="00774ED1"/>
    <w:rsid w:val="00775391"/>
    <w:rsid w:val="007768B9"/>
    <w:rsid w:val="00786367"/>
    <w:rsid w:val="00791076"/>
    <w:rsid w:val="00791177"/>
    <w:rsid w:val="007928E7"/>
    <w:rsid w:val="00795B5C"/>
    <w:rsid w:val="00795E9B"/>
    <w:rsid w:val="00795EEE"/>
    <w:rsid w:val="00796024"/>
    <w:rsid w:val="007A1401"/>
    <w:rsid w:val="007A6946"/>
    <w:rsid w:val="007A7258"/>
    <w:rsid w:val="007A7FEF"/>
    <w:rsid w:val="007B2101"/>
    <w:rsid w:val="007C76A1"/>
    <w:rsid w:val="007D1D2F"/>
    <w:rsid w:val="007D4528"/>
    <w:rsid w:val="007D4DFE"/>
    <w:rsid w:val="007D61F5"/>
    <w:rsid w:val="007D7276"/>
    <w:rsid w:val="007E09A4"/>
    <w:rsid w:val="007E1248"/>
    <w:rsid w:val="007E20DD"/>
    <w:rsid w:val="007E4BFC"/>
    <w:rsid w:val="007E6F24"/>
    <w:rsid w:val="007E75C0"/>
    <w:rsid w:val="007E7702"/>
    <w:rsid w:val="007F0C9D"/>
    <w:rsid w:val="007F3AB6"/>
    <w:rsid w:val="007F507C"/>
    <w:rsid w:val="008003D2"/>
    <w:rsid w:val="00802175"/>
    <w:rsid w:val="008028DD"/>
    <w:rsid w:val="0080317D"/>
    <w:rsid w:val="00804159"/>
    <w:rsid w:val="008042EF"/>
    <w:rsid w:val="00804362"/>
    <w:rsid w:val="00804637"/>
    <w:rsid w:val="00806B28"/>
    <w:rsid w:val="00810804"/>
    <w:rsid w:val="00820078"/>
    <w:rsid w:val="00820BA7"/>
    <w:rsid w:val="00820BBE"/>
    <w:rsid w:val="00822E4A"/>
    <w:rsid w:val="00827DFC"/>
    <w:rsid w:val="0083133B"/>
    <w:rsid w:val="00837D40"/>
    <w:rsid w:val="00840827"/>
    <w:rsid w:val="0084179C"/>
    <w:rsid w:val="0084343D"/>
    <w:rsid w:val="008526E7"/>
    <w:rsid w:val="00855B2E"/>
    <w:rsid w:val="00857CBC"/>
    <w:rsid w:val="00862872"/>
    <w:rsid w:val="00862940"/>
    <w:rsid w:val="00862F9A"/>
    <w:rsid w:val="008633DB"/>
    <w:rsid w:val="00865152"/>
    <w:rsid w:val="00866940"/>
    <w:rsid w:val="0087372D"/>
    <w:rsid w:val="008739F4"/>
    <w:rsid w:val="00876523"/>
    <w:rsid w:val="00876749"/>
    <w:rsid w:val="00877173"/>
    <w:rsid w:val="00881FB8"/>
    <w:rsid w:val="00882CA4"/>
    <w:rsid w:val="00883A33"/>
    <w:rsid w:val="00891C3A"/>
    <w:rsid w:val="0089361E"/>
    <w:rsid w:val="008953EB"/>
    <w:rsid w:val="008A2F7F"/>
    <w:rsid w:val="008A616E"/>
    <w:rsid w:val="008A65DC"/>
    <w:rsid w:val="008B20DA"/>
    <w:rsid w:val="008B51DF"/>
    <w:rsid w:val="008B63BE"/>
    <w:rsid w:val="008B7C5F"/>
    <w:rsid w:val="008C0E1B"/>
    <w:rsid w:val="008C42AF"/>
    <w:rsid w:val="008C47A0"/>
    <w:rsid w:val="008C653D"/>
    <w:rsid w:val="008D0603"/>
    <w:rsid w:val="008D5A4B"/>
    <w:rsid w:val="008E28A6"/>
    <w:rsid w:val="008E6979"/>
    <w:rsid w:val="008E6B92"/>
    <w:rsid w:val="008F5B08"/>
    <w:rsid w:val="00900100"/>
    <w:rsid w:val="00900B1D"/>
    <w:rsid w:val="009029DC"/>
    <w:rsid w:val="00903FF7"/>
    <w:rsid w:val="00912B61"/>
    <w:rsid w:val="0091378C"/>
    <w:rsid w:val="00913FE5"/>
    <w:rsid w:val="009141C2"/>
    <w:rsid w:val="00914B5F"/>
    <w:rsid w:val="00914C13"/>
    <w:rsid w:val="0091625D"/>
    <w:rsid w:val="009226F9"/>
    <w:rsid w:val="0093051F"/>
    <w:rsid w:val="00931B8A"/>
    <w:rsid w:val="00932F0F"/>
    <w:rsid w:val="009343D3"/>
    <w:rsid w:val="009361E6"/>
    <w:rsid w:val="00940F82"/>
    <w:rsid w:val="009423DD"/>
    <w:rsid w:val="00942993"/>
    <w:rsid w:val="0094787D"/>
    <w:rsid w:val="009506A5"/>
    <w:rsid w:val="00954B31"/>
    <w:rsid w:val="00955562"/>
    <w:rsid w:val="00957CD8"/>
    <w:rsid w:val="009631C8"/>
    <w:rsid w:val="00963487"/>
    <w:rsid w:val="009657C4"/>
    <w:rsid w:val="00972DAA"/>
    <w:rsid w:val="00973562"/>
    <w:rsid w:val="00984869"/>
    <w:rsid w:val="00987C71"/>
    <w:rsid w:val="00987D92"/>
    <w:rsid w:val="009910ED"/>
    <w:rsid w:val="009921A0"/>
    <w:rsid w:val="00993147"/>
    <w:rsid w:val="009967A9"/>
    <w:rsid w:val="009A01C1"/>
    <w:rsid w:val="009A25A5"/>
    <w:rsid w:val="009A29B4"/>
    <w:rsid w:val="009A76AC"/>
    <w:rsid w:val="009B2C0B"/>
    <w:rsid w:val="009B3482"/>
    <w:rsid w:val="009B5620"/>
    <w:rsid w:val="009B6197"/>
    <w:rsid w:val="009C0601"/>
    <w:rsid w:val="009C10B6"/>
    <w:rsid w:val="009C1C97"/>
    <w:rsid w:val="009C27F1"/>
    <w:rsid w:val="009C4281"/>
    <w:rsid w:val="009C5891"/>
    <w:rsid w:val="009C6A5D"/>
    <w:rsid w:val="009C7339"/>
    <w:rsid w:val="009C75B4"/>
    <w:rsid w:val="009C7A01"/>
    <w:rsid w:val="009D174F"/>
    <w:rsid w:val="009D1F03"/>
    <w:rsid w:val="009D6096"/>
    <w:rsid w:val="009E2B66"/>
    <w:rsid w:val="009E3C38"/>
    <w:rsid w:val="009E4063"/>
    <w:rsid w:val="009E41A4"/>
    <w:rsid w:val="009E4E5C"/>
    <w:rsid w:val="009E688E"/>
    <w:rsid w:val="009F2777"/>
    <w:rsid w:val="009F477C"/>
    <w:rsid w:val="009F7485"/>
    <w:rsid w:val="00A01988"/>
    <w:rsid w:val="00A02F29"/>
    <w:rsid w:val="00A032BB"/>
    <w:rsid w:val="00A0406C"/>
    <w:rsid w:val="00A044D6"/>
    <w:rsid w:val="00A05AF7"/>
    <w:rsid w:val="00A06D98"/>
    <w:rsid w:val="00A07545"/>
    <w:rsid w:val="00A139EA"/>
    <w:rsid w:val="00A176A8"/>
    <w:rsid w:val="00A206F8"/>
    <w:rsid w:val="00A210C6"/>
    <w:rsid w:val="00A21504"/>
    <w:rsid w:val="00A21A50"/>
    <w:rsid w:val="00A21CF6"/>
    <w:rsid w:val="00A231EA"/>
    <w:rsid w:val="00A27D5C"/>
    <w:rsid w:val="00A31DD3"/>
    <w:rsid w:val="00A31E49"/>
    <w:rsid w:val="00A41B06"/>
    <w:rsid w:val="00A423ED"/>
    <w:rsid w:val="00A43BFB"/>
    <w:rsid w:val="00A4739F"/>
    <w:rsid w:val="00A47E3E"/>
    <w:rsid w:val="00A52E50"/>
    <w:rsid w:val="00A55322"/>
    <w:rsid w:val="00A558CE"/>
    <w:rsid w:val="00A57660"/>
    <w:rsid w:val="00A57C46"/>
    <w:rsid w:val="00A57F35"/>
    <w:rsid w:val="00A65563"/>
    <w:rsid w:val="00A66BD3"/>
    <w:rsid w:val="00A66C41"/>
    <w:rsid w:val="00A673AF"/>
    <w:rsid w:val="00A67FE0"/>
    <w:rsid w:val="00A71DC5"/>
    <w:rsid w:val="00A72263"/>
    <w:rsid w:val="00A729DD"/>
    <w:rsid w:val="00A76573"/>
    <w:rsid w:val="00A82125"/>
    <w:rsid w:val="00A82FA4"/>
    <w:rsid w:val="00A84118"/>
    <w:rsid w:val="00A87587"/>
    <w:rsid w:val="00A91C8D"/>
    <w:rsid w:val="00A94617"/>
    <w:rsid w:val="00A94665"/>
    <w:rsid w:val="00A94D67"/>
    <w:rsid w:val="00A969CB"/>
    <w:rsid w:val="00AA0779"/>
    <w:rsid w:val="00AA157A"/>
    <w:rsid w:val="00AA377D"/>
    <w:rsid w:val="00AA42CA"/>
    <w:rsid w:val="00AA6BC7"/>
    <w:rsid w:val="00AC3722"/>
    <w:rsid w:val="00AC40DB"/>
    <w:rsid w:val="00AC4C32"/>
    <w:rsid w:val="00AD376E"/>
    <w:rsid w:val="00AE2F36"/>
    <w:rsid w:val="00AE3B1D"/>
    <w:rsid w:val="00AE4492"/>
    <w:rsid w:val="00AE5F50"/>
    <w:rsid w:val="00AE6144"/>
    <w:rsid w:val="00AE675E"/>
    <w:rsid w:val="00AE6CAA"/>
    <w:rsid w:val="00AF45E6"/>
    <w:rsid w:val="00B005A4"/>
    <w:rsid w:val="00B06FC2"/>
    <w:rsid w:val="00B11490"/>
    <w:rsid w:val="00B141D6"/>
    <w:rsid w:val="00B155E4"/>
    <w:rsid w:val="00B16D5D"/>
    <w:rsid w:val="00B20636"/>
    <w:rsid w:val="00B21771"/>
    <w:rsid w:val="00B21796"/>
    <w:rsid w:val="00B233BB"/>
    <w:rsid w:val="00B24624"/>
    <w:rsid w:val="00B27AC0"/>
    <w:rsid w:val="00B32AFB"/>
    <w:rsid w:val="00B34BAD"/>
    <w:rsid w:val="00B3720E"/>
    <w:rsid w:val="00B41FDF"/>
    <w:rsid w:val="00B42D45"/>
    <w:rsid w:val="00B44BD5"/>
    <w:rsid w:val="00B45506"/>
    <w:rsid w:val="00B45B45"/>
    <w:rsid w:val="00B47CAF"/>
    <w:rsid w:val="00B54E59"/>
    <w:rsid w:val="00B562CB"/>
    <w:rsid w:val="00B57819"/>
    <w:rsid w:val="00B609BA"/>
    <w:rsid w:val="00B621DD"/>
    <w:rsid w:val="00B65BE1"/>
    <w:rsid w:val="00B667BC"/>
    <w:rsid w:val="00B6725A"/>
    <w:rsid w:val="00B73155"/>
    <w:rsid w:val="00B76FCA"/>
    <w:rsid w:val="00B779D9"/>
    <w:rsid w:val="00B8705D"/>
    <w:rsid w:val="00B933B4"/>
    <w:rsid w:val="00B94ADE"/>
    <w:rsid w:val="00B94E5F"/>
    <w:rsid w:val="00BA0C32"/>
    <w:rsid w:val="00BA5BB8"/>
    <w:rsid w:val="00BA6488"/>
    <w:rsid w:val="00BA71F9"/>
    <w:rsid w:val="00BB01AA"/>
    <w:rsid w:val="00BB152E"/>
    <w:rsid w:val="00BB1F11"/>
    <w:rsid w:val="00BC1960"/>
    <w:rsid w:val="00BC1DAF"/>
    <w:rsid w:val="00BC25D2"/>
    <w:rsid w:val="00BC2802"/>
    <w:rsid w:val="00BC3A05"/>
    <w:rsid w:val="00BC5EE3"/>
    <w:rsid w:val="00BD0A47"/>
    <w:rsid w:val="00BD6A46"/>
    <w:rsid w:val="00BE1312"/>
    <w:rsid w:val="00BE2886"/>
    <w:rsid w:val="00BE4D86"/>
    <w:rsid w:val="00BF31D5"/>
    <w:rsid w:val="00BF3382"/>
    <w:rsid w:val="00BF54BC"/>
    <w:rsid w:val="00BF60D1"/>
    <w:rsid w:val="00BF632C"/>
    <w:rsid w:val="00BF7B61"/>
    <w:rsid w:val="00C00A9E"/>
    <w:rsid w:val="00C05336"/>
    <w:rsid w:val="00C064A2"/>
    <w:rsid w:val="00C06BBF"/>
    <w:rsid w:val="00C1724E"/>
    <w:rsid w:val="00C17293"/>
    <w:rsid w:val="00C1753D"/>
    <w:rsid w:val="00C20B0E"/>
    <w:rsid w:val="00C20EB9"/>
    <w:rsid w:val="00C25449"/>
    <w:rsid w:val="00C25B6D"/>
    <w:rsid w:val="00C25F7E"/>
    <w:rsid w:val="00C262EA"/>
    <w:rsid w:val="00C26E90"/>
    <w:rsid w:val="00C27674"/>
    <w:rsid w:val="00C30C44"/>
    <w:rsid w:val="00C3170A"/>
    <w:rsid w:val="00C31E4B"/>
    <w:rsid w:val="00C325A2"/>
    <w:rsid w:val="00C32D05"/>
    <w:rsid w:val="00C36C76"/>
    <w:rsid w:val="00C37028"/>
    <w:rsid w:val="00C37CED"/>
    <w:rsid w:val="00C40DCC"/>
    <w:rsid w:val="00C41825"/>
    <w:rsid w:val="00C4184C"/>
    <w:rsid w:val="00C4450E"/>
    <w:rsid w:val="00C4557B"/>
    <w:rsid w:val="00C45629"/>
    <w:rsid w:val="00C50F1B"/>
    <w:rsid w:val="00C5461C"/>
    <w:rsid w:val="00C56522"/>
    <w:rsid w:val="00C60773"/>
    <w:rsid w:val="00C60B80"/>
    <w:rsid w:val="00C60EFE"/>
    <w:rsid w:val="00C6206E"/>
    <w:rsid w:val="00C6242A"/>
    <w:rsid w:val="00C72CFD"/>
    <w:rsid w:val="00C73F8C"/>
    <w:rsid w:val="00C74DA1"/>
    <w:rsid w:val="00C77639"/>
    <w:rsid w:val="00C806FD"/>
    <w:rsid w:val="00C81861"/>
    <w:rsid w:val="00C82BE3"/>
    <w:rsid w:val="00C85139"/>
    <w:rsid w:val="00C91634"/>
    <w:rsid w:val="00C92FE1"/>
    <w:rsid w:val="00C95E30"/>
    <w:rsid w:val="00CA0A0A"/>
    <w:rsid w:val="00CA0E5A"/>
    <w:rsid w:val="00CA2491"/>
    <w:rsid w:val="00CA35C5"/>
    <w:rsid w:val="00CA756F"/>
    <w:rsid w:val="00CA766F"/>
    <w:rsid w:val="00CA7B6B"/>
    <w:rsid w:val="00CC01EE"/>
    <w:rsid w:val="00CC1228"/>
    <w:rsid w:val="00CC364F"/>
    <w:rsid w:val="00CC4F28"/>
    <w:rsid w:val="00CD1CCA"/>
    <w:rsid w:val="00CD1F09"/>
    <w:rsid w:val="00CD50B2"/>
    <w:rsid w:val="00CD5C5B"/>
    <w:rsid w:val="00CE35CA"/>
    <w:rsid w:val="00CE3888"/>
    <w:rsid w:val="00CF22F3"/>
    <w:rsid w:val="00CF2CAA"/>
    <w:rsid w:val="00D0078A"/>
    <w:rsid w:val="00D050A8"/>
    <w:rsid w:val="00D069A8"/>
    <w:rsid w:val="00D06CFB"/>
    <w:rsid w:val="00D078E4"/>
    <w:rsid w:val="00D12028"/>
    <w:rsid w:val="00D1597F"/>
    <w:rsid w:val="00D16AB0"/>
    <w:rsid w:val="00D213F6"/>
    <w:rsid w:val="00D22A42"/>
    <w:rsid w:val="00D23F34"/>
    <w:rsid w:val="00D25D97"/>
    <w:rsid w:val="00D33937"/>
    <w:rsid w:val="00D34C98"/>
    <w:rsid w:val="00D367F9"/>
    <w:rsid w:val="00D36F75"/>
    <w:rsid w:val="00D375EC"/>
    <w:rsid w:val="00D441DA"/>
    <w:rsid w:val="00D4574B"/>
    <w:rsid w:val="00D4609F"/>
    <w:rsid w:val="00D46477"/>
    <w:rsid w:val="00D53A9C"/>
    <w:rsid w:val="00D54EAF"/>
    <w:rsid w:val="00D5537F"/>
    <w:rsid w:val="00D55FBB"/>
    <w:rsid w:val="00D56D0B"/>
    <w:rsid w:val="00D632C2"/>
    <w:rsid w:val="00D66E7D"/>
    <w:rsid w:val="00D67A45"/>
    <w:rsid w:val="00D7058C"/>
    <w:rsid w:val="00D71220"/>
    <w:rsid w:val="00D719B4"/>
    <w:rsid w:val="00D71A3C"/>
    <w:rsid w:val="00D73D3C"/>
    <w:rsid w:val="00D740B5"/>
    <w:rsid w:val="00D83AC7"/>
    <w:rsid w:val="00D84052"/>
    <w:rsid w:val="00D8511B"/>
    <w:rsid w:val="00D91C41"/>
    <w:rsid w:val="00DA19E7"/>
    <w:rsid w:val="00DA4A47"/>
    <w:rsid w:val="00DA6263"/>
    <w:rsid w:val="00DB0579"/>
    <w:rsid w:val="00DB0D24"/>
    <w:rsid w:val="00DB7219"/>
    <w:rsid w:val="00DC1BB2"/>
    <w:rsid w:val="00DC40DC"/>
    <w:rsid w:val="00DC7658"/>
    <w:rsid w:val="00DD4FB8"/>
    <w:rsid w:val="00DE51F3"/>
    <w:rsid w:val="00DE5260"/>
    <w:rsid w:val="00DF0543"/>
    <w:rsid w:val="00DF11F9"/>
    <w:rsid w:val="00DF29E6"/>
    <w:rsid w:val="00DF5F23"/>
    <w:rsid w:val="00DF69F6"/>
    <w:rsid w:val="00E00EBA"/>
    <w:rsid w:val="00E077CE"/>
    <w:rsid w:val="00E101E5"/>
    <w:rsid w:val="00E108C4"/>
    <w:rsid w:val="00E1127F"/>
    <w:rsid w:val="00E11861"/>
    <w:rsid w:val="00E11AC2"/>
    <w:rsid w:val="00E12B4B"/>
    <w:rsid w:val="00E140AB"/>
    <w:rsid w:val="00E15133"/>
    <w:rsid w:val="00E16904"/>
    <w:rsid w:val="00E20B24"/>
    <w:rsid w:val="00E2786A"/>
    <w:rsid w:val="00E30E8A"/>
    <w:rsid w:val="00E31536"/>
    <w:rsid w:val="00E33BEB"/>
    <w:rsid w:val="00E34842"/>
    <w:rsid w:val="00E4465A"/>
    <w:rsid w:val="00E44767"/>
    <w:rsid w:val="00E46D41"/>
    <w:rsid w:val="00E47DA8"/>
    <w:rsid w:val="00E56BCE"/>
    <w:rsid w:val="00E61EE7"/>
    <w:rsid w:val="00E6214B"/>
    <w:rsid w:val="00E64CB2"/>
    <w:rsid w:val="00E720A0"/>
    <w:rsid w:val="00E72B7D"/>
    <w:rsid w:val="00E74610"/>
    <w:rsid w:val="00E76EBF"/>
    <w:rsid w:val="00E81F30"/>
    <w:rsid w:val="00E837F7"/>
    <w:rsid w:val="00E93FBC"/>
    <w:rsid w:val="00EA1808"/>
    <w:rsid w:val="00EA46EF"/>
    <w:rsid w:val="00EB043B"/>
    <w:rsid w:val="00EB06C6"/>
    <w:rsid w:val="00EB093A"/>
    <w:rsid w:val="00EB173C"/>
    <w:rsid w:val="00EB266A"/>
    <w:rsid w:val="00EB4C94"/>
    <w:rsid w:val="00EB77F7"/>
    <w:rsid w:val="00EC1E8F"/>
    <w:rsid w:val="00EC26A3"/>
    <w:rsid w:val="00EC2F3C"/>
    <w:rsid w:val="00EC3A95"/>
    <w:rsid w:val="00EC5AB9"/>
    <w:rsid w:val="00EC69D9"/>
    <w:rsid w:val="00ED0F04"/>
    <w:rsid w:val="00ED50EF"/>
    <w:rsid w:val="00EE6281"/>
    <w:rsid w:val="00EE7117"/>
    <w:rsid w:val="00EF0DCC"/>
    <w:rsid w:val="00EF3753"/>
    <w:rsid w:val="00EF3E47"/>
    <w:rsid w:val="00F00199"/>
    <w:rsid w:val="00F025A9"/>
    <w:rsid w:val="00F032EF"/>
    <w:rsid w:val="00F03833"/>
    <w:rsid w:val="00F04EE1"/>
    <w:rsid w:val="00F07DFF"/>
    <w:rsid w:val="00F10DC1"/>
    <w:rsid w:val="00F1211D"/>
    <w:rsid w:val="00F128DF"/>
    <w:rsid w:val="00F13CD8"/>
    <w:rsid w:val="00F13F6D"/>
    <w:rsid w:val="00F1506C"/>
    <w:rsid w:val="00F1613C"/>
    <w:rsid w:val="00F1620F"/>
    <w:rsid w:val="00F16ACE"/>
    <w:rsid w:val="00F17EF0"/>
    <w:rsid w:val="00F17FDA"/>
    <w:rsid w:val="00F20EA6"/>
    <w:rsid w:val="00F20F49"/>
    <w:rsid w:val="00F2367F"/>
    <w:rsid w:val="00F23EFC"/>
    <w:rsid w:val="00F24D4A"/>
    <w:rsid w:val="00F254B9"/>
    <w:rsid w:val="00F26B0B"/>
    <w:rsid w:val="00F27EFD"/>
    <w:rsid w:val="00F3395B"/>
    <w:rsid w:val="00F35000"/>
    <w:rsid w:val="00F37F40"/>
    <w:rsid w:val="00F46124"/>
    <w:rsid w:val="00F5177C"/>
    <w:rsid w:val="00F52D1D"/>
    <w:rsid w:val="00F61C2A"/>
    <w:rsid w:val="00F63E55"/>
    <w:rsid w:val="00F64187"/>
    <w:rsid w:val="00F64AF7"/>
    <w:rsid w:val="00F66A3D"/>
    <w:rsid w:val="00F67739"/>
    <w:rsid w:val="00F71824"/>
    <w:rsid w:val="00F71D8C"/>
    <w:rsid w:val="00F72A07"/>
    <w:rsid w:val="00F73636"/>
    <w:rsid w:val="00F77E41"/>
    <w:rsid w:val="00F80297"/>
    <w:rsid w:val="00F830FB"/>
    <w:rsid w:val="00F8401E"/>
    <w:rsid w:val="00F84ECB"/>
    <w:rsid w:val="00F857CF"/>
    <w:rsid w:val="00F936F2"/>
    <w:rsid w:val="00F93DA7"/>
    <w:rsid w:val="00FA559A"/>
    <w:rsid w:val="00FB10E7"/>
    <w:rsid w:val="00FB1239"/>
    <w:rsid w:val="00FB2C07"/>
    <w:rsid w:val="00FB75EB"/>
    <w:rsid w:val="00FC0A6B"/>
    <w:rsid w:val="00FC0CA6"/>
    <w:rsid w:val="00FC108E"/>
    <w:rsid w:val="00FC1305"/>
    <w:rsid w:val="00FC3D8B"/>
    <w:rsid w:val="00FC59B8"/>
    <w:rsid w:val="00FC7DB5"/>
    <w:rsid w:val="00FD0327"/>
    <w:rsid w:val="00FF1407"/>
    <w:rsid w:val="00FF193D"/>
    <w:rsid w:val="00FF23F6"/>
    <w:rsid w:val="00FF7692"/>
    <w:rsid w:val="00FF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3B7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063"/>
    <w:pPr>
      <w:numPr>
        <w:numId w:val="23"/>
      </w:numPr>
      <w:spacing w:before="240" w:after="60"/>
      <w:outlineLvl w:val="0"/>
    </w:pPr>
    <w:rPr>
      <w:rFonts w:ascii="Calibri" w:eastAsiaTheme="minorEastAsia" w:hAnsi="Calibri"/>
      <w:b/>
      <w:szCs w:val="36"/>
      <w:lang w:eastAsia="zh-TW"/>
    </w:rPr>
  </w:style>
  <w:style w:type="paragraph" w:styleId="Heading2">
    <w:name w:val="heading 2"/>
    <w:basedOn w:val="Normal"/>
    <w:link w:val="Heading2Char"/>
    <w:uiPriority w:val="9"/>
    <w:qFormat/>
    <w:rsid w:val="009E4063"/>
    <w:pPr>
      <w:numPr>
        <w:ilvl w:val="1"/>
        <w:numId w:val="23"/>
      </w:numPr>
      <w:spacing w:before="240" w:after="60"/>
      <w:outlineLvl w:val="1"/>
    </w:pPr>
    <w:rPr>
      <w:rFonts w:ascii="Calibri" w:eastAsiaTheme="minorEastAsia" w:hAnsi="Calibri"/>
      <w:sz w:val="22"/>
      <w:szCs w:val="28"/>
      <w:lang w:eastAsia="zh-TW"/>
    </w:rPr>
  </w:style>
  <w:style w:type="paragraph" w:styleId="Heading4">
    <w:name w:val="heading 4"/>
    <w:basedOn w:val="Normal"/>
    <w:link w:val="Heading4Char"/>
    <w:uiPriority w:val="9"/>
    <w:qFormat/>
    <w:rsid w:val="009E4063"/>
    <w:pPr>
      <w:numPr>
        <w:ilvl w:val="3"/>
        <w:numId w:val="23"/>
      </w:numPr>
      <w:spacing w:before="100" w:after="100"/>
      <w:outlineLvl w:val="3"/>
    </w:pPr>
    <w:rPr>
      <w:rFonts w:ascii="Calibri" w:eastAsiaTheme="minorEastAsia" w:hAnsi="Calibri"/>
      <w:sz w:val="22"/>
      <w:szCs w:val="22"/>
      <w:lang w:eastAsia="zh-TW"/>
    </w:rPr>
  </w:style>
  <w:style w:type="paragraph" w:styleId="Heading5">
    <w:name w:val="heading 5"/>
    <w:basedOn w:val="Normal"/>
    <w:link w:val="Heading5Char"/>
    <w:uiPriority w:val="9"/>
    <w:qFormat/>
    <w:rsid w:val="009E4063"/>
    <w:pPr>
      <w:numPr>
        <w:ilvl w:val="4"/>
        <w:numId w:val="23"/>
      </w:numPr>
      <w:spacing w:before="100" w:after="100"/>
      <w:outlineLvl w:val="4"/>
    </w:pPr>
    <w:rPr>
      <w:rFonts w:ascii="Calibri" w:hAnsi="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RA List Paragraph,NRA List Paragra"/>
    <w:basedOn w:val="Normal"/>
    <w:link w:val="ListParagraphChar"/>
    <w:uiPriority w:val="34"/>
    <w:qFormat/>
    <w:rsid w:val="00C1753D"/>
    <w:pPr>
      <w:ind w:left="720"/>
      <w:contextualSpacing/>
    </w:pPr>
  </w:style>
  <w:style w:type="character" w:customStyle="1" w:styleId="ListParagraphChar">
    <w:name w:val="List Paragraph Char"/>
    <w:aliases w:val="NRA List Paragraph Char,NRA List Paragra Char"/>
    <w:basedOn w:val="DefaultParagraphFont"/>
    <w:link w:val="ListParagraph"/>
    <w:uiPriority w:val="34"/>
    <w:rsid w:val="00160228"/>
  </w:style>
  <w:style w:type="paragraph" w:customStyle="1" w:styleId="Default">
    <w:name w:val="Default"/>
    <w:rsid w:val="00C262EA"/>
    <w:pPr>
      <w:autoSpaceDE w:val="0"/>
      <w:autoSpaceDN w:val="0"/>
      <w:adjustRightInd w:val="0"/>
    </w:pPr>
    <w:rPr>
      <w:rFonts w:ascii="Times New Roman" w:hAnsi="Times New Roman" w:cs="Times New Roman"/>
      <w:color w:val="000000"/>
      <w:lang w:val="en-US"/>
    </w:rPr>
  </w:style>
  <w:style w:type="character" w:styleId="CommentReference">
    <w:name w:val="annotation reference"/>
    <w:basedOn w:val="DefaultParagraphFont"/>
    <w:uiPriority w:val="99"/>
    <w:semiHidden/>
    <w:unhideWhenUsed/>
    <w:rsid w:val="009C5891"/>
    <w:rPr>
      <w:sz w:val="16"/>
      <w:szCs w:val="16"/>
    </w:rPr>
  </w:style>
  <w:style w:type="paragraph" w:styleId="CommentText">
    <w:name w:val="annotation text"/>
    <w:basedOn w:val="Normal"/>
    <w:link w:val="CommentTextChar"/>
    <w:uiPriority w:val="99"/>
    <w:unhideWhenUsed/>
    <w:rsid w:val="009C5891"/>
    <w:rPr>
      <w:sz w:val="20"/>
      <w:szCs w:val="20"/>
    </w:rPr>
  </w:style>
  <w:style w:type="character" w:customStyle="1" w:styleId="CommentTextChar">
    <w:name w:val="Comment Text Char"/>
    <w:basedOn w:val="DefaultParagraphFont"/>
    <w:link w:val="CommentText"/>
    <w:uiPriority w:val="99"/>
    <w:rsid w:val="009C5891"/>
    <w:rPr>
      <w:sz w:val="20"/>
      <w:szCs w:val="20"/>
    </w:rPr>
  </w:style>
  <w:style w:type="paragraph" w:styleId="CommentSubject">
    <w:name w:val="annotation subject"/>
    <w:basedOn w:val="CommentText"/>
    <w:next w:val="CommentText"/>
    <w:link w:val="CommentSubjectChar"/>
    <w:uiPriority w:val="99"/>
    <w:semiHidden/>
    <w:unhideWhenUsed/>
    <w:rsid w:val="009C5891"/>
    <w:rPr>
      <w:b/>
      <w:bCs/>
    </w:rPr>
  </w:style>
  <w:style w:type="character" w:customStyle="1" w:styleId="CommentSubjectChar">
    <w:name w:val="Comment Subject Char"/>
    <w:basedOn w:val="CommentTextChar"/>
    <w:link w:val="CommentSubject"/>
    <w:uiPriority w:val="99"/>
    <w:semiHidden/>
    <w:rsid w:val="009C5891"/>
    <w:rPr>
      <w:b/>
      <w:bCs/>
      <w:sz w:val="20"/>
      <w:szCs w:val="20"/>
    </w:rPr>
  </w:style>
  <w:style w:type="paragraph" w:styleId="BalloonText">
    <w:name w:val="Balloon Text"/>
    <w:basedOn w:val="Normal"/>
    <w:link w:val="BalloonTextChar"/>
    <w:uiPriority w:val="99"/>
    <w:semiHidden/>
    <w:unhideWhenUsed/>
    <w:rsid w:val="009C58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891"/>
    <w:rPr>
      <w:rFonts w:ascii="Times New Roman" w:hAnsi="Times New Roman" w:cs="Times New Roman"/>
      <w:sz w:val="18"/>
      <w:szCs w:val="18"/>
    </w:rPr>
  </w:style>
  <w:style w:type="paragraph" w:styleId="NormalWeb">
    <w:name w:val="Normal (Web)"/>
    <w:basedOn w:val="Normal"/>
    <w:uiPriority w:val="99"/>
    <w:unhideWhenUsed/>
    <w:rsid w:val="00C26E90"/>
    <w:pPr>
      <w:spacing w:before="100" w:beforeAutospacing="1" w:after="100" w:afterAutospacing="1"/>
    </w:pPr>
    <w:rPr>
      <w:rFonts w:ascii="Times New Roman" w:eastAsia="Times New Roman" w:hAnsi="Times New Roman" w:cs="Times New Roman"/>
      <w:lang w:val="de-DE"/>
    </w:rPr>
  </w:style>
  <w:style w:type="character" w:customStyle="1" w:styleId="apple-converted-space">
    <w:name w:val="apple-converted-space"/>
    <w:basedOn w:val="DefaultParagraphFont"/>
    <w:rsid w:val="00C26E90"/>
  </w:style>
  <w:style w:type="character" w:styleId="Hyperlink">
    <w:name w:val="Hyperlink"/>
    <w:basedOn w:val="DefaultParagraphFont"/>
    <w:uiPriority w:val="99"/>
    <w:unhideWhenUsed/>
    <w:rsid w:val="00AE4492"/>
    <w:rPr>
      <w:color w:val="0563C1"/>
      <w:u w:val="single"/>
    </w:rPr>
  </w:style>
  <w:style w:type="character" w:customStyle="1" w:styleId="spelle">
    <w:name w:val="spelle"/>
    <w:basedOn w:val="DefaultParagraphFont"/>
    <w:rsid w:val="00FC0CA6"/>
  </w:style>
  <w:style w:type="character" w:customStyle="1" w:styleId="grame">
    <w:name w:val="grame"/>
    <w:basedOn w:val="DefaultParagraphFont"/>
    <w:rsid w:val="00FC0CA6"/>
  </w:style>
  <w:style w:type="character" w:customStyle="1" w:styleId="UnresolvedMention1">
    <w:name w:val="Unresolved Mention1"/>
    <w:basedOn w:val="DefaultParagraphFont"/>
    <w:uiPriority w:val="99"/>
    <w:rsid w:val="0008503E"/>
    <w:rPr>
      <w:color w:val="605E5C"/>
      <w:shd w:val="clear" w:color="auto" w:fill="E1DFDD"/>
    </w:rPr>
  </w:style>
  <w:style w:type="character" w:styleId="FollowedHyperlink">
    <w:name w:val="FollowedHyperlink"/>
    <w:basedOn w:val="DefaultParagraphFont"/>
    <w:uiPriority w:val="99"/>
    <w:semiHidden/>
    <w:unhideWhenUsed/>
    <w:rsid w:val="0008503E"/>
    <w:rPr>
      <w:color w:val="954F72" w:themeColor="followedHyperlink"/>
      <w:u w:val="single"/>
    </w:rPr>
  </w:style>
  <w:style w:type="paragraph" w:styleId="FootnoteText">
    <w:name w:val="footnote text"/>
    <w:basedOn w:val="Normal"/>
    <w:link w:val="FootnoteTextChar"/>
    <w:uiPriority w:val="99"/>
    <w:unhideWhenUsed/>
    <w:rsid w:val="00855B2E"/>
    <w:rPr>
      <w:sz w:val="20"/>
      <w:szCs w:val="20"/>
    </w:rPr>
  </w:style>
  <w:style w:type="character" w:customStyle="1" w:styleId="FootnoteTextChar">
    <w:name w:val="Footnote Text Char"/>
    <w:basedOn w:val="DefaultParagraphFont"/>
    <w:link w:val="FootnoteText"/>
    <w:uiPriority w:val="99"/>
    <w:rsid w:val="00855B2E"/>
    <w:rPr>
      <w:sz w:val="20"/>
      <w:szCs w:val="20"/>
    </w:rPr>
  </w:style>
  <w:style w:type="character" w:styleId="FootnoteReference">
    <w:name w:val="footnote reference"/>
    <w:basedOn w:val="DefaultParagraphFont"/>
    <w:uiPriority w:val="99"/>
    <w:unhideWhenUsed/>
    <w:rsid w:val="00855B2E"/>
    <w:rPr>
      <w:vertAlign w:val="superscript"/>
    </w:rPr>
  </w:style>
  <w:style w:type="paragraph" w:styleId="Revision">
    <w:name w:val="Revision"/>
    <w:hidden/>
    <w:uiPriority w:val="99"/>
    <w:semiHidden/>
    <w:rsid w:val="00F67739"/>
  </w:style>
  <w:style w:type="character" w:customStyle="1" w:styleId="Heading1Char">
    <w:name w:val="Heading 1 Char"/>
    <w:basedOn w:val="DefaultParagraphFont"/>
    <w:link w:val="Heading1"/>
    <w:uiPriority w:val="9"/>
    <w:rsid w:val="009E4063"/>
    <w:rPr>
      <w:rFonts w:ascii="Calibri" w:eastAsiaTheme="minorEastAsia" w:hAnsi="Calibri"/>
      <w:b/>
      <w:szCs w:val="36"/>
      <w:lang w:eastAsia="zh-TW"/>
    </w:rPr>
  </w:style>
  <w:style w:type="character" w:customStyle="1" w:styleId="Heading2Char">
    <w:name w:val="Heading 2 Char"/>
    <w:basedOn w:val="DefaultParagraphFont"/>
    <w:link w:val="Heading2"/>
    <w:uiPriority w:val="9"/>
    <w:rsid w:val="009E4063"/>
    <w:rPr>
      <w:rFonts w:ascii="Calibri" w:eastAsiaTheme="minorEastAsia" w:hAnsi="Calibri"/>
      <w:sz w:val="22"/>
      <w:szCs w:val="28"/>
      <w:lang w:eastAsia="zh-TW"/>
    </w:rPr>
  </w:style>
  <w:style w:type="character" w:customStyle="1" w:styleId="Heading4Char">
    <w:name w:val="Heading 4 Char"/>
    <w:basedOn w:val="DefaultParagraphFont"/>
    <w:link w:val="Heading4"/>
    <w:uiPriority w:val="9"/>
    <w:rsid w:val="009E4063"/>
    <w:rPr>
      <w:rFonts w:ascii="Calibri" w:eastAsiaTheme="minorEastAsia" w:hAnsi="Calibri"/>
      <w:sz w:val="22"/>
      <w:szCs w:val="22"/>
      <w:lang w:eastAsia="zh-TW"/>
    </w:rPr>
  </w:style>
  <w:style w:type="character" w:customStyle="1" w:styleId="Heading5Char">
    <w:name w:val="Heading 5 Char"/>
    <w:basedOn w:val="DefaultParagraphFont"/>
    <w:link w:val="Heading5"/>
    <w:uiPriority w:val="9"/>
    <w:rsid w:val="009E4063"/>
    <w:rPr>
      <w:rFonts w:ascii="Calibri" w:hAnsi="Calibri"/>
      <w:sz w:val="22"/>
      <w:szCs w:val="22"/>
      <w:lang w:eastAsia="zh-TW"/>
    </w:rPr>
  </w:style>
  <w:style w:type="character" w:customStyle="1" w:styleId="UnresolvedMention2">
    <w:name w:val="Unresolved Mention2"/>
    <w:basedOn w:val="DefaultParagraphFont"/>
    <w:uiPriority w:val="99"/>
    <w:semiHidden/>
    <w:unhideWhenUsed/>
    <w:rsid w:val="009E4063"/>
    <w:rPr>
      <w:color w:val="605E5C"/>
      <w:shd w:val="clear" w:color="auto" w:fill="E1DFDD"/>
    </w:rPr>
  </w:style>
  <w:style w:type="table" w:styleId="TableGrid">
    <w:name w:val="Table Grid"/>
    <w:basedOn w:val="TableNormal"/>
    <w:uiPriority w:val="59"/>
    <w:rsid w:val="005C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C108E"/>
    <w:pPr>
      <w:tabs>
        <w:tab w:val="center" w:pos="4680"/>
        <w:tab w:val="right" w:pos="9360"/>
      </w:tabs>
    </w:pPr>
  </w:style>
  <w:style w:type="character" w:customStyle="1" w:styleId="HeaderChar">
    <w:name w:val="Header Char"/>
    <w:basedOn w:val="DefaultParagraphFont"/>
    <w:link w:val="Header"/>
    <w:uiPriority w:val="99"/>
    <w:rsid w:val="00FC108E"/>
  </w:style>
  <w:style w:type="paragraph" w:styleId="Footer">
    <w:name w:val="footer"/>
    <w:basedOn w:val="Normal"/>
    <w:link w:val="FooterChar"/>
    <w:uiPriority w:val="99"/>
    <w:unhideWhenUsed/>
    <w:rsid w:val="00FC108E"/>
    <w:pPr>
      <w:tabs>
        <w:tab w:val="center" w:pos="4680"/>
        <w:tab w:val="right" w:pos="9360"/>
      </w:tabs>
    </w:pPr>
  </w:style>
  <w:style w:type="character" w:customStyle="1" w:styleId="FooterChar">
    <w:name w:val="Footer Char"/>
    <w:basedOn w:val="DefaultParagraphFont"/>
    <w:link w:val="Footer"/>
    <w:uiPriority w:val="99"/>
    <w:rsid w:val="00FC108E"/>
  </w:style>
  <w:style w:type="character" w:styleId="UnresolvedMention">
    <w:name w:val="Unresolved Mention"/>
    <w:basedOn w:val="DefaultParagraphFont"/>
    <w:uiPriority w:val="99"/>
    <w:semiHidden/>
    <w:unhideWhenUsed/>
    <w:rsid w:val="007D61F5"/>
    <w:rPr>
      <w:color w:val="605E5C"/>
      <w:shd w:val="clear" w:color="auto" w:fill="E1DFDD"/>
    </w:rPr>
  </w:style>
  <w:style w:type="paragraph" w:styleId="Title">
    <w:name w:val="Title"/>
    <w:basedOn w:val="Normal"/>
    <w:next w:val="Normal"/>
    <w:link w:val="TitleChar"/>
    <w:uiPriority w:val="10"/>
    <w:qFormat/>
    <w:rsid w:val="00CC4F2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C4F2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7244">
      <w:bodyDiv w:val="1"/>
      <w:marLeft w:val="0"/>
      <w:marRight w:val="0"/>
      <w:marTop w:val="0"/>
      <w:marBottom w:val="0"/>
      <w:divBdr>
        <w:top w:val="none" w:sz="0" w:space="0" w:color="auto"/>
        <w:left w:val="none" w:sz="0" w:space="0" w:color="auto"/>
        <w:bottom w:val="none" w:sz="0" w:space="0" w:color="auto"/>
        <w:right w:val="none" w:sz="0" w:space="0" w:color="auto"/>
      </w:divBdr>
    </w:div>
    <w:div w:id="211037016">
      <w:bodyDiv w:val="1"/>
      <w:marLeft w:val="0"/>
      <w:marRight w:val="0"/>
      <w:marTop w:val="0"/>
      <w:marBottom w:val="0"/>
      <w:divBdr>
        <w:top w:val="none" w:sz="0" w:space="0" w:color="auto"/>
        <w:left w:val="none" w:sz="0" w:space="0" w:color="auto"/>
        <w:bottom w:val="none" w:sz="0" w:space="0" w:color="auto"/>
        <w:right w:val="none" w:sz="0" w:space="0" w:color="auto"/>
      </w:divBdr>
      <w:divsChild>
        <w:div w:id="23018794">
          <w:marLeft w:val="0"/>
          <w:marRight w:val="0"/>
          <w:marTop w:val="0"/>
          <w:marBottom w:val="0"/>
          <w:divBdr>
            <w:top w:val="none" w:sz="0" w:space="0" w:color="auto"/>
            <w:left w:val="none" w:sz="0" w:space="0" w:color="auto"/>
            <w:bottom w:val="none" w:sz="0" w:space="0" w:color="auto"/>
            <w:right w:val="none" w:sz="0" w:space="0" w:color="auto"/>
          </w:divBdr>
        </w:div>
        <w:div w:id="29766113">
          <w:marLeft w:val="0"/>
          <w:marRight w:val="0"/>
          <w:marTop w:val="0"/>
          <w:marBottom w:val="0"/>
          <w:divBdr>
            <w:top w:val="none" w:sz="0" w:space="0" w:color="auto"/>
            <w:left w:val="none" w:sz="0" w:space="0" w:color="auto"/>
            <w:bottom w:val="none" w:sz="0" w:space="0" w:color="auto"/>
            <w:right w:val="none" w:sz="0" w:space="0" w:color="auto"/>
          </w:divBdr>
        </w:div>
        <w:div w:id="43793659">
          <w:marLeft w:val="0"/>
          <w:marRight w:val="0"/>
          <w:marTop w:val="0"/>
          <w:marBottom w:val="0"/>
          <w:divBdr>
            <w:top w:val="none" w:sz="0" w:space="0" w:color="auto"/>
            <w:left w:val="none" w:sz="0" w:space="0" w:color="auto"/>
            <w:bottom w:val="none" w:sz="0" w:space="0" w:color="auto"/>
            <w:right w:val="none" w:sz="0" w:space="0" w:color="auto"/>
          </w:divBdr>
        </w:div>
        <w:div w:id="51272789">
          <w:marLeft w:val="0"/>
          <w:marRight w:val="0"/>
          <w:marTop w:val="0"/>
          <w:marBottom w:val="0"/>
          <w:divBdr>
            <w:top w:val="none" w:sz="0" w:space="0" w:color="auto"/>
            <w:left w:val="none" w:sz="0" w:space="0" w:color="auto"/>
            <w:bottom w:val="none" w:sz="0" w:space="0" w:color="auto"/>
            <w:right w:val="none" w:sz="0" w:space="0" w:color="auto"/>
          </w:divBdr>
          <w:divsChild>
            <w:div w:id="139080768">
              <w:marLeft w:val="0"/>
              <w:marRight w:val="0"/>
              <w:marTop w:val="0"/>
              <w:marBottom w:val="0"/>
              <w:divBdr>
                <w:top w:val="none" w:sz="0" w:space="0" w:color="auto"/>
                <w:left w:val="none" w:sz="0" w:space="0" w:color="auto"/>
                <w:bottom w:val="none" w:sz="0" w:space="0" w:color="auto"/>
                <w:right w:val="none" w:sz="0" w:space="0" w:color="auto"/>
              </w:divBdr>
            </w:div>
          </w:divsChild>
        </w:div>
        <w:div w:id="52588522">
          <w:marLeft w:val="0"/>
          <w:marRight w:val="0"/>
          <w:marTop w:val="0"/>
          <w:marBottom w:val="0"/>
          <w:divBdr>
            <w:top w:val="none" w:sz="0" w:space="0" w:color="auto"/>
            <w:left w:val="none" w:sz="0" w:space="0" w:color="auto"/>
            <w:bottom w:val="none" w:sz="0" w:space="0" w:color="auto"/>
            <w:right w:val="none" w:sz="0" w:space="0" w:color="auto"/>
          </w:divBdr>
        </w:div>
        <w:div w:id="55981005">
          <w:marLeft w:val="0"/>
          <w:marRight w:val="0"/>
          <w:marTop w:val="0"/>
          <w:marBottom w:val="0"/>
          <w:divBdr>
            <w:top w:val="none" w:sz="0" w:space="0" w:color="auto"/>
            <w:left w:val="none" w:sz="0" w:space="0" w:color="auto"/>
            <w:bottom w:val="none" w:sz="0" w:space="0" w:color="auto"/>
            <w:right w:val="none" w:sz="0" w:space="0" w:color="auto"/>
          </w:divBdr>
        </w:div>
        <w:div w:id="60762004">
          <w:marLeft w:val="0"/>
          <w:marRight w:val="0"/>
          <w:marTop w:val="0"/>
          <w:marBottom w:val="0"/>
          <w:divBdr>
            <w:top w:val="none" w:sz="0" w:space="0" w:color="auto"/>
            <w:left w:val="none" w:sz="0" w:space="0" w:color="auto"/>
            <w:bottom w:val="none" w:sz="0" w:space="0" w:color="auto"/>
            <w:right w:val="none" w:sz="0" w:space="0" w:color="auto"/>
          </w:divBdr>
        </w:div>
        <w:div w:id="62534861">
          <w:marLeft w:val="0"/>
          <w:marRight w:val="0"/>
          <w:marTop w:val="0"/>
          <w:marBottom w:val="0"/>
          <w:divBdr>
            <w:top w:val="none" w:sz="0" w:space="0" w:color="auto"/>
            <w:left w:val="none" w:sz="0" w:space="0" w:color="auto"/>
            <w:bottom w:val="none" w:sz="0" w:space="0" w:color="auto"/>
            <w:right w:val="none" w:sz="0" w:space="0" w:color="auto"/>
          </w:divBdr>
        </w:div>
        <w:div w:id="72050133">
          <w:marLeft w:val="0"/>
          <w:marRight w:val="0"/>
          <w:marTop w:val="0"/>
          <w:marBottom w:val="0"/>
          <w:divBdr>
            <w:top w:val="none" w:sz="0" w:space="0" w:color="auto"/>
            <w:left w:val="none" w:sz="0" w:space="0" w:color="auto"/>
            <w:bottom w:val="none" w:sz="0" w:space="0" w:color="auto"/>
            <w:right w:val="none" w:sz="0" w:space="0" w:color="auto"/>
          </w:divBdr>
        </w:div>
        <w:div w:id="89931364">
          <w:marLeft w:val="0"/>
          <w:marRight w:val="0"/>
          <w:marTop w:val="0"/>
          <w:marBottom w:val="0"/>
          <w:divBdr>
            <w:top w:val="none" w:sz="0" w:space="0" w:color="auto"/>
            <w:left w:val="none" w:sz="0" w:space="0" w:color="auto"/>
            <w:bottom w:val="none" w:sz="0" w:space="0" w:color="auto"/>
            <w:right w:val="none" w:sz="0" w:space="0" w:color="auto"/>
          </w:divBdr>
        </w:div>
        <w:div w:id="96147807">
          <w:marLeft w:val="0"/>
          <w:marRight w:val="0"/>
          <w:marTop w:val="0"/>
          <w:marBottom w:val="0"/>
          <w:divBdr>
            <w:top w:val="none" w:sz="0" w:space="0" w:color="auto"/>
            <w:left w:val="none" w:sz="0" w:space="0" w:color="auto"/>
            <w:bottom w:val="none" w:sz="0" w:space="0" w:color="auto"/>
            <w:right w:val="none" w:sz="0" w:space="0" w:color="auto"/>
          </w:divBdr>
        </w:div>
        <w:div w:id="132796425">
          <w:marLeft w:val="0"/>
          <w:marRight w:val="0"/>
          <w:marTop w:val="0"/>
          <w:marBottom w:val="0"/>
          <w:divBdr>
            <w:top w:val="none" w:sz="0" w:space="0" w:color="auto"/>
            <w:left w:val="none" w:sz="0" w:space="0" w:color="auto"/>
            <w:bottom w:val="none" w:sz="0" w:space="0" w:color="auto"/>
            <w:right w:val="none" w:sz="0" w:space="0" w:color="auto"/>
          </w:divBdr>
          <w:divsChild>
            <w:div w:id="383917996">
              <w:marLeft w:val="0"/>
              <w:marRight w:val="0"/>
              <w:marTop w:val="0"/>
              <w:marBottom w:val="0"/>
              <w:divBdr>
                <w:top w:val="none" w:sz="0" w:space="0" w:color="auto"/>
                <w:left w:val="none" w:sz="0" w:space="0" w:color="auto"/>
                <w:bottom w:val="none" w:sz="0" w:space="0" w:color="auto"/>
                <w:right w:val="none" w:sz="0" w:space="0" w:color="auto"/>
              </w:divBdr>
            </w:div>
          </w:divsChild>
        </w:div>
        <w:div w:id="179204762">
          <w:marLeft w:val="0"/>
          <w:marRight w:val="0"/>
          <w:marTop w:val="0"/>
          <w:marBottom w:val="0"/>
          <w:divBdr>
            <w:top w:val="none" w:sz="0" w:space="0" w:color="auto"/>
            <w:left w:val="none" w:sz="0" w:space="0" w:color="auto"/>
            <w:bottom w:val="none" w:sz="0" w:space="0" w:color="auto"/>
            <w:right w:val="none" w:sz="0" w:space="0" w:color="auto"/>
          </w:divBdr>
          <w:divsChild>
            <w:div w:id="2057972866">
              <w:marLeft w:val="0"/>
              <w:marRight w:val="0"/>
              <w:marTop w:val="0"/>
              <w:marBottom w:val="0"/>
              <w:divBdr>
                <w:top w:val="none" w:sz="0" w:space="0" w:color="auto"/>
                <w:left w:val="none" w:sz="0" w:space="0" w:color="auto"/>
                <w:bottom w:val="none" w:sz="0" w:space="0" w:color="auto"/>
                <w:right w:val="none" w:sz="0" w:space="0" w:color="auto"/>
              </w:divBdr>
            </w:div>
          </w:divsChild>
        </w:div>
        <w:div w:id="180054943">
          <w:marLeft w:val="0"/>
          <w:marRight w:val="0"/>
          <w:marTop w:val="0"/>
          <w:marBottom w:val="0"/>
          <w:divBdr>
            <w:top w:val="none" w:sz="0" w:space="0" w:color="auto"/>
            <w:left w:val="none" w:sz="0" w:space="0" w:color="auto"/>
            <w:bottom w:val="none" w:sz="0" w:space="0" w:color="auto"/>
            <w:right w:val="none" w:sz="0" w:space="0" w:color="auto"/>
          </w:divBdr>
        </w:div>
        <w:div w:id="202713213">
          <w:marLeft w:val="0"/>
          <w:marRight w:val="0"/>
          <w:marTop w:val="0"/>
          <w:marBottom w:val="0"/>
          <w:divBdr>
            <w:top w:val="none" w:sz="0" w:space="0" w:color="auto"/>
            <w:left w:val="none" w:sz="0" w:space="0" w:color="auto"/>
            <w:bottom w:val="none" w:sz="0" w:space="0" w:color="auto"/>
            <w:right w:val="none" w:sz="0" w:space="0" w:color="auto"/>
          </w:divBdr>
        </w:div>
        <w:div w:id="212861067">
          <w:marLeft w:val="0"/>
          <w:marRight w:val="0"/>
          <w:marTop w:val="0"/>
          <w:marBottom w:val="0"/>
          <w:divBdr>
            <w:top w:val="none" w:sz="0" w:space="0" w:color="auto"/>
            <w:left w:val="none" w:sz="0" w:space="0" w:color="auto"/>
            <w:bottom w:val="none" w:sz="0" w:space="0" w:color="auto"/>
            <w:right w:val="none" w:sz="0" w:space="0" w:color="auto"/>
          </w:divBdr>
        </w:div>
        <w:div w:id="217284263">
          <w:marLeft w:val="0"/>
          <w:marRight w:val="0"/>
          <w:marTop w:val="0"/>
          <w:marBottom w:val="0"/>
          <w:divBdr>
            <w:top w:val="none" w:sz="0" w:space="0" w:color="auto"/>
            <w:left w:val="none" w:sz="0" w:space="0" w:color="auto"/>
            <w:bottom w:val="none" w:sz="0" w:space="0" w:color="auto"/>
            <w:right w:val="none" w:sz="0" w:space="0" w:color="auto"/>
          </w:divBdr>
        </w:div>
        <w:div w:id="260917633">
          <w:marLeft w:val="0"/>
          <w:marRight w:val="0"/>
          <w:marTop w:val="0"/>
          <w:marBottom w:val="0"/>
          <w:divBdr>
            <w:top w:val="none" w:sz="0" w:space="0" w:color="auto"/>
            <w:left w:val="none" w:sz="0" w:space="0" w:color="auto"/>
            <w:bottom w:val="none" w:sz="0" w:space="0" w:color="auto"/>
            <w:right w:val="none" w:sz="0" w:space="0" w:color="auto"/>
          </w:divBdr>
        </w:div>
        <w:div w:id="351037593">
          <w:marLeft w:val="0"/>
          <w:marRight w:val="0"/>
          <w:marTop w:val="0"/>
          <w:marBottom w:val="0"/>
          <w:divBdr>
            <w:top w:val="none" w:sz="0" w:space="0" w:color="auto"/>
            <w:left w:val="none" w:sz="0" w:space="0" w:color="auto"/>
            <w:bottom w:val="none" w:sz="0" w:space="0" w:color="auto"/>
            <w:right w:val="none" w:sz="0" w:space="0" w:color="auto"/>
          </w:divBdr>
        </w:div>
        <w:div w:id="360979991">
          <w:marLeft w:val="0"/>
          <w:marRight w:val="0"/>
          <w:marTop w:val="0"/>
          <w:marBottom w:val="0"/>
          <w:divBdr>
            <w:top w:val="none" w:sz="0" w:space="0" w:color="auto"/>
            <w:left w:val="none" w:sz="0" w:space="0" w:color="auto"/>
            <w:bottom w:val="none" w:sz="0" w:space="0" w:color="auto"/>
            <w:right w:val="none" w:sz="0" w:space="0" w:color="auto"/>
          </w:divBdr>
        </w:div>
        <w:div w:id="389766021">
          <w:marLeft w:val="0"/>
          <w:marRight w:val="0"/>
          <w:marTop w:val="0"/>
          <w:marBottom w:val="0"/>
          <w:divBdr>
            <w:top w:val="none" w:sz="0" w:space="0" w:color="auto"/>
            <w:left w:val="none" w:sz="0" w:space="0" w:color="auto"/>
            <w:bottom w:val="none" w:sz="0" w:space="0" w:color="auto"/>
            <w:right w:val="none" w:sz="0" w:space="0" w:color="auto"/>
          </w:divBdr>
        </w:div>
        <w:div w:id="401147457">
          <w:marLeft w:val="0"/>
          <w:marRight w:val="0"/>
          <w:marTop w:val="0"/>
          <w:marBottom w:val="0"/>
          <w:divBdr>
            <w:top w:val="none" w:sz="0" w:space="0" w:color="auto"/>
            <w:left w:val="none" w:sz="0" w:space="0" w:color="auto"/>
            <w:bottom w:val="none" w:sz="0" w:space="0" w:color="auto"/>
            <w:right w:val="none" w:sz="0" w:space="0" w:color="auto"/>
          </w:divBdr>
        </w:div>
        <w:div w:id="404375949">
          <w:marLeft w:val="0"/>
          <w:marRight w:val="0"/>
          <w:marTop w:val="0"/>
          <w:marBottom w:val="0"/>
          <w:divBdr>
            <w:top w:val="none" w:sz="0" w:space="0" w:color="auto"/>
            <w:left w:val="none" w:sz="0" w:space="0" w:color="auto"/>
            <w:bottom w:val="none" w:sz="0" w:space="0" w:color="auto"/>
            <w:right w:val="none" w:sz="0" w:space="0" w:color="auto"/>
          </w:divBdr>
        </w:div>
        <w:div w:id="415130281">
          <w:marLeft w:val="0"/>
          <w:marRight w:val="0"/>
          <w:marTop w:val="0"/>
          <w:marBottom w:val="0"/>
          <w:divBdr>
            <w:top w:val="none" w:sz="0" w:space="0" w:color="auto"/>
            <w:left w:val="none" w:sz="0" w:space="0" w:color="auto"/>
            <w:bottom w:val="none" w:sz="0" w:space="0" w:color="auto"/>
            <w:right w:val="none" w:sz="0" w:space="0" w:color="auto"/>
          </w:divBdr>
          <w:divsChild>
            <w:div w:id="1420177725">
              <w:marLeft w:val="0"/>
              <w:marRight w:val="0"/>
              <w:marTop w:val="0"/>
              <w:marBottom w:val="0"/>
              <w:divBdr>
                <w:top w:val="none" w:sz="0" w:space="0" w:color="auto"/>
                <w:left w:val="none" w:sz="0" w:space="0" w:color="auto"/>
                <w:bottom w:val="none" w:sz="0" w:space="0" w:color="auto"/>
                <w:right w:val="none" w:sz="0" w:space="0" w:color="auto"/>
              </w:divBdr>
            </w:div>
          </w:divsChild>
        </w:div>
        <w:div w:id="432290109">
          <w:marLeft w:val="0"/>
          <w:marRight w:val="0"/>
          <w:marTop w:val="0"/>
          <w:marBottom w:val="0"/>
          <w:divBdr>
            <w:top w:val="none" w:sz="0" w:space="0" w:color="auto"/>
            <w:left w:val="none" w:sz="0" w:space="0" w:color="auto"/>
            <w:bottom w:val="none" w:sz="0" w:space="0" w:color="auto"/>
            <w:right w:val="none" w:sz="0" w:space="0" w:color="auto"/>
          </w:divBdr>
        </w:div>
        <w:div w:id="435948262">
          <w:marLeft w:val="0"/>
          <w:marRight w:val="0"/>
          <w:marTop w:val="0"/>
          <w:marBottom w:val="0"/>
          <w:divBdr>
            <w:top w:val="none" w:sz="0" w:space="0" w:color="auto"/>
            <w:left w:val="none" w:sz="0" w:space="0" w:color="auto"/>
            <w:bottom w:val="none" w:sz="0" w:space="0" w:color="auto"/>
            <w:right w:val="none" w:sz="0" w:space="0" w:color="auto"/>
          </w:divBdr>
        </w:div>
        <w:div w:id="446657629">
          <w:marLeft w:val="0"/>
          <w:marRight w:val="0"/>
          <w:marTop w:val="0"/>
          <w:marBottom w:val="0"/>
          <w:divBdr>
            <w:top w:val="none" w:sz="0" w:space="0" w:color="auto"/>
            <w:left w:val="none" w:sz="0" w:space="0" w:color="auto"/>
            <w:bottom w:val="none" w:sz="0" w:space="0" w:color="auto"/>
            <w:right w:val="none" w:sz="0" w:space="0" w:color="auto"/>
          </w:divBdr>
        </w:div>
        <w:div w:id="447243235">
          <w:marLeft w:val="0"/>
          <w:marRight w:val="0"/>
          <w:marTop w:val="0"/>
          <w:marBottom w:val="0"/>
          <w:divBdr>
            <w:top w:val="none" w:sz="0" w:space="0" w:color="auto"/>
            <w:left w:val="none" w:sz="0" w:space="0" w:color="auto"/>
            <w:bottom w:val="none" w:sz="0" w:space="0" w:color="auto"/>
            <w:right w:val="none" w:sz="0" w:space="0" w:color="auto"/>
          </w:divBdr>
          <w:divsChild>
            <w:div w:id="1338725279">
              <w:marLeft w:val="0"/>
              <w:marRight w:val="0"/>
              <w:marTop w:val="0"/>
              <w:marBottom w:val="0"/>
              <w:divBdr>
                <w:top w:val="none" w:sz="0" w:space="0" w:color="auto"/>
                <w:left w:val="none" w:sz="0" w:space="0" w:color="auto"/>
                <w:bottom w:val="none" w:sz="0" w:space="0" w:color="auto"/>
                <w:right w:val="none" w:sz="0" w:space="0" w:color="auto"/>
              </w:divBdr>
            </w:div>
          </w:divsChild>
        </w:div>
        <w:div w:id="467357322">
          <w:marLeft w:val="0"/>
          <w:marRight w:val="0"/>
          <w:marTop w:val="0"/>
          <w:marBottom w:val="0"/>
          <w:divBdr>
            <w:top w:val="none" w:sz="0" w:space="0" w:color="auto"/>
            <w:left w:val="none" w:sz="0" w:space="0" w:color="auto"/>
            <w:bottom w:val="none" w:sz="0" w:space="0" w:color="auto"/>
            <w:right w:val="none" w:sz="0" w:space="0" w:color="auto"/>
          </w:divBdr>
        </w:div>
        <w:div w:id="483085654">
          <w:marLeft w:val="0"/>
          <w:marRight w:val="0"/>
          <w:marTop w:val="0"/>
          <w:marBottom w:val="0"/>
          <w:divBdr>
            <w:top w:val="none" w:sz="0" w:space="0" w:color="auto"/>
            <w:left w:val="none" w:sz="0" w:space="0" w:color="auto"/>
            <w:bottom w:val="none" w:sz="0" w:space="0" w:color="auto"/>
            <w:right w:val="none" w:sz="0" w:space="0" w:color="auto"/>
          </w:divBdr>
        </w:div>
        <w:div w:id="484929437">
          <w:marLeft w:val="0"/>
          <w:marRight w:val="0"/>
          <w:marTop w:val="0"/>
          <w:marBottom w:val="0"/>
          <w:divBdr>
            <w:top w:val="none" w:sz="0" w:space="0" w:color="auto"/>
            <w:left w:val="none" w:sz="0" w:space="0" w:color="auto"/>
            <w:bottom w:val="none" w:sz="0" w:space="0" w:color="auto"/>
            <w:right w:val="none" w:sz="0" w:space="0" w:color="auto"/>
          </w:divBdr>
          <w:divsChild>
            <w:div w:id="2029092353">
              <w:marLeft w:val="0"/>
              <w:marRight w:val="0"/>
              <w:marTop w:val="0"/>
              <w:marBottom w:val="0"/>
              <w:divBdr>
                <w:top w:val="none" w:sz="0" w:space="0" w:color="auto"/>
                <w:left w:val="none" w:sz="0" w:space="0" w:color="auto"/>
                <w:bottom w:val="none" w:sz="0" w:space="0" w:color="auto"/>
                <w:right w:val="none" w:sz="0" w:space="0" w:color="auto"/>
              </w:divBdr>
            </w:div>
          </w:divsChild>
        </w:div>
        <w:div w:id="489099714">
          <w:marLeft w:val="0"/>
          <w:marRight w:val="0"/>
          <w:marTop w:val="0"/>
          <w:marBottom w:val="0"/>
          <w:divBdr>
            <w:top w:val="none" w:sz="0" w:space="0" w:color="auto"/>
            <w:left w:val="none" w:sz="0" w:space="0" w:color="auto"/>
            <w:bottom w:val="none" w:sz="0" w:space="0" w:color="auto"/>
            <w:right w:val="none" w:sz="0" w:space="0" w:color="auto"/>
          </w:divBdr>
          <w:divsChild>
            <w:div w:id="976839200">
              <w:marLeft w:val="0"/>
              <w:marRight w:val="0"/>
              <w:marTop w:val="0"/>
              <w:marBottom w:val="0"/>
              <w:divBdr>
                <w:top w:val="none" w:sz="0" w:space="0" w:color="auto"/>
                <w:left w:val="none" w:sz="0" w:space="0" w:color="auto"/>
                <w:bottom w:val="none" w:sz="0" w:space="0" w:color="auto"/>
                <w:right w:val="none" w:sz="0" w:space="0" w:color="auto"/>
              </w:divBdr>
            </w:div>
          </w:divsChild>
        </w:div>
        <w:div w:id="502207287">
          <w:marLeft w:val="0"/>
          <w:marRight w:val="0"/>
          <w:marTop w:val="0"/>
          <w:marBottom w:val="0"/>
          <w:divBdr>
            <w:top w:val="none" w:sz="0" w:space="0" w:color="auto"/>
            <w:left w:val="none" w:sz="0" w:space="0" w:color="auto"/>
            <w:bottom w:val="none" w:sz="0" w:space="0" w:color="auto"/>
            <w:right w:val="none" w:sz="0" w:space="0" w:color="auto"/>
          </w:divBdr>
        </w:div>
        <w:div w:id="526869517">
          <w:marLeft w:val="0"/>
          <w:marRight w:val="0"/>
          <w:marTop w:val="0"/>
          <w:marBottom w:val="0"/>
          <w:divBdr>
            <w:top w:val="none" w:sz="0" w:space="0" w:color="auto"/>
            <w:left w:val="none" w:sz="0" w:space="0" w:color="auto"/>
            <w:bottom w:val="none" w:sz="0" w:space="0" w:color="auto"/>
            <w:right w:val="none" w:sz="0" w:space="0" w:color="auto"/>
          </w:divBdr>
        </w:div>
        <w:div w:id="545333920">
          <w:marLeft w:val="0"/>
          <w:marRight w:val="0"/>
          <w:marTop w:val="0"/>
          <w:marBottom w:val="0"/>
          <w:divBdr>
            <w:top w:val="none" w:sz="0" w:space="0" w:color="auto"/>
            <w:left w:val="none" w:sz="0" w:space="0" w:color="auto"/>
            <w:bottom w:val="none" w:sz="0" w:space="0" w:color="auto"/>
            <w:right w:val="none" w:sz="0" w:space="0" w:color="auto"/>
          </w:divBdr>
        </w:div>
        <w:div w:id="545993087">
          <w:marLeft w:val="0"/>
          <w:marRight w:val="0"/>
          <w:marTop w:val="0"/>
          <w:marBottom w:val="0"/>
          <w:divBdr>
            <w:top w:val="none" w:sz="0" w:space="0" w:color="auto"/>
            <w:left w:val="none" w:sz="0" w:space="0" w:color="auto"/>
            <w:bottom w:val="none" w:sz="0" w:space="0" w:color="auto"/>
            <w:right w:val="none" w:sz="0" w:space="0" w:color="auto"/>
          </w:divBdr>
        </w:div>
        <w:div w:id="550309671">
          <w:marLeft w:val="0"/>
          <w:marRight w:val="0"/>
          <w:marTop w:val="0"/>
          <w:marBottom w:val="0"/>
          <w:divBdr>
            <w:top w:val="none" w:sz="0" w:space="0" w:color="auto"/>
            <w:left w:val="none" w:sz="0" w:space="0" w:color="auto"/>
            <w:bottom w:val="none" w:sz="0" w:space="0" w:color="auto"/>
            <w:right w:val="none" w:sz="0" w:space="0" w:color="auto"/>
          </w:divBdr>
          <w:divsChild>
            <w:div w:id="1327170174">
              <w:marLeft w:val="0"/>
              <w:marRight w:val="0"/>
              <w:marTop w:val="0"/>
              <w:marBottom w:val="0"/>
              <w:divBdr>
                <w:top w:val="none" w:sz="0" w:space="0" w:color="auto"/>
                <w:left w:val="none" w:sz="0" w:space="0" w:color="auto"/>
                <w:bottom w:val="none" w:sz="0" w:space="0" w:color="auto"/>
                <w:right w:val="none" w:sz="0" w:space="0" w:color="auto"/>
              </w:divBdr>
            </w:div>
          </w:divsChild>
        </w:div>
        <w:div w:id="558248223">
          <w:marLeft w:val="0"/>
          <w:marRight w:val="0"/>
          <w:marTop w:val="0"/>
          <w:marBottom w:val="0"/>
          <w:divBdr>
            <w:top w:val="none" w:sz="0" w:space="0" w:color="auto"/>
            <w:left w:val="none" w:sz="0" w:space="0" w:color="auto"/>
            <w:bottom w:val="none" w:sz="0" w:space="0" w:color="auto"/>
            <w:right w:val="none" w:sz="0" w:space="0" w:color="auto"/>
          </w:divBdr>
        </w:div>
        <w:div w:id="563611606">
          <w:marLeft w:val="0"/>
          <w:marRight w:val="0"/>
          <w:marTop w:val="0"/>
          <w:marBottom w:val="0"/>
          <w:divBdr>
            <w:top w:val="none" w:sz="0" w:space="0" w:color="auto"/>
            <w:left w:val="none" w:sz="0" w:space="0" w:color="auto"/>
            <w:bottom w:val="none" w:sz="0" w:space="0" w:color="auto"/>
            <w:right w:val="none" w:sz="0" w:space="0" w:color="auto"/>
          </w:divBdr>
        </w:div>
        <w:div w:id="574626035">
          <w:marLeft w:val="0"/>
          <w:marRight w:val="0"/>
          <w:marTop w:val="0"/>
          <w:marBottom w:val="0"/>
          <w:divBdr>
            <w:top w:val="none" w:sz="0" w:space="0" w:color="auto"/>
            <w:left w:val="none" w:sz="0" w:space="0" w:color="auto"/>
            <w:bottom w:val="none" w:sz="0" w:space="0" w:color="auto"/>
            <w:right w:val="none" w:sz="0" w:space="0" w:color="auto"/>
          </w:divBdr>
        </w:div>
        <w:div w:id="588538416">
          <w:marLeft w:val="0"/>
          <w:marRight w:val="0"/>
          <w:marTop w:val="0"/>
          <w:marBottom w:val="0"/>
          <w:divBdr>
            <w:top w:val="none" w:sz="0" w:space="0" w:color="auto"/>
            <w:left w:val="none" w:sz="0" w:space="0" w:color="auto"/>
            <w:bottom w:val="none" w:sz="0" w:space="0" w:color="auto"/>
            <w:right w:val="none" w:sz="0" w:space="0" w:color="auto"/>
          </w:divBdr>
          <w:divsChild>
            <w:div w:id="735934737">
              <w:marLeft w:val="0"/>
              <w:marRight w:val="0"/>
              <w:marTop w:val="0"/>
              <w:marBottom w:val="0"/>
              <w:divBdr>
                <w:top w:val="none" w:sz="0" w:space="0" w:color="auto"/>
                <w:left w:val="none" w:sz="0" w:space="0" w:color="auto"/>
                <w:bottom w:val="none" w:sz="0" w:space="0" w:color="auto"/>
                <w:right w:val="none" w:sz="0" w:space="0" w:color="auto"/>
              </w:divBdr>
            </w:div>
          </w:divsChild>
        </w:div>
        <w:div w:id="610628680">
          <w:marLeft w:val="0"/>
          <w:marRight w:val="0"/>
          <w:marTop w:val="0"/>
          <w:marBottom w:val="0"/>
          <w:divBdr>
            <w:top w:val="none" w:sz="0" w:space="0" w:color="auto"/>
            <w:left w:val="none" w:sz="0" w:space="0" w:color="auto"/>
            <w:bottom w:val="none" w:sz="0" w:space="0" w:color="auto"/>
            <w:right w:val="none" w:sz="0" w:space="0" w:color="auto"/>
          </w:divBdr>
        </w:div>
        <w:div w:id="617680660">
          <w:marLeft w:val="0"/>
          <w:marRight w:val="0"/>
          <w:marTop w:val="0"/>
          <w:marBottom w:val="0"/>
          <w:divBdr>
            <w:top w:val="none" w:sz="0" w:space="0" w:color="auto"/>
            <w:left w:val="none" w:sz="0" w:space="0" w:color="auto"/>
            <w:bottom w:val="none" w:sz="0" w:space="0" w:color="auto"/>
            <w:right w:val="none" w:sz="0" w:space="0" w:color="auto"/>
          </w:divBdr>
        </w:div>
        <w:div w:id="624047375">
          <w:marLeft w:val="0"/>
          <w:marRight w:val="0"/>
          <w:marTop w:val="0"/>
          <w:marBottom w:val="0"/>
          <w:divBdr>
            <w:top w:val="none" w:sz="0" w:space="0" w:color="auto"/>
            <w:left w:val="none" w:sz="0" w:space="0" w:color="auto"/>
            <w:bottom w:val="none" w:sz="0" w:space="0" w:color="auto"/>
            <w:right w:val="none" w:sz="0" w:space="0" w:color="auto"/>
          </w:divBdr>
        </w:div>
        <w:div w:id="638919680">
          <w:marLeft w:val="0"/>
          <w:marRight w:val="0"/>
          <w:marTop w:val="0"/>
          <w:marBottom w:val="0"/>
          <w:divBdr>
            <w:top w:val="none" w:sz="0" w:space="0" w:color="auto"/>
            <w:left w:val="none" w:sz="0" w:space="0" w:color="auto"/>
            <w:bottom w:val="none" w:sz="0" w:space="0" w:color="auto"/>
            <w:right w:val="none" w:sz="0" w:space="0" w:color="auto"/>
          </w:divBdr>
        </w:div>
        <w:div w:id="640312519">
          <w:marLeft w:val="0"/>
          <w:marRight w:val="0"/>
          <w:marTop w:val="0"/>
          <w:marBottom w:val="0"/>
          <w:divBdr>
            <w:top w:val="none" w:sz="0" w:space="0" w:color="auto"/>
            <w:left w:val="none" w:sz="0" w:space="0" w:color="auto"/>
            <w:bottom w:val="none" w:sz="0" w:space="0" w:color="auto"/>
            <w:right w:val="none" w:sz="0" w:space="0" w:color="auto"/>
          </w:divBdr>
        </w:div>
        <w:div w:id="641159248">
          <w:marLeft w:val="0"/>
          <w:marRight w:val="0"/>
          <w:marTop w:val="0"/>
          <w:marBottom w:val="0"/>
          <w:divBdr>
            <w:top w:val="none" w:sz="0" w:space="0" w:color="auto"/>
            <w:left w:val="none" w:sz="0" w:space="0" w:color="auto"/>
            <w:bottom w:val="none" w:sz="0" w:space="0" w:color="auto"/>
            <w:right w:val="none" w:sz="0" w:space="0" w:color="auto"/>
          </w:divBdr>
        </w:div>
        <w:div w:id="645359011">
          <w:marLeft w:val="0"/>
          <w:marRight w:val="0"/>
          <w:marTop w:val="0"/>
          <w:marBottom w:val="0"/>
          <w:divBdr>
            <w:top w:val="none" w:sz="0" w:space="0" w:color="auto"/>
            <w:left w:val="none" w:sz="0" w:space="0" w:color="auto"/>
            <w:bottom w:val="none" w:sz="0" w:space="0" w:color="auto"/>
            <w:right w:val="none" w:sz="0" w:space="0" w:color="auto"/>
          </w:divBdr>
        </w:div>
        <w:div w:id="649528171">
          <w:marLeft w:val="0"/>
          <w:marRight w:val="0"/>
          <w:marTop w:val="0"/>
          <w:marBottom w:val="0"/>
          <w:divBdr>
            <w:top w:val="none" w:sz="0" w:space="0" w:color="auto"/>
            <w:left w:val="none" w:sz="0" w:space="0" w:color="auto"/>
            <w:bottom w:val="none" w:sz="0" w:space="0" w:color="auto"/>
            <w:right w:val="none" w:sz="0" w:space="0" w:color="auto"/>
          </w:divBdr>
        </w:div>
        <w:div w:id="676156822">
          <w:marLeft w:val="0"/>
          <w:marRight w:val="0"/>
          <w:marTop w:val="0"/>
          <w:marBottom w:val="0"/>
          <w:divBdr>
            <w:top w:val="none" w:sz="0" w:space="0" w:color="auto"/>
            <w:left w:val="none" w:sz="0" w:space="0" w:color="auto"/>
            <w:bottom w:val="none" w:sz="0" w:space="0" w:color="auto"/>
            <w:right w:val="none" w:sz="0" w:space="0" w:color="auto"/>
          </w:divBdr>
        </w:div>
        <w:div w:id="677075644">
          <w:marLeft w:val="0"/>
          <w:marRight w:val="0"/>
          <w:marTop w:val="0"/>
          <w:marBottom w:val="0"/>
          <w:divBdr>
            <w:top w:val="none" w:sz="0" w:space="0" w:color="auto"/>
            <w:left w:val="none" w:sz="0" w:space="0" w:color="auto"/>
            <w:bottom w:val="none" w:sz="0" w:space="0" w:color="auto"/>
            <w:right w:val="none" w:sz="0" w:space="0" w:color="auto"/>
          </w:divBdr>
          <w:divsChild>
            <w:div w:id="2087998321">
              <w:marLeft w:val="0"/>
              <w:marRight w:val="0"/>
              <w:marTop w:val="0"/>
              <w:marBottom w:val="0"/>
              <w:divBdr>
                <w:top w:val="none" w:sz="0" w:space="0" w:color="auto"/>
                <w:left w:val="none" w:sz="0" w:space="0" w:color="auto"/>
                <w:bottom w:val="none" w:sz="0" w:space="0" w:color="auto"/>
                <w:right w:val="none" w:sz="0" w:space="0" w:color="auto"/>
              </w:divBdr>
            </w:div>
          </w:divsChild>
        </w:div>
        <w:div w:id="680202207">
          <w:marLeft w:val="0"/>
          <w:marRight w:val="0"/>
          <w:marTop w:val="0"/>
          <w:marBottom w:val="0"/>
          <w:divBdr>
            <w:top w:val="none" w:sz="0" w:space="0" w:color="auto"/>
            <w:left w:val="none" w:sz="0" w:space="0" w:color="auto"/>
            <w:bottom w:val="none" w:sz="0" w:space="0" w:color="auto"/>
            <w:right w:val="none" w:sz="0" w:space="0" w:color="auto"/>
          </w:divBdr>
          <w:divsChild>
            <w:div w:id="818233363">
              <w:marLeft w:val="0"/>
              <w:marRight w:val="0"/>
              <w:marTop w:val="0"/>
              <w:marBottom w:val="0"/>
              <w:divBdr>
                <w:top w:val="none" w:sz="0" w:space="0" w:color="auto"/>
                <w:left w:val="none" w:sz="0" w:space="0" w:color="auto"/>
                <w:bottom w:val="none" w:sz="0" w:space="0" w:color="auto"/>
                <w:right w:val="none" w:sz="0" w:space="0" w:color="auto"/>
              </w:divBdr>
            </w:div>
          </w:divsChild>
        </w:div>
        <w:div w:id="707996873">
          <w:marLeft w:val="0"/>
          <w:marRight w:val="0"/>
          <w:marTop w:val="0"/>
          <w:marBottom w:val="0"/>
          <w:divBdr>
            <w:top w:val="none" w:sz="0" w:space="0" w:color="auto"/>
            <w:left w:val="none" w:sz="0" w:space="0" w:color="auto"/>
            <w:bottom w:val="none" w:sz="0" w:space="0" w:color="auto"/>
            <w:right w:val="none" w:sz="0" w:space="0" w:color="auto"/>
          </w:divBdr>
          <w:divsChild>
            <w:div w:id="1225600434">
              <w:marLeft w:val="0"/>
              <w:marRight w:val="0"/>
              <w:marTop w:val="0"/>
              <w:marBottom w:val="0"/>
              <w:divBdr>
                <w:top w:val="none" w:sz="0" w:space="0" w:color="auto"/>
                <w:left w:val="none" w:sz="0" w:space="0" w:color="auto"/>
                <w:bottom w:val="none" w:sz="0" w:space="0" w:color="auto"/>
                <w:right w:val="none" w:sz="0" w:space="0" w:color="auto"/>
              </w:divBdr>
            </w:div>
          </w:divsChild>
        </w:div>
        <w:div w:id="730468352">
          <w:marLeft w:val="0"/>
          <w:marRight w:val="0"/>
          <w:marTop w:val="0"/>
          <w:marBottom w:val="0"/>
          <w:divBdr>
            <w:top w:val="none" w:sz="0" w:space="0" w:color="auto"/>
            <w:left w:val="none" w:sz="0" w:space="0" w:color="auto"/>
            <w:bottom w:val="none" w:sz="0" w:space="0" w:color="auto"/>
            <w:right w:val="none" w:sz="0" w:space="0" w:color="auto"/>
          </w:divBdr>
        </w:div>
        <w:div w:id="733161235">
          <w:marLeft w:val="0"/>
          <w:marRight w:val="0"/>
          <w:marTop w:val="0"/>
          <w:marBottom w:val="0"/>
          <w:divBdr>
            <w:top w:val="none" w:sz="0" w:space="0" w:color="auto"/>
            <w:left w:val="none" w:sz="0" w:space="0" w:color="auto"/>
            <w:bottom w:val="none" w:sz="0" w:space="0" w:color="auto"/>
            <w:right w:val="none" w:sz="0" w:space="0" w:color="auto"/>
          </w:divBdr>
        </w:div>
        <w:div w:id="779253386">
          <w:marLeft w:val="0"/>
          <w:marRight w:val="0"/>
          <w:marTop w:val="0"/>
          <w:marBottom w:val="0"/>
          <w:divBdr>
            <w:top w:val="none" w:sz="0" w:space="0" w:color="auto"/>
            <w:left w:val="none" w:sz="0" w:space="0" w:color="auto"/>
            <w:bottom w:val="none" w:sz="0" w:space="0" w:color="auto"/>
            <w:right w:val="none" w:sz="0" w:space="0" w:color="auto"/>
          </w:divBdr>
          <w:divsChild>
            <w:div w:id="1365015722">
              <w:marLeft w:val="0"/>
              <w:marRight w:val="0"/>
              <w:marTop w:val="0"/>
              <w:marBottom w:val="0"/>
              <w:divBdr>
                <w:top w:val="none" w:sz="0" w:space="0" w:color="auto"/>
                <w:left w:val="none" w:sz="0" w:space="0" w:color="auto"/>
                <w:bottom w:val="none" w:sz="0" w:space="0" w:color="auto"/>
                <w:right w:val="none" w:sz="0" w:space="0" w:color="auto"/>
              </w:divBdr>
            </w:div>
          </w:divsChild>
        </w:div>
        <w:div w:id="789859786">
          <w:marLeft w:val="0"/>
          <w:marRight w:val="0"/>
          <w:marTop w:val="0"/>
          <w:marBottom w:val="0"/>
          <w:divBdr>
            <w:top w:val="none" w:sz="0" w:space="0" w:color="auto"/>
            <w:left w:val="none" w:sz="0" w:space="0" w:color="auto"/>
            <w:bottom w:val="none" w:sz="0" w:space="0" w:color="auto"/>
            <w:right w:val="none" w:sz="0" w:space="0" w:color="auto"/>
          </w:divBdr>
        </w:div>
        <w:div w:id="794256487">
          <w:marLeft w:val="0"/>
          <w:marRight w:val="0"/>
          <w:marTop w:val="0"/>
          <w:marBottom w:val="0"/>
          <w:divBdr>
            <w:top w:val="none" w:sz="0" w:space="0" w:color="auto"/>
            <w:left w:val="none" w:sz="0" w:space="0" w:color="auto"/>
            <w:bottom w:val="none" w:sz="0" w:space="0" w:color="auto"/>
            <w:right w:val="none" w:sz="0" w:space="0" w:color="auto"/>
          </w:divBdr>
        </w:div>
        <w:div w:id="831259004">
          <w:marLeft w:val="0"/>
          <w:marRight w:val="0"/>
          <w:marTop w:val="0"/>
          <w:marBottom w:val="0"/>
          <w:divBdr>
            <w:top w:val="none" w:sz="0" w:space="0" w:color="auto"/>
            <w:left w:val="none" w:sz="0" w:space="0" w:color="auto"/>
            <w:bottom w:val="none" w:sz="0" w:space="0" w:color="auto"/>
            <w:right w:val="none" w:sz="0" w:space="0" w:color="auto"/>
          </w:divBdr>
        </w:div>
        <w:div w:id="834102373">
          <w:marLeft w:val="0"/>
          <w:marRight w:val="0"/>
          <w:marTop w:val="0"/>
          <w:marBottom w:val="0"/>
          <w:divBdr>
            <w:top w:val="none" w:sz="0" w:space="0" w:color="auto"/>
            <w:left w:val="none" w:sz="0" w:space="0" w:color="auto"/>
            <w:bottom w:val="none" w:sz="0" w:space="0" w:color="auto"/>
            <w:right w:val="none" w:sz="0" w:space="0" w:color="auto"/>
          </w:divBdr>
        </w:div>
        <w:div w:id="842818974">
          <w:marLeft w:val="0"/>
          <w:marRight w:val="0"/>
          <w:marTop w:val="0"/>
          <w:marBottom w:val="0"/>
          <w:divBdr>
            <w:top w:val="none" w:sz="0" w:space="0" w:color="auto"/>
            <w:left w:val="none" w:sz="0" w:space="0" w:color="auto"/>
            <w:bottom w:val="none" w:sz="0" w:space="0" w:color="auto"/>
            <w:right w:val="none" w:sz="0" w:space="0" w:color="auto"/>
          </w:divBdr>
          <w:divsChild>
            <w:div w:id="1200052258">
              <w:marLeft w:val="0"/>
              <w:marRight w:val="0"/>
              <w:marTop w:val="0"/>
              <w:marBottom w:val="0"/>
              <w:divBdr>
                <w:top w:val="none" w:sz="0" w:space="0" w:color="auto"/>
                <w:left w:val="none" w:sz="0" w:space="0" w:color="auto"/>
                <w:bottom w:val="none" w:sz="0" w:space="0" w:color="auto"/>
                <w:right w:val="none" w:sz="0" w:space="0" w:color="auto"/>
              </w:divBdr>
            </w:div>
          </w:divsChild>
        </w:div>
        <w:div w:id="844134059">
          <w:marLeft w:val="0"/>
          <w:marRight w:val="0"/>
          <w:marTop w:val="0"/>
          <w:marBottom w:val="0"/>
          <w:divBdr>
            <w:top w:val="none" w:sz="0" w:space="0" w:color="auto"/>
            <w:left w:val="none" w:sz="0" w:space="0" w:color="auto"/>
            <w:bottom w:val="none" w:sz="0" w:space="0" w:color="auto"/>
            <w:right w:val="none" w:sz="0" w:space="0" w:color="auto"/>
          </w:divBdr>
          <w:divsChild>
            <w:div w:id="1402555071">
              <w:marLeft w:val="0"/>
              <w:marRight w:val="0"/>
              <w:marTop w:val="0"/>
              <w:marBottom w:val="0"/>
              <w:divBdr>
                <w:top w:val="none" w:sz="0" w:space="0" w:color="auto"/>
                <w:left w:val="none" w:sz="0" w:space="0" w:color="auto"/>
                <w:bottom w:val="none" w:sz="0" w:space="0" w:color="auto"/>
                <w:right w:val="none" w:sz="0" w:space="0" w:color="auto"/>
              </w:divBdr>
            </w:div>
          </w:divsChild>
        </w:div>
        <w:div w:id="856425177">
          <w:marLeft w:val="0"/>
          <w:marRight w:val="0"/>
          <w:marTop w:val="0"/>
          <w:marBottom w:val="0"/>
          <w:divBdr>
            <w:top w:val="none" w:sz="0" w:space="0" w:color="auto"/>
            <w:left w:val="none" w:sz="0" w:space="0" w:color="auto"/>
            <w:bottom w:val="none" w:sz="0" w:space="0" w:color="auto"/>
            <w:right w:val="none" w:sz="0" w:space="0" w:color="auto"/>
          </w:divBdr>
        </w:div>
        <w:div w:id="863595030">
          <w:marLeft w:val="0"/>
          <w:marRight w:val="0"/>
          <w:marTop w:val="0"/>
          <w:marBottom w:val="0"/>
          <w:divBdr>
            <w:top w:val="none" w:sz="0" w:space="0" w:color="auto"/>
            <w:left w:val="none" w:sz="0" w:space="0" w:color="auto"/>
            <w:bottom w:val="none" w:sz="0" w:space="0" w:color="auto"/>
            <w:right w:val="none" w:sz="0" w:space="0" w:color="auto"/>
          </w:divBdr>
          <w:divsChild>
            <w:div w:id="295454730">
              <w:marLeft w:val="0"/>
              <w:marRight w:val="0"/>
              <w:marTop w:val="0"/>
              <w:marBottom w:val="0"/>
              <w:divBdr>
                <w:top w:val="none" w:sz="0" w:space="0" w:color="auto"/>
                <w:left w:val="none" w:sz="0" w:space="0" w:color="auto"/>
                <w:bottom w:val="none" w:sz="0" w:space="0" w:color="auto"/>
                <w:right w:val="none" w:sz="0" w:space="0" w:color="auto"/>
              </w:divBdr>
            </w:div>
          </w:divsChild>
        </w:div>
        <w:div w:id="865948440">
          <w:marLeft w:val="0"/>
          <w:marRight w:val="0"/>
          <w:marTop w:val="0"/>
          <w:marBottom w:val="0"/>
          <w:divBdr>
            <w:top w:val="none" w:sz="0" w:space="0" w:color="auto"/>
            <w:left w:val="none" w:sz="0" w:space="0" w:color="auto"/>
            <w:bottom w:val="none" w:sz="0" w:space="0" w:color="auto"/>
            <w:right w:val="none" w:sz="0" w:space="0" w:color="auto"/>
          </w:divBdr>
        </w:div>
        <w:div w:id="872307008">
          <w:marLeft w:val="0"/>
          <w:marRight w:val="0"/>
          <w:marTop w:val="0"/>
          <w:marBottom w:val="0"/>
          <w:divBdr>
            <w:top w:val="none" w:sz="0" w:space="0" w:color="auto"/>
            <w:left w:val="none" w:sz="0" w:space="0" w:color="auto"/>
            <w:bottom w:val="none" w:sz="0" w:space="0" w:color="auto"/>
            <w:right w:val="none" w:sz="0" w:space="0" w:color="auto"/>
          </w:divBdr>
        </w:div>
        <w:div w:id="896932677">
          <w:marLeft w:val="0"/>
          <w:marRight w:val="0"/>
          <w:marTop w:val="0"/>
          <w:marBottom w:val="0"/>
          <w:divBdr>
            <w:top w:val="none" w:sz="0" w:space="0" w:color="auto"/>
            <w:left w:val="none" w:sz="0" w:space="0" w:color="auto"/>
            <w:bottom w:val="none" w:sz="0" w:space="0" w:color="auto"/>
            <w:right w:val="none" w:sz="0" w:space="0" w:color="auto"/>
          </w:divBdr>
        </w:div>
        <w:div w:id="906917745">
          <w:marLeft w:val="0"/>
          <w:marRight w:val="0"/>
          <w:marTop w:val="0"/>
          <w:marBottom w:val="0"/>
          <w:divBdr>
            <w:top w:val="none" w:sz="0" w:space="0" w:color="auto"/>
            <w:left w:val="none" w:sz="0" w:space="0" w:color="auto"/>
            <w:bottom w:val="none" w:sz="0" w:space="0" w:color="auto"/>
            <w:right w:val="none" w:sz="0" w:space="0" w:color="auto"/>
          </w:divBdr>
        </w:div>
        <w:div w:id="908492114">
          <w:marLeft w:val="0"/>
          <w:marRight w:val="0"/>
          <w:marTop w:val="0"/>
          <w:marBottom w:val="0"/>
          <w:divBdr>
            <w:top w:val="none" w:sz="0" w:space="0" w:color="auto"/>
            <w:left w:val="none" w:sz="0" w:space="0" w:color="auto"/>
            <w:bottom w:val="none" w:sz="0" w:space="0" w:color="auto"/>
            <w:right w:val="none" w:sz="0" w:space="0" w:color="auto"/>
          </w:divBdr>
        </w:div>
        <w:div w:id="910504949">
          <w:marLeft w:val="0"/>
          <w:marRight w:val="0"/>
          <w:marTop w:val="0"/>
          <w:marBottom w:val="0"/>
          <w:divBdr>
            <w:top w:val="none" w:sz="0" w:space="0" w:color="auto"/>
            <w:left w:val="none" w:sz="0" w:space="0" w:color="auto"/>
            <w:bottom w:val="none" w:sz="0" w:space="0" w:color="auto"/>
            <w:right w:val="none" w:sz="0" w:space="0" w:color="auto"/>
          </w:divBdr>
        </w:div>
        <w:div w:id="911888054">
          <w:marLeft w:val="0"/>
          <w:marRight w:val="0"/>
          <w:marTop w:val="0"/>
          <w:marBottom w:val="0"/>
          <w:divBdr>
            <w:top w:val="none" w:sz="0" w:space="0" w:color="auto"/>
            <w:left w:val="none" w:sz="0" w:space="0" w:color="auto"/>
            <w:bottom w:val="none" w:sz="0" w:space="0" w:color="auto"/>
            <w:right w:val="none" w:sz="0" w:space="0" w:color="auto"/>
          </w:divBdr>
        </w:div>
        <w:div w:id="918292930">
          <w:marLeft w:val="0"/>
          <w:marRight w:val="0"/>
          <w:marTop w:val="0"/>
          <w:marBottom w:val="0"/>
          <w:divBdr>
            <w:top w:val="none" w:sz="0" w:space="0" w:color="auto"/>
            <w:left w:val="none" w:sz="0" w:space="0" w:color="auto"/>
            <w:bottom w:val="none" w:sz="0" w:space="0" w:color="auto"/>
            <w:right w:val="none" w:sz="0" w:space="0" w:color="auto"/>
          </w:divBdr>
        </w:div>
        <w:div w:id="956906578">
          <w:marLeft w:val="0"/>
          <w:marRight w:val="0"/>
          <w:marTop w:val="0"/>
          <w:marBottom w:val="0"/>
          <w:divBdr>
            <w:top w:val="none" w:sz="0" w:space="0" w:color="auto"/>
            <w:left w:val="none" w:sz="0" w:space="0" w:color="auto"/>
            <w:bottom w:val="none" w:sz="0" w:space="0" w:color="auto"/>
            <w:right w:val="none" w:sz="0" w:space="0" w:color="auto"/>
          </w:divBdr>
        </w:div>
        <w:div w:id="957027383">
          <w:marLeft w:val="0"/>
          <w:marRight w:val="0"/>
          <w:marTop w:val="0"/>
          <w:marBottom w:val="0"/>
          <w:divBdr>
            <w:top w:val="none" w:sz="0" w:space="0" w:color="auto"/>
            <w:left w:val="none" w:sz="0" w:space="0" w:color="auto"/>
            <w:bottom w:val="none" w:sz="0" w:space="0" w:color="auto"/>
            <w:right w:val="none" w:sz="0" w:space="0" w:color="auto"/>
          </w:divBdr>
        </w:div>
        <w:div w:id="957295255">
          <w:marLeft w:val="0"/>
          <w:marRight w:val="0"/>
          <w:marTop w:val="0"/>
          <w:marBottom w:val="0"/>
          <w:divBdr>
            <w:top w:val="none" w:sz="0" w:space="0" w:color="auto"/>
            <w:left w:val="none" w:sz="0" w:space="0" w:color="auto"/>
            <w:bottom w:val="none" w:sz="0" w:space="0" w:color="auto"/>
            <w:right w:val="none" w:sz="0" w:space="0" w:color="auto"/>
          </w:divBdr>
        </w:div>
        <w:div w:id="985821951">
          <w:marLeft w:val="0"/>
          <w:marRight w:val="0"/>
          <w:marTop w:val="0"/>
          <w:marBottom w:val="0"/>
          <w:divBdr>
            <w:top w:val="none" w:sz="0" w:space="0" w:color="auto"/>
            <w:left w:val="none" w:sz="0" w:space="0" w:color="auto"/>
            <w:bottom w:val="none" w:sz="0" w:space="0" w:color="auto"/>
            <w:right w:val="none" w:sz="0" w:space="0" w:color="auto"/>
          </w:divBdr>
          <w:divsChild>
            <w:div w:id="433717847">
              <w:marLeft w:val="0"/>
              <w:marRight w:val="0"/>
              <w:marTop w:val="0"/>
              <w:marBottom w:val="0"/>
              <w:divBdr>
                <w:top w:val="none" w:sz="0" w:space="0" w:color="auto"/>
                <w:left w:val="none" w:sz="0" w:space="0" w:color="auto"/>
                <w:bottom w:val="none" w:sz="0" w:space="0" w:color="auto"/>
                <w:right w:val="none" w:sz="0" w:space="0" w:color="auto"/>
              </w:divBdr>
            </w:div>
          </w:divsChild>
        </w:div>
        <w:div w:id="986712875">
          <w:marLeft w:val="0"/>
          <w:marRight w:val="0"/>
          <w:marTop w:val="0"/>
          <w:marBottom w:val="0"/>
          <w:divBdr>
            <w:top w:val="none" w:sz="0" w:space="0" w:color="auto"/>
            <w:left w:val="none" w:sz="0" w:space="0" w:color="auto"/>
            <w:bottom w:val="none" w:sz="0" w:space="0" w:color="auto"/>
            <w:right w:val="none" w:sz="0" w:space="0" w:color="auto"/>
          </w:divBdr>
        </w:div>
        <w:div w:id="1008631208">
          <w:marLeft w:val="0"/>
          <w:marRight w:val="0"/>
          <w:marTop w:val="0"/>
          <w:marBottom w:val="0"/>
          <w:divBdr>
            <w:top w:val="none" w:sz="0" w:space="0" w:color="auto"/>
            <w:left w:val="none" w:sz="0" w:space="0" w:color="auto"/>
            <w:bottom w:val="none" w:sz="0" w:space="0" w:color="auto"/>
            <w:right w:val="none" w:sz="0" w:space="0" w:color="auto"/>
          </w:divBdr>
          <w:divsChild>
            <w:div w:id="1524588826">
              <w:marLeft w:val="0"/>
              <w:marRight w:val="0"/>
              <w:marTop w:val="0"/>
              <w:marBottom w:val="0"/>
              <w:divBdr>
                <w:top w:val="none" w:sz="0" w:space="0" w:color="auto"/>
                <w:left w:val="none" w:sz="0" w:space="0" w:color="auto"/>
                <w:bottom w:val="none" w:sz="0" w:space="0" w:color="auto"/>
                <w:right w:val="none" w:sz="0" w:space="0" w:color="auto"/>
              </w:divBdr>
            </w:div>
          </w:divsChild>
        </w:div>
        <w:div w:id="1015037686">
          <w:marLeft w:val="0"/>
          <w:marRight w:val="0"/>
          <w:marTop w:val="0"/>
          <w:marBottom w:val="0"/>
          <w:divBdr>
            <w:top w:val="none" w:sz="0" w:space="0" w:color="auto"/>
            <w:left w:val="none" w:sz="0" w:space="0" w:color="auto"/>
            <w:bottom w:val="none" w:sz="0" w:space="0" w:color="auto"/>
            <w:right w:val="none" w:sz="0" w:space="0" w:color="auto"/>
          </w:divBdr>
        </w:div>
        <w:div w:id="1017853235">
          <w:marLeft w:val="0"/>
          <w:marRight w:val="0"/>
          <w:marTop w:val="0"/>
          <w:marBottom w:val="0"/>
          <w:divBdr>
            <w:top w:val="none" w:sz="0" w:space="0" w:color="auto"/>
            <w:left w:val="none" w:sz="0" w:space="0" w:color="auto"/>
            <w:bottom w:val="none" w:sz="0" w:space="0" w:color="auto"/>
            <w:right w:val="none" w:sz="0" w:space="0" w:color="auto"/>
          </w:divBdr>
          <w:divsChild>
            <w:div w:id="427390012">
              <w:marLeft w:val="0"/>
              <w:marRight w:val="0"/>
              <w:marTop w:val="0"/>
              <w:marBottom w:val="0"/>
              <w:divBdr>
                <w:top w:val="none" w:sz="0" w:space="0" w:color="auto"/>
                <w:left w:val="none" w:sz="0" w:space="0" w:color="auto"/>
                <w:bottom w:val="none" w:sz="0" w:space="0" w:color="auto"/>
                <w:right w:val="none" w:sz="0" w:space="0" w:color="auto"/>
              </w:divBdr>
            </w:div>
          </w:divsChild>
        </w:div>
        <w:div w:id="1037782149">
          <w:marLeft w:val="0"/>
          <w:marRight w:val="0"/>
          <w:marTop w:val="0"/>
          <w:marBottom w:val="0"/>
          <w:divBdr>
            <w:top w:val="none" w:sz="0" w:space="0" w:color="auto"/>
            <w:left w:val="none" w:sz="0" w:space="0" w:color="auto"/>
            <w:bottom w:val="none" w:sz="0" w:space="0" w:color="auto"/>
            <w:right w:val="none" w:sz="0" w:space="0" w:color="auto"/>
          </w:divBdr>
        </w:div>
        <w:div w:id="1038358699">
          <w:marLeft w:val="0"/>
          <w:marRight w:val="0"/>
          <w:marTop w:val="0"/>
          <w:marBottom w:val="0"/>
          <w:divBdr>
            <w:top w:val="none" w:sz="0" w:space="0" w:color="auto"/>
            <w:left w:val="none" w:sz="0" w:space="0" w:color="auto"/>
            <w:bottom w:val="none" w:sz="0" w:space="0" w:color="auto"/>
            <w:right w:val="none" w:sz="0" w:space="0" w:color="auto"/>
          </w:divBdr>
        </w:div>
        <w:div w:id="1082990568">
          <w:marLeft w:val="0"/>
          <w:marRight w:val="0"/>
          <w:marTop w:val="0"/>
          <w:marBottom w:val="0"/>
          <w:divBdr>
            <w:top w:val="none" w:sz="0" w:space="0" w:color="auto"/>
            <w:left w:val="none" w:sz="0" w:space="0" w:color="auto"/>
            <w:bottom w:val="none" w:sz="0" w:space="0" w:color="auto"/>
            <w:right w:val="none" w:sz="0" w:space="0" w:color="auto"/>
          </w:divBdr>
        </w:div>
        <w:div w:id="1097021335">
          <w:marLeft w:val="0"/>
          <w:marRight w:val="0"/>
          <w:marTop w:val="0"/>
          <w:marBottom w:val="0"/>
          <w:divBdr>
            <w:top w:val="none" w:sz="0" w:space="0" w:color="auto"/>
            <w:left w:val="none" w:sz="0" w:space="0" w:color="auto"/>
            <w:bottom w:val="none" w:sz="0" w:space="0" w:color="auto"/>
            <w:right w:val="none" w:sz="0" w:space="0" w:color="auto"/>
          </w:divBdr>
        </w:div>
        <w:div w:id="1126316913">
          <w:marLeft w:val="0"/>
          <w:marRight w:val="0"/>
          <w:marTop w:val="0"/>
          <w:marBottom w:val="0"/>
          <w:divBdr>
            <w:top w:val="none" w:sz="0" w:space="0" w:color="auto"/>
            <w:left w:val="none" w:sz="0" w:space="0" w:color="auto"/>
            <w:bottom w:val="none" w:sz="0" w:space="0" w:color="auto"/>
            <w:right w:val="none" w:sz="0" w:space="0" w:color="auto"/>
          </w:divBdr>
        </w:div>
        <w:div w:id="1139346835">
          <w:marLeft w:val="0"/>
          <w:marRight w:val="0"/>
          <w:marTop w:val="0"/>
          <w:marBottom w:val="0"/>
          <w:divBdr>
            <w:top w:val="none" w:sz="0" w:space="0" w:color="auto"/>
            <w:left w:val="none" w:sz="0" w:space="0" w:color="auto"/>
            <w:bottom w:val="none" w:sz="0" w:space="0" w:color="auto"/>
            <w:right w:val="none" w:sz="0" w:space="0" w:color="auto"/>
          </w:divBdr>
          <w:divsChild>
            <w:div w:id="1657612416">
              <w:marLeft w:val="0"/>
              <w:marRight w:val="0"/>
              <w:marTop w:val="0"/>
              <w:marBottom w:val="0"/>
              <w:divBdr>
                <w:top w:val="none" w:sz="0" w:space="0" w:color="auto"/>
                <w:left w:val="none" w:sz="0" w:space="0" w:color="auto"/>
                <w:bottom w:val="none" w:sz="0" w:space="0" w:color="auto"/>
                <w:right w:val="none" w:sz="0" w:space="0" w:color="auto"/>
              </w:divBdr>
            </w:div>
          </w:divsChild>
        </w:div>
        <w:div w:id="1154419222">
          <w:marLeft w:val="0"/>
          <w:marRight w:val="0"/>
          <w:marTop w:val="0"/>
          <w:marBottom w:val="0"/>
          <w:divBdr>
            <w:top w:val="none" w:sz="0" w:space="0" w:color="auto"/>
            <w:left w:val="none" w:sz="0" w:space="0" w:color="auto"/>
            <w:bottom w:val="none" w:sz="0" w:space="0" w:color="auto"/>
            <w:right w:val="none" w:sz="0" w:space="0" w:color="auto"/>
          </w:divBdr>
        </w:div>
        <w:div w:id="1181820801">
          <w:marLeft w:val="0"/>
          <w:marRight w:val="0"/>
          <w:marTop w:val="0"/>
          <w:marBottom w:val="0"/>
          <w:divBdr>
            <w:top w:val="none" w:sz="0" w:space="0" w:color="auto"/>
            <w:left w:val="none" w:sz="0" w:space="0" w:color="auto"/>
            <w:bottom w:val="none" w:sz="0" w:space="0" w:color="auto"/>
            <w:right w:val="none" w:sz="0" w:space="0" w:color="auto"/>
          </w:divBdr>
        </w:div>
        <w:div w:id="1203253764">
          <w:marLeft w:val="0"/>
          <w:marRight w:val="0"/>
          <w:marTop w:val="0"/>
          <w:marBottom w:val="0"/>
          <w:divBdr>
            <w:top w:val="none" w:sz="0" w:space="0" w:color="auto"/>
            <w:left w:val="none" w:sz="0" w:space="0" w:color="auto"/>
            <w:bottom w:val="none" w:sz="0" w:space="0" w:color="auto"/>
            <w:right w:val="none" w:sz="0" w:space="0" w:color="auto"/>
          </w:divBdr>
          <w:divsChild>
            <w:div w:id="698748407">
              <w:marLeft w:val="0"/>
              <w:marRight w:val="0"/>
              <w:marTop w:val="0"/>
              <w:marBottom w:val="0"/>
              <w:divBdr>
                <w:top w:val="none" w:sz="0" w:space="0" w:color="auto"/>
                <w:left w:val="none" w:sz="0" w:space="0" w:color="auto"/>
                <w:bottom w:val="none" w:sz="0" w:space="0" w:color="auto"/>
                <w:right w:val="none" w:sz="0" w:space="0" w:color="auto"/>
              </w:divBdr>
            </w:div>
          </w:divsChild>
        </w:div>
        <w:div w:id="1206912116">
          <w:marLeft w:val="0"/>
          <w:marRight w:val="0"/>
          <w:marTop w:val="0"/>
          <w:marBottom w:val="0"/>
          <w:divBdr>
            <w:top w:val="none" w:sz="0" w:space="0" w:color="auto"/>
            <w:left w:val="none" w:sz="0" w:space="0" w:color="auto"/>
            <w:bottom w:val="none" w:sz="0" w:space="0" w:color="auto"/>
            <w:right w:val="none" w:sz="0" w:space="0" w:color="auto"/>
          </w:divBdr>
        </w:div>
        <w:div w:id="1231691071">
          <w:marLeft w:val="0"/>
          <w:marRight w:val="0"/>
          <w:marTop w:val="0"/>
          <w:marBottom w:val="0"/>
          <w:divBdr>
            <w:top w:val="none" w:sz="0" w:space="0" w:color="auto"/>
            <w:left w:val="none" w:sz="0" w:space="0" w:color="auto"/>
            <w:bottom w:val="none" w:sz="0" w:space="0" w:color="auto"/>
            <w:right w:val="none" w:sz="0" w:space="0" w:color="auto"/>
          </w:divBdr>
          <w:divsChild>
            <w:div w:id="320934268">
              <w:marLeft w:val="0"/>
              <w:marRight w:val="0"/>
              <w:marTop w:val="0"/>
              <w:marBottom w:val="0"/>
              <w:divBdr>
                <w:top w:val="none" w:sz="0" w:space="0" w:color="auto"/>
                <w:left w:val="none" w:sz="0" w:space="0" w:color="auto"/>
                <w:bottom w:val="none" w:sz="0" w:space="0" w:color="auto"/>
                <w:right w:val="none" w:sz="0" w:space="0" w:color="auto"/>
              </w:divBdr>
            </w:div>
          </w:divsChild>
        </w:div>
        <w:div w:id="1234197394">
          <w:marLeft w:val="0"/>
          <w:marRight w:val="0"/>
          <w:marTop w:val="0"/>
          <w:marBottom w:val="0"/>
          <w:divBdr>
            <w:top w:val="none" w:sz="0" w:space="0" w:color="auto"/>
            <w:left w:val="none" w:sz="0" w:space="0" w:color="auto"/>
            <w:bottom w:val="none" w:sz="0" w:space="0" w:color="auto"/>
            <w:right w:val="none" w:sz="0" w:space="0" w:color="auto"/>
          </w:divBdr>
        </w:div>
        <w:div w:id="1265306101">
          <w:marLeft w:val="0"/>
          <w:marRight w:val="0"/>
          <w:marTop w:val="0"/>
          <w:marBottom w:val="0"/>
          <w:divBdr>
            <w:top w:val="none" w:sz="0" w:space="0" w:color="auto"/>
            <w:left w:val="none" w:sz="0" w:space="0" w:color="auto"/>
            <w:bottom w:val="none" w:sz="0" w:space="0" w:color="auto"/>
            <w:right w:val="none" w:sz="0" w:space="0" w:color="auto"/>
          </w:divBdr>
          <w:divsChild>
            <w:div w:id="1839298450">
              <w:marLeft w:val="0"/>
              <w:marRight w:val="0"/>
              <w:marTop w:val="0"/>
              <w:marBottom w:val="0"/>
              <w:divBdr>
                <w:top w:val="none" w:sz="0" w:space="0" w:color="auto"/>
                <w:left w:val="none" w:sz="0" w:space="0" w:color="auto"/>
                <w:bottom w:val="none" w:sz="0" w:space="0" w:color="auto"/>
                <w:right w:val="none" w:sz="0" w:space="0" w:color="auto"/>
              </w:divBdr>
            </w:div>
          </w:divsChild>
        </w:div>
        <w:div w:id="1272323925">
          <w:marLeft w:val="0"/>
          <w:marRight w:val="0"/>
          <w:marTop w:val="0"/>
          <w:marBottom w:val="0"/>
          <w:divBdr>
            <w:top w:val="none" w:sz="0" w:space="0" w:color="auto"/>
            <w:left w:val="none" w:sz="0" w:space="0" w:color="auto"/>
            <w:bottom w:val="none" w:sz="0" w:space="0" w:color="auto"/>
            <w:right w:val="none" w:sz="0" w:space="0" w:color="auto"/>
          </w:divBdr>
        </w:div>
        <w:div w:id="1285772093">
          <w:marLeft w:val="0"/>
          <w:marRight w:val="0"/>
          <w:marTop w:val="0"/>
          <w:marBottom w:val="0"/>
          <w:divBdr>
            <w:top w:val="none" w:sz="0" w:space="0" w:color="auto"/>
            <w:left w:val="none" w:sz="0" w:space="0" w:color="auto"/>
            <w:bottom w:val="none" w:sz="0" w:space="0" w:color="auto"/>
            <w:right w:val="none" w:sz="0" w:space="0" w:color="auto"/>
          </w:divBdr>
        </w:div>
        <w:div w:id="1311712972">
          <w:marLeft w:val="0"/>
          <w:marRight w:val="0"/>
          <w:marTop w:val="0"/>
          <w:marBottom w:val="0"/>
          <w:divBdr>
            <w:top w:val="none" w:sz="0" w:space="0" w:color="auto"/>
            <w:left w:val="none" w:sz="0" w:space="0" w:color="auto"/>
            <w:bottom w:val="none" w:sz="0" w:space="0" w:color="auto"/>
            <w:right w:val="none" w:sz="0" w:space="0" w:color="auto"/>
          </w:divBdr>
          <w:divsChild>
            <w:div w:id="780026063">
              <w:marLeft w:val="0"/>
              <w:marRight w:val="0"/>
              <w:marTop w:val="0"/>
              <w:marBottom w:val="0"/>
              <w:divBdr>
                <w:top w:val="none" w:sz="0" w:space="0" w:color="auto"/>
                <w:left w:val="none" w:sz="0" w:space="0" w:color="auto"/>
                <w:bottom w:val="none" w:sz="0" w:space="0" w:color="auto"/>
                <w:right w:val="none" w:sz="0" w:space="0" w:color="auto"/>
              </w:divBdr>
            </w:div>
          </w:divsChild>
        </w:div>
        <w:div w:id="1322386491">
          <w:marLeft w:val="0"/>
          <w:marRight w:val="0"/>
          <w:marTop w:val="0"/>
          <w:marBottom w:val="0"/>
          <w:divBdr>
            <w:top w:val="none" w:sz="0" w:space="0" w:color="auto"/>
            <w:left w:val="none" w:sz="0" w:space="0" w:color="auto"/>
            <w:bottom w:val="none" w:sz="0" w:space="0" w:color="auto"/>
            <w:right w:val="none" w:sz="0" w:space="0" w:color="auto"/>
          </w:divBdr>
          <w:divsChild>
            <w:div w:id="1570655620">
              <w:marLeft w:val="0"/>
              <w:marRight w:val="0"/>
              <w:marTop w:val="0"/>
              <w:marBottom w:val="0"/>
              <w:divBdr>
                <w:top w:val="none" w:sz="0" w:space="0" w:color="auto"/>
                <w:left w:val="none" w:sz="0" w:space="0" w:color="auto"/>
                <w:bottom w:val="none" w:sz="0" w:space="0" w:color="auto"/>
                <w:right w:val="none" w:sz="0" w:space="0" w:color="auto"/>
              </w:divBdr>
            </w:div>
          </w:divsChild>
        </w:div>
        <w:div w:id="1323893793">
          <w:marLeft w:val="0"/>
          <w:marRight w:val="0"/>
          <w:marTop w:val="0"/>
          <w:marBottom w:val="0"/>
          <w:divBdr>
            <w:top w:val="none" w:sz="0" w:space="0" w:color="auto"/>
            <w:left w:val="none" w:sz="0" w:space="0" w:color="auto"/>
            <w:bottom w:val="none" w:sz="0" w:space="0" w:color="auto"/>
            <w:right w:val="none" w:sz="0" w:space="0" w:color="auto"/>
          </w:divBdr>
          <w:divsChild>
            <w:div w:id="161819303">
              <w:marLeft w:val="0"/>
              <w:marRight w:val="0"/>
              <w:marTop w:val="0"/>
              <w:marBottom w:val="0"/>
              <w:divBdr>
                <w:top w:val="none" w:sz="0" w:space="0" w:color="auto"/>
                <w:left w:val="none" w:sz="0" w:space="0" w:color="auto"/>
                <w:bottom w:val="none" w:sz="0" w:space="0" w:color="auto"/>
                <w:right w:val="none" w:sz="0" w:space="0" w:color="auto"/>
              </w:divBdr>
            </w:div>
          </w:divsChild>
        </w:div>
        <w:div w:id="1329823281">
          <w:marLeft w:val="0"/>
          <w:marRight w:val="0"/>
          <w:marTop w:val="0"/>
          <w:marBottom w:val="0"/>
          <w:divBdr>
            <w:top w:val="none" w:sz="0" w:space="0" w:color="auto"/>
            <w:left w:val="none" w:sz="0" w:space="0" w:color="auto"/>
            <w:bottom w:val="none" w:sz="0" w:space="0" w:color="auto"/>
            <w:right w:val="none" w:sz="0" w:space="0" w:color="auto"/>
          </w:divBdr>
          <w:divsChild>
            <w:div w:id="932591789">
              <w:marLeft w:val="0"/>
              <w:marRight w:val="0"/>
              <w:marTop w:val="0"/>
              <w:marBottom w:val="0"/>
              <w:divBdr>
                <w:top w:val="none" w:sz="0" w:space="0" w:color="auto"/>
                <w:left w:val="none" w:sz="0" w:space="0" w:color="auto"/>
                <w:bottom w:val="none" w:sz="0" w:space="0" w:color="auto"/>
                <w:right w:val="none" w:sz="0" w:space="0" w:color="auto"/>
              </w:divBdr>
            </w:div>
          </w:divsChild>
        </w:div>
        <w:div w:id="1332946706">
          <w:marLeft w:val="0"/>
          <w:marRight w:val="0"/>
          <w:marTop w:val="0"/>
          <w:marBottom w:val="0"/>
          <w:divBdr>
            <w:top w:val="none" w:sz="0" w:space="0" w:color="auto"/>
            <w:left w:val="none" w:sz="0" w:space="0" w:color="auto"/>
            <w:bottom w:val="none" w:sz="0" w:space="0" w:color="auto"/>
            <w:right w:val="none" w:sz="0" w:space="0" w:color="auto"/>
          </w:divBdr>
        </w:div>
        <w:div w:id="1337537624">
          <w:marLeft w:val="0"/>
          <w:marRight w:val="0"/>
          <w:marTop w:val="0"/>
          <w:marBottom w:val="0"/>
          <w:divBdr>
            <w:top w:val="none" w:sz="0" w:space="0" w:color="auto"/>
            <w:left w:val="none" w:sz="0" w:space="0" w:color="auto"/>
            <w:bottom w:val="none" w:sz="0" w:space="0" w:color="auto"/>
            <w:right w:val="none" w:sz="0" w:space="0" w:color="auto"/>
          </w:divBdr>
          <w:divsChild>
            <w:div w:id="757756214">
              <w:marLeft w:val="0"/>
              <w:marRight w:val="0"/>
              <w:marTop w:val="0"/>
              <w:marBottom w:val="0"/>
              <w:divBdr>
                <w:top w:val="none" w:sz="0" w:space="0" w:color="auto"/>
                <w:left w:val="none" w:sz="0" w:space="0" w:color="auto"/>
                <w:bottom w:val="none" w:sz="0" w:space="0" w:color="auto"/>
                <w:right w:val="none" w:sz="0" w:space="0" w:color="auto"/>
              </w:divBdr>
            </w:div>
          </w:divsChild>
        </w:div>
        <w:div w:id="1340037568">
          <w:marLeft w:val="0"/>
          <w:marRight w:val="0"/>
          <w:marTop w:val="0"/>
          <w:marBottom w:val="0"/>
          <w:divBdr>
            <w:top w:val="none" w:sz="0" w:space="0" w:color="auto"/>
            <w:left w:val="none" w:sz="0" w:space="0" w:color="auto"/>
            <w:bottom w:val="none" w:sz="0" w:space="0" w:color="auto"/>
            <w:right w:val="none" w:sz="0" w:space="0" w:color="auto"/>
          </w:divBdr>
          <w:divsChild>
            <w:div w:id="440757871">
              <w:marLeft w:val="0"/>
              <w:marRight w:val="0"/>
              <w:marTop w:val="0"/>
              <w:marBottom w:val="0"/>
              <w:divBdr>
                <w:top w:val="none" w:sz="0" w:space="0" w:color="auto"/>
                <w:left w:val="none" w:sz="0" w:space="0" w:color="auto"/>
                <w:bottom w:val="none" w:sz="0" w:space="0" w:color="auto"/>
                <w:right w:val="none" w:sz="0" w:space="0" w:color="auto"/>
              </w:divBdr>
            </w:div>
          </w:divsChild>
        </w:div>
        <w:div w:id="1341588504">
          <w:marLeft w:val="0"/>
          <w:marRight w:val="0"/>
          <w:marTop w:val="0"/>
          <w:marBottom w:val="0"/>
          <w:divBdr>
            <w:top w:val="none" w:sz="0" w:space="0" w:color="auto"/>
            <w:left w:val="none" w:sz="0" w:space="0" w:color="auto"/>
            <w:bottom w:val="none" w:sz="0" w:space="0" w:color="auto"/>
            <w:right w:val="none" w:sz="0" w:space="0" w:color="auto"/>
          </w:divBdr>
        </w:div>
        <w:div w:id="1347487913">
          <w:marLeft w:val="0"/>
          <w:marRight w:val="0"/>
          <w:marTop w:val="0"/>
          <w:marBottom w:val="0"/>
          <w:divBdr>
            <w:top w:val="none" w:sz="0" w:space="0" w:color="auto"/>
            <w:left w:val="none" w:sz="0" w:space="0" w:color="auto"/>
            <w:bottom w:val="none" w:sz="0" w:space="0" w:color="auto"/>
            <w:right w:val="none" w:sz="0" w:space="0" w:color="auto"/>
          </w:divBdr>
        </w:div>
        <w:div w:id="1357925729">
          <w:marLeft w:val="0"/>
          <w:marRight w:val="0"/>
          <w:marTop w:val="0"/>
          <w:marBottom w:val="0"/>
          <w:divBdr>
            <w:top w:val="none" w:sz="0" w:space="0" w:color="auto"/>
            <w:left w:val="none" w:sz="0" w:space="0" w:color="auto"/>
            <w:bottom w:val="none" w:sz="0" w:space="0" w:color="auto"/>
            <w:right w:val="none" w:sz="0" w:space="0" w:color="auto"/>
          </w:divBdr>
        </w:div>
        <w:div w:id="1382245229">
          <w:marLeft w:val="0"/>
          <w:marRight w:val="0"/>
          <w:marTop w:val="0"/>
          <w:marBottom w:val="0"/>
          <w:divBdr>
            <w:top w:val="none" w:sz="0" w:space="0" w:color="auto"/>
            <w:left w:val="none" w:sz="0" w:space="0" w:color="auto"/>
            <w:bottom w:val="none" w:sz="0" w:space="0" w:color="auto"/>
            <w:right w:val="none" w:sz="0" w:space="0" w:color="auto"/>
          </w:divBdr>
          <w:divsChild>
            <w:div w:id="1996687750">
              <w:marLeft w:val="0"/>
              <w:marRight w:val="0"/>
              <w:marTop w:val="0"/>
              <w:marBottom w:val="0"/>
              <w:divBdr>
                <w:top w:val="none" w:sz="0" w:space="0" w:color="auto"/>
                <w:left w:val="none" w:sz="0" w:space="0" w:color="auto"/>
                <w:bottom w:val="none" w:sz="0" w:space="0" w:color="auto"/>
                <w:right w:val="none" w:sz="0" w:space="0" w:color="auto"/>
              </w:divBdr>
            </w:div>
          </w:divsChild>
        </w:div>
        <w:div w:id="1424379039">
          <w:marLeft w:val="0"/>
          <w:marRight w:val="0"/>
          <w:marTop w:val="0"/>
          <w:marBottom w:val="0"/>
          <w:divBdr>
            <w:top w:val="none" w:sz="0" w:space="0" w:color="auto"/>
            <w:left w:val="none" w:sz="0" w:space="0" w:color="auto"/>
            <w:bottom w:val="none" w:sz="0" w:space="0" w:color="auto"/>
            <w:right w:val="none" w:sz="0" w:space="0" w:color="auto"/>
          </w:divBdr>
        </w:div>
        <w:div w:id="1424834704">
          <w:marLeft w:val="0"/>
          <w:marRight w:val="0"/>
          <w:marTop w:val="0"/>
          <w:marBottom w:val="0"/>
          <w:divBdr>
            <w:top w:val="none" w:sz="0" w:space="0" w:color="auto"/>
            <w:left w:val="none" w:sz="0" w:space="0" w:color="auto"/>
            <w:bottom w:val="none" w:sz="0" w:space="0" w:color="auto"/>
            <w:right w:val="none" w:sz="0" w:space="0" w:color="auto"/>
          </w:divBdr>
        </w:div>
        <w:div w:id="1429543522">
          <w:marLeft w:val="0"/>
          <w:marRight w:val="0"/>
          <w:marTop w:val="0"/>
          <w:marBottom w:val="0"/>
          <w:divBdr>
            <w:top w:val="none" w:sz="0" w:space="0" w:color="auto"/>
            <w:left w:val="none" w:sz="0" w:space="0" w:color="auto"/>
            <w:bottom w:val="none" w:sz="0" w:space="0" w:color="auto"/>
            <w:right w:val="none" w:sz="0" w:space="0" w:color="auto"/>
          </w:divBdr>
        </w:div>
        <w:div w:id="1430931479">
          <w:marLeft w:val="0"/>
          <w:marRight w:val="0"/>
          <w:marTop w:val="0"/>
          <w:marBottom w:val="0"/>
          <w:divBdr>
            <w:top w:val="none" w:sz="0" w:space="0" w:color="auto"/>
            <w:left w:val="none" w:sz="0" w:space="0" w:color="auto"/>
            <w:bottom w:val="none" w:sz="0" w:space="0" w:color="auto"/>
            <w:right w:val="none" w:sz="0" w:space="0" w:color="auto"/>
          </w:divBdr>
        </w:div>
        <w:div w:id="1437096034">
          <w:marLeft w:val="0"/>
          <w:marRight w:val="0"/>
          <w:marTop w:val="0"/>
          <w:marBottom w:val="0"/>
          <w:divBdr>
            <w:top w:val="none" w:sz="0" w:space="0" w:color="auto"/>
            <w:left w:val="none" w:sz="0" w:space="0" w:color="auto"/>
            <w:bottom w:val="none" w:sz="0" w:space="0" w:color="auto"/>
            <w:right w:val="none" w:sz="0" w:space="0" w:color="auto"/>
          </w:divBdr>
        </w:div>
        <w:div w:id="1446729767">
          <w:marLeft w:val="0"/>
          <w:marRight w:val="0"/>
          <w:marTop w:val="0"/>
          <w:marBottom w:val="0"/>
          <w:divBdr>
            <w:top w:val="none" w:sz="0" w:space="0" w:color="auto"/>
            <w:left w:val="none" w:sz="0" w:space="0" w:color="auto"/>
            <w:bottom w:val="none" w:sz="0" w:space="0" w:color="auto"/>
            <w:right w:val="none" w:sz="0" w:space="0" w:color="auto"/>
          </w:divBdr>
          <w:divsChild>
            <w:div w:id="1395348485">
              <w:marLeft w:val="0"/>
              <w:marRight w:val="0"/>
              <w:marTop w:val="0"/>
              <w:marBottom w:val="0"/>
              <w:divBdr>
                <w:top w:val="none" w:sz="0" w:space="0" w:color="auto"/>
                <w:left w:val="none" w:sz="0" w:space="0" w:color="auto"/>
                <w:bottom w:val="none" w:sz="0" w:space="0" w:color="auto"/>
                <w:right w:val="none" w:sz="0" w:space="0" w:color="auto"/>
              </w:divBdr>
            </w:div>
          </w:divsChild>
        </w:div>
        <w:div w:id="1455638427">
          <w:marLeft w:val="0"/>
          <w:marRight w:val="0"/>
          <w:marTop w:val="0"/>
          <w:marBottom w:val="0"/>
          <w:divBdr>
            <w:top w:val="none" w:sz="0" w:space="0" w:color="auto"/>
            <w:left w:val="none" w:sz="0" w:space="0" w:color="auto"/>
            <w:bottom w:val="none" w:sz="0" w:space="0" w:color="auto"/>
            <w:right w:val="none" w:sz="0" w:space="0" w:color="auto"/>
          </w:divBdr>
        </w:div>
        <w:div w:id="1469319936">
          <w:marLeft w:val="0"/>
          <w:marRight w:val="0"/>
          <w:marTop w:val="0"/>
          <w:marBottom w:val="0"/>
          <w:divBdr>
            <w:top w:val="none" w:sz="0" w:space="0" w:color="auto"/>
            <w:left w:val="none" w:sz="0" w:space="0" w:color="auto"/>
            <w:bottom w:val="none" w:sz="0" w:space="0" w:color="auto"/>
            <w:right w:val="none" w:sz="0" w:space="0" w:color="auto"/>
          </w:divBdr>
        </w:div>
        <w:div w:id="1478107076">
          <w:marLeft w:val="0"/>
          <w:marRight w:val="0"/>
          <w:marTop w:val="0"/>
          <w:marBottom w:val="0"/>
          <w:divBdr>
            <w:top w:val="none" w:sz="0" w:space="0" w:color="auto"/>
            <w:left w:val="none" w:sz="0" w:space="0" w:color="auto"/>
            <w:bottom w:val="none" w:sz="0" w:space="0" w:color="auto"/>
            <w:right w:val="none" w:sz="0" w:space="0" w:color="auto"/>
          </w:divBdr>
        </w:div>
        <w:div w:id="1499808574">
          <w:marLeft w:val="0"/>
          <w:marRight w:val="0"/>
          <w:marTop w:val="0"/>
          <w:marBottom w:val="0"/>
          <w:divBdr>
            <w:top w:val="none" w:sz="0" w:space="0" w:color="auto"/>
            <w:left w:val="none" w:sz="0" w:space="0" w:color="auto"/>
            <w:bottom w:val="none" w:sz="0" w:space="0" w:color="auto"/>
            <w:right w:val="none" w:sz="0" w:space="0" w:color="auto"/>
          </w:divBdr>
        </w:div>
        <w:div w:id="1535726515">
          <w:marLeft w:val="0"/>
          <w:marRight w:val="0"/>
          <w:marTop w:val="0"/>
          <w:marBottom w:val="0"/>
          <w:divBdr>
            <w:top w:val="none" w:sz="0" w:space="0" w:color="auto"/>
            <w:left w:val="none" w:sz="0" w:space="0" w:color="auto"/>
            <w:bottom w:val="none" w:sz="0" w:space="0" w:color="auto"/>
            <w:right w:val="none" w:sz="0" w:space="0" w:color="auto"/>
          </w:divBdr>
        </w:div>
        <w:div w:id="1589272805">
          <w:marLeft w:val="0"/>
          <w:marRight w:val="0"/>
          <w:marTop w:val="0"/>
          <w:marBottom w:val="0"/>
          <w:divBdr>
            <w:top w:val="none" w:sz="0" w:space="0" w:color="auto"/>
            <w:left w:val="none" w:sz="0" w:space="0" w:color="auto"/>
            <w:bottom w:val="none" w:sz="0" w:space="0" w:color="auto"/>
            <w:right w:val="none" w:sz="0" w:space="0" w:color="auto"/>
          </w:divBdr>
        </w:div>
        <w:div w:id="1594046500">
          <w:marLeft w:val="0"/>
          <w:marRight w:val="0"/>
          <w:marTop w:val="0"/>
          <w:marBottom w:val="0"/>
          <w:divBdr>
            <w:top w:val="none" w:sz="0" w:space="0" w:color="auto"/>
            <w:left w:val="none" w:sz="0" w:space="0" w:color="auto"/>
            <w:bottom w:val="none" w:sz="0" w:space="0" w:color="auto"/>
            <w:right w:val="none" w:sz="0" w:space="0" w:color="auto"/>
          </w:divBdr>
          <w:divsChild>
            <w:div w:id="956182147">
              <w:marLeft w:val="0"/>
              <w:marRight w:val="0"/>
              <w:marTop w:val="0"/>
              <w:marBottom w:val="0"/>
              <w:divBdr>
                <w:top w:val="none" w:sz="0" w:space="0" w:color="auto"/>
                <w:left w:val="none" w:sz="0" w:space="0" w:color="auto"/>
                <w:bottom w:val="none" w:sz="0" w:space="0" w:color="auto"/>
                <w:right w:val="none" w:sz="0" w:space="0" w:color="auto"/>
              </w:divBdr>
            </w:div>
          </w:divsChild>
        </w:div>
        <w:div w:id="1620254692">
          <w:marLeft w:val="0"/>
          <w:marRight w:val="0"/>
          <w:marTop w:val="0"/>
          <w:marBottom w:val="0"/>
          <w:divBdr>
            <w:top w:val="none" w:sz="0" w:space="0" w:color="auto"/>
            <w:left w:val="none" w:sz="0" w:space="0" w:color="auto"/>
            <w:bottom w:val="none" w:sz="0" w:space="0" w:color="auto"/>
            <w:right w:val="none" w:sz="0" w:space="0" w:color="auto"/>
          </w:divBdr>
        </w:div>
        <w:div w:id="1629513380">
          <w:marLeft w:val="0"/>
          <w:marRight w:val="0"/>
          <w:marTop w:val="0"/>
          <w:marBottom w:val="0"/>
          <w:divBdr>
            <w:top w:val="none" w:sz="0" w:space="0" w:color="auto"/>
            <w:left w:val="none" w:sz="0" w:space="0" w:color="auto"/>
            <w:bottom w:val="none" w:sz="0" w:space="0" w:color="auto"/>
            <w:right w:val="none" w:sz="0" w:space="0" w:color="auto"/>
          </w:divBdr>
        </w:div>
        <w:div w:id="1631277485">
          <w:marLeft w:val="0"/>
          <w:marRight w:val="0"/>
          <w:marTop w:val="0"/>
          <w:marBottom w:val="0"/>
          <w:divBdr>
            <w:top w:val="none" w:sz="0" w:space="0" w:color="auto"/>
            <w:left w:val="none" w:sz="0" w:space="0" w:color="auto"/>
            <w:bottom w:val="none" w:sz="0" w:space="0" w:color="auto"/>
            <w:right w:val="none" w:sz="0" w:space="0" w:color="auto"/>
          </w:divBdr>
        </w:div>
        <w:div w:id="1646810953">
          <w:marLeft w:val="0"/>
          <w:marRight w:val="0"/>
          <w:marTop w:val="0"/>
          <w:marBottom w:val="0"/>
          <w:divBdr>
            <w:top w:val="none" w:sz="0" w:space="0" w:color="auto"/>
            <w:left w:val="none" w:sz="0" w:space="0" w:color="auto"/>
            <w:bottom w:val="none" w:sz="0" w:space="0" w:color="auto"/>
            <w:right w:val="none" w:sz="0" w:space="0" w:color="auto"/>
          </w:divBdr>
        </w:div>
        <w:div w:id="1699353582">
          <w:marLeft w:val="0"/>
          <w:marRight w:val="0"/>
          <w:marTop w:val="0"/>
          <w:marBottom w:val="0"/>
          <w:divBdr>
            <w:top w:val="none" w:sz="0" w:space="0" w:color="auto"/>
            <w:left w:val="none" w:sz="0" w:space="0" w:color="auto"/>
            <w:bottom w:val="none" w:sz="0" w:space="0" w:color="auto"/>
            <w:right w:val="none" w:sz="0" w:space="0" w:color="auto"/>
          </w:divBdr>
        </w:div>
        <w:div w:id="1719009887">
          <w:marLeft w:val="0"/>
          <w:marRight w:val="0"/>
          <w:marTop w:val="0"/>
          <w:marBottom w:val="0"/>
          <w:divBdr>
            <w:top w:val="none" w:sz="0" w:space="0" w:color="auto"/>
            <w:left w:val="none" w:sz="0" w:space="0" w:color="auto"/>
            <w:bottom w:val="none" w:sz="0" w:space="0" w:color="auto"/>
            <w:right w:val="none" w:sz="0" w:space="0" w:color="auto"/>
          </w:divBdr>
        </w:div>
        <w:div w:id="1724718204">
          <w:marLeft w:val="0"/>
          <w:marRight w:val="0"/>
          <w:marTop w:val="0"/>
          <w:marBottom w:val="0"/>
          <w:divBdr>
            <w:top w:val="none" w:sz="0" w:space="0" w:color="auto"/>
            <w:left w:val="none" w:sz="0" w:space="0" w:color="auto"/>
            <w:bottom w:val="none" w:sz="0" w:space="0" w:color="auto"/>
            <w:right w:val="none" w:sz="0" w:space="0" w:color="auto"/>
          </w:divBdr>
        </w:div>
        <w:div w:id="1736079249">
          <w:marLeft w:val="0"/>
          <w:marRight w:val="0"/>
          <w:marTop w:val="0"/>
          <w:marBottom w:val="0"/>
          <w:divBdr>
            <w:top w:val="none" w:sz="0" w:space="0" w:color="auto"/>
            <w:left w:val="none" w:sz="0" w:space="0" w:color="auto"/>
            <w:bottom w:val="none" w:sz="0" w:space="0" w:color="auto"/>
            <w:right w:val="none" w:sz="0" w:space="0" w:color="auto"/>
          </w:divBdr>
        </w:div>
        <w:div w:id="1754624018">
          <w:marLeft w:val="0"/>
          <w:marRight w:val="0"/>
          <w:marTop w:val="0"/>
          <w:marBottom w:val="0"/>
          <w:divBdr>
            <w:top w:val="none" w:sz="0" w:space="0" w:color="auto"/>
            <w:left w:val="none" w:sz="0" w:space="0" w:color="auto"/>
            <w:bottom w:val="none" w:sz="0" w:space="0" w:color="auto"/>
            <w:right w:val="none" w:sz="0" w:space="0" w:color="auto"/>
          </w:divBdr>
        </w:div>
        <w:div w:id="1782525928">
          <w:marLeft w:val="0"/>
          <w:marRight w:val="0"/>
          <w:marTop w:val="0"/>
          <w:marBottom w:val="0"/>
          <w:divBdr>
            <w:top w:val="none" w:sz="0" w:space="0" w:color="auto"/>
            <w:left w:val="none" w:sz="0" w:space="0" w:color="auto"/>
            <w:bottom w:val="none" w:sz="0" w:space="0" w:color="auto"/>
            <w:right w:val="none" w:sz="0" w:space="0" w:color="auto"/>
          </w:divBdr>
          <w:divsChild>
            <w:div w:id="1561136465">
              <w:marLeft w:val="0"/>
              <w:marRight w:val="0"/>
              <w:marTop w:val="0"/>
              <w:marBottom w:val="0"/>
              <w:divBdr>
                <w:top w:val="none" w:sz="0" w:space="0" w:color="auto"/>
                <w:left w:val="none" w:sz="0" w:space="0" w:color="auto"/>
                <w:bottom w:val="none" w:sz="0" w:space="0" w:color="auto"/>
                <w:right w:val="none" w:sz="0" w:space="0" w:color="auto"/>
              </w:divBdr>
            </w:div>
          </w:divsChild>
        </w:div>
        <w:div w:id="1801458624">
          <w:marLeft w:val="0"/>
          <w:marRight w:val="0"/>
          <w:marTop w:val="0"/>
          <w:marBottom w:val="0"/>
          <w:divBdr>
            <w:top w:val="none" w:sz="0" w:space="0" w:color="auto"/>
            <w:left w:val="none" w:sz="0" w:space="0" w:color="auto"/>
            <w:bottom w:val="none" w:sz="0" w:space="0" w:color="auto"/>
            <w:right w:val="none" w:sz="0" w:space="0" w:color="auto"/>
          </w:divBdr>
        </w:div>
        <w:div w:id="1802990414">
          <w:marLeft w:val="0"/>
          <w:marRight w:val="0"/>
          <w:marTop w:val="0"/>
          <w:marBottom w:val="0"/>
          <w:divBdr>
            <w:top w:val="none" w:sz="0" w:space="0" w:color="auto"/>
            <w:left w:val="none" w:sz="0" w:space="0" w:color="auto"/>
            <w:bottom w:val="none" w:sz="0" w:space="0" w:color="auto"/>
            <w:right w:val="none" w:sz="0" w:space="0" w:color="auto"/>
          </w:divBdr>
        </w:div>
        <w:div w:id="1820879701">
          <w:marLeft w:val="0"/>
          <w:marRight w:val="0"/>
          <w:marTop w:val="0"/>
          <w:marBottom w:val="0"/>
          <w:divBdr>
            <w:top w:val="none" w:sz="0" w:space="0" w:color="auto"/>
            <w:left w:val="none" w:sz="0" w:space="0" w:color="auto"/>
            <w:bottom w:val="none" w:sz="0" w:space="0" w:color="auto"/>
            <w:right w:val="none" w:sz="0" w:space="0" w:color="auto"/>
          </w:divBdr>
          <w:divsChild>
            <w:div w:id="561598886">
              <w:marLeft w:val="0"/>
              <w:marRight w:val="0"/>
              <w:marTop w:val="0"/>
              <w:marBottom w:val="0"/>
              <w:divBdr>
                <w:top w:val="none" w:sz="0" w:space="0" w:color="auto"/>
                <w:left w:val="none" w:sz="0" w:space="0" w:color="auto"/>
                <w:bottom w:val="none" w:sz="0" w:space="0" w:color="auto"/>
                <w:right w:val="none" w:sz="0" w:space="0" w:color="auto"/>
              </w:divBdr>
            </w:div>
          </w:divsChild>
        </w:div>
        <w:div w:id="1825664538">
          <w:marLeft w:val="0"/>
          <w:marRight w:val="0"/>
          <w:marTop w:val="0"/>
          <w:marBottom w:val="0"/>
          <w:divBdr>
            <w:top w:val="none" w:sz="0" w:space="0" w:color="auto"/>
            <w:left w:val="none" w:sz="0" w:space="0" w:color="auto"/>
            <w:bottom w:val="none" w:sz="0" w:space="0" w:color="auto"/>
            <w:right w:val="none" w:sz="0" w:space="0" w:color="auto"/>
          </w:divBdr>
          <w:divsChild>
            <w:div w:id="329598730">
              <w:marLeft w:val="0"/>
              <w:marRight w:val="0"/>
              <w:marTop w:val="0"/>
              <w:marBottom w:val="0"/>
              <w:divBdr>
                <w:top w:val="none" w:sz="0" w:space="0" w:color="auto"/>
                <w:left w:val="none" w:sz="0" w:space="0" w:color="auto"/>
                <w:bottom w:val="none" w:sz="0" w:space="0" w:color="auto"/>
                <w:right w:val="none" w:sz="0" w:space="0" w:color="auto"/>
              </w:divBdr>
            </w:div>
          </w:divsChild>
        </w:div>
        <w:div w:id="1835335740">
          <w:marLeft w:val="0"/>
          <w:marRight w:val="0"/>
          <w:marTop w:val="0"/>
          <w:marBottom w:val="0"/>
          <w:divBdr>
            <w:top w:val="none" w:sz="0" w:space="0" w:color="auto"/>
            <w:left w:val="none" w:sz="0" w:space="0" w:color="auto"/>
            <w:bottom w:val="none" w:sz="0" w:space="0" w:color="auto"/>
            <w:right w:val="none" w:sz="0" w:space="0" w:color="auto"/>
          </w:divBdr>
        </w:div>
        <w:div w:id="1855071598">
          <w:marLeft w:val="0"/>
          <w:marRight w:val="0"/>
          <w:marTop w:val="0"/>
          <w:marBottom w:val="0"/>
          <w:divBdr>
            <w:top w:val="none" w:sz="0" w:space="0" w:color="auto"/>
            <w:left w:val="none" w:sz="0" w:space="0" w:color="auto"/>
            <w:bottom w:val="none" w:sz="0" w:space="0" w:color="auto"/>
            <w:right w:val="none" w:sz="0" w:space="0" w:color="auto"/>
          </w:divBdr>
          <w:divsChild>
            <w:div w:id="789320688">
              <w:marLeft w:val="0"/>
              <w:marRight w:val="0"/>
              <w:marTop w:val="0"/>
              <w:marBottom w:val="0"/>
              <w:divBdr>
                <w:top w:val="none" w:sz="0" w:space="0" w:color="auto"/>
                <w:left w:val="none" w:sz="0" w:space="0" w:color="auto"/>
                <w:bottom w:val="none" w:sz="0" w:space="0" w:color="auto"/>
                <w:right w:val="none" w:sz="0" w:space="0" w:color="auto"/>
              </w:divBdr>
            </w:div>
          </w:divsChild>
        </w:div>
        <w:div w:id="1892764853">
          <w:marLeft w:val="0"/>
          <w:marRight w:val="0"/>
          <w:marTop w:val="0"/>
          <w:marBottom w:val="0"/>
          <w:divBdr>
            <w:top w:val="none" w:sz="0" w:space="0" w:color="auto"/>
            <w:left w:val="none" w:sz="0" w:space="0" w:color="auto"/>
            <w:bottom w:val="none" w:sz="0" w:space="0" w:color="auto"/>
            <w:right w:val="none" w:sz="0" w:space="0" w:color="auto"/>
          </w:divBdr>
        </w:div>
        <w:div w:id="1893419141">
          <w:marLeft w:val="0"/>
          <w:marRight w:val="0"/>
          <w:marTop w:val="0"/>
          <w:marBottom w:val="0"/>
          <w:divBdr>
            <w:top w:val="none" w:sz="0" w:space="0" w:color="auto"/>
            <w:left w:val="none" w:sz="0" w:space="0" w:color="auto"/>
            <w:bottom w:val="none" w:sz="0" w:space="0" w:color="auto"/>
            <w:right w:val="none" w:sz="0" w:space="0" w:color="auto"/>
          </w:divBdr>
        </w:div>
        <w:div w:id="1907960078">
          <w:marLeft w:val="0"/>
          <w:marRight w:val="0"/>
          <w:marTop w:val="0"/>
          <w:marBottom w:val="0"/>
          <w:divBdr>
            <w:top w:val="none" w:sz="0" w:space="0" w:color="auto"/>
            <w:left w:val="none" w:sz="0" w:space="0" w:color="auto"/>
            <w:bottom w:val="none" w:sz="0" w:space="0" w:color="auto"/>
            <w:right w:val="none" w:sz="0" w:space="0" w:color="auto"/>
          </w:divBdr>
          <w:divsChild>
            <w:div w:id="928926541">
              <w:marLeft w:val="0"/>
              <w:marRight w:val="0"/>
              <w:marTop w:val="0"/>
              <w:marBottom w:val="0"/>
              <w:divBdr>
                <w:top w:val="none" w:sz="0" w:space="0" w:color="auto"/>
                <w:left w:val="none" w:sz="0" w:space="0" w:color="auto"/>
                <w:bottom w:val="none" w:sz="0" w:space="0" w:color="auto"/>
                <w:right w:val="none" w:sz="0" w:space="0" w:color="auto"/>
              </w:divBdr>
            </w:div>
          </w:divsChild>
        </w:div>
        <w:div w:id="1909685361">
          <w:marLeft w:val="0"/>
          <w:marRight w:val="0"/>
          <w:marTop w:val="0"/>
          <w:marBottom w:val="0"/>
          <w:divBdr>
            <w:top w:val="none" w:sz="0" w:space="0" w:color="auto"/>
            <w:left w:val="none" w:sz="0" w:space="0" w:color="auto"/>
            <w:bottom w:val="none" w:sz="0" w:space="0" w:color="auto"/>
            <w:right w:val="none" w:sz="0" w:space="0" w:color="auto"/>
          </w:divBdr>
          <w:divsChild>
            <w:div w:id="1591085937">
              <w:marLeft w:val="0"/>
              <w:marRight w:val="0"/>
              <w:marTop w:val="0"/>
              <w:marBottom w:val="0"/>
              <w:divBdr>
                <w:top w:val="none" w:sz="0" w:space="0" w:color="auto"/>
                <w:left w:val="none" w:sz="0" w:space="0" w:color="auto"/>
                <w:bottom w:val="none" w:sz="0" w:space="0" w:color="auto"/>
                <w:right w:val="none" w:sz="0" w:space="0" w:color="auto"/>
              </w:divBdr>
            </w:div>
          </w:divsChild>
        </w:div>
        <w:div w:id="1933737524">
          <w:marLeft w:val="0"/>
          <w:marRight w:val="0"/>
          <w:marTop w:val="0"/>
          <w:marBottom w:val="0"/>
          <w:divBdr>
            <w:top w:val="none" w:sz="0" w:space="0" w:color="auto"/>
            <w:left w:val="none" w:sz="0" w:space="0" w:color="auto"/>
            <w:bottom w:val="none" w:sz="0" w:space="0" w:color="auto"/>
            <w:right w:val="none" w:sz="0" w:space="0" w:color="auto"/>
          </w:divBdr>
        </w:div>
        <w:div w:id="1935168232">
          <w:marLeft w:val="0"/>
          <w:marRight w:val="0"/>
          <w:marTop w:val="0"/>
          <w:marBottom w:val="0"/>
          <w:divBdr>
            <w:top w:val="none" w:sz="0" w:space="0" w:color="auto"/>
            <w:left w:val="none" w:sz="0" w:space="0" w:color="auto"/>
            <w:bottom w:val="none" w:sz="0" w:space="0" w:color="auto"/>
            <w:right w:val="none" w:sz="0" w:space="0" w:color="auto"/>
          </w:divBdr>
        </w:div>
        <w:div w:id="1957177061">
          <w:marLeft w:val="0"/>
          <w:marRight w:val="0"/>
          <w:marTop w:val="0"/>
          <w:marBottom w:val="0"/>
          <w:divBdr>
            <w:top w:val="none" w:sz="0" w:space="0" w:color="auto"/>
            <w:left w:val="none" w:sz="0" w:space="0" w:color="auto"/>
            <w:bottom w:val="none" w:sz="0" w:space="0" w:color="auto"/>
            <w:right w:val="none" w:sz="0" w:space="0" w:color="auto"/>
          </w:divBdr>
        </w:div>
        <w:div w:id="1964966763">
          <w:marLeft w:val="0"/>
          <w:marRight w:val="0"/>
          <w:marTop w:val="0"/>
          <w:marBottom w:val="0"/>
          <w:divBdr>
            <w:top w:val="none" w:sz="0" w:space="0" w:color="auto"/>
            <w:left w:val="none" w:sz="0" w:space="0" w:color="auto"/>
            <w:bottom w:val="none" w:sz="0" w:space="0" w:color="auto"/>
            <w:right w:val="none" w:sz="0" w:space="0" w:color="auto"/>
          </w:divBdr>
        </w:div>
        <w:div w:id="1967197912">
          <w:marLeft w:val="0"/>
          <w:marRight w:val="0"/>
          <w:marTop w:val="0"/>
          <w:marBottom w:val="0"/>
          <w:divBdr>
            <w:top w:val="none" w:sz="0" w:space="0" w:color="auto"/>
            <w:left w:val="none" w:sz="0" w:space="0" w:color="auto"/>
            <w:bottom w:val="none" w:sz="0" w:space="0" w:color="auto"/>
            <w:right w:val="none" w:sz="0" w:space="0" w:color="auto"/>
          </w:divBdr>
        </w:div>
        <w:div w:id="1979721175">
          <w:marLeft w:val="0"/>
          <w:marRight w:val="0"/>
          <w:marTop w:val="0"/>
          <w:marBottom w:val="0"/>
          <w:divBdr>
            <w:top w:val="none" w:sz="0" w:space="0" w:color="auto"/>
            <w:left w:val="none" w:sz="0" w:space="0" w:color="auto"/>
            <w:bottom w:val="none" w:sz="0" w:space="0" w:color="auto"/>
            <w:right w:val="none" w:sz="0" w:space="0" w:color="auto"/>
          </w:divBdr>
        </w:div>
        <w:div w:id="1985507787">
          <w:marLeft w:val="0"/>
          <w:marRight w:val="0"/>
          <w:marTop w:val="0"/>
          <w:marBottom w:val="0"/>
          <w:divBdr>
            <w:top w:val="none" w:sz="0" w:space="0" w:color="auto"/>
            <w:left w:val="none" w:sz="0" w:space="0" w:color="auto"/>
            <w:bottom w:val="none" w:sz="0" w:space="0" w:color="auto"/>
            <w:right w:val="none" w:sz="0" w:space="0" w:color="auto"/>
          </w:divBdr>
        </w:div>
        <w:div w:id="1996184775">
          <w:marLeft w:val="0"/>
          <w:marRight w:val="0"/>
          <w:marTop w:val="0"/>
          <w:marBottom w:val="0"/>
          <w:divBdr>
            <w:top w:val="none" w:sz="0" w:space="0" w:color="auto"/>
            <w:left w:val="none" w:sz="0" w:space="0" w:color="auto"/>
            <w:bottom w:val="none" w:sz="0" w:space="0" w:color="auto"/>
            <w:right w:val="none" w:sz="0" w:space="0" w:color="auto"/>
          </w:divBdr>
        </w:div>
        <w:div w:id="2006131777">
          <w:marLeft w:val="0"/>
          <w:marRight w:val="0"/>
          <w:marTop w:val="0"/>
          <w:marBottom w:val="0"/>
          <w:divBdr>
            <w:top w:val="none" w:sz="0" w:space="0" w:color="auto"/>
            <w:left w:val="none" w:sz="0" w:space="0" w:color="auto"/>
            <w:bottom w:val="none" w:sz="0" w:space="0" w:color="auto"/>
            <w:right w:val="none" w:sz="0" w:space="0" w:color="auto"/>
          </w:divBdr>
          <w:divsChild>
            <w:div w:id="885331302">
              <w:marLeft w:val="0"/>
              <w:marRight w:val="0"/>
              <w:marTop w:val="0"/>
              <w:marBottom w:val="0"/>
              <w:divBdr>
                <w:top w:val="none" w:sz="0" w:space="0" w:color="auto"/>
                <w:left w:val="none" w:sz="0" w:space="0" w:color="auto"/>
                <w:bottom w:val="none" w:sz="0" w:space="0" w:color="auto"/>
                <w:right w:val="none" w:sz="0" w:space="0" w:color="auto"/>
              </w:divBdr>
            </w:div>
          </w:divsChild>
        </w:div>
        <w:div w:id="2024433476">
          <w:marLeft w:val="0"/>
          <w:marRight w:val="0"/>
          <w:marTop w:val="0"/>
          <w:marBottom w:val="0"/>
          <w:divBdr>
            <w:top w:val="none" w:sz="0" w:space="0" w:color="auto"/>
            <w:left w:val="none" w:sz="0" w:space="0" w:color="auto"/>
            <w:bottom w:val="none" w:sz="0" w:space="0" w:color="auto"/>
            <w:right w:val="none" w:sz="0" w:space="0" w:color="auto"/>
          </w:divBdr>
        </w:div>
        <w:div w:id="2032611886">
          <w:marLeft w:val="0"/>
          <w:marRight w:val="0"/>
          <w:marTop w:val="0"/>
          <w:marBottom w:val="0"/>
          <w:divBdr>
            <w:top w:val="none" w:sz="0" w:space="0" w:color="auto"/>
            <w:left w:val="none" w:sz="0" w:space="0" w:color="auto"/>
            <w:bottom w:val="none" w:sz="0" w:space="0" w:color="auto"/>
            <w:right w:val="none" w:sz="0" w:space="0" w:color="auto"/>
          </w:divBdr>
          <w:divsChild>
            <w:div w:id="322125561">
              <w:marLeft w:val="0"/>
              <w:marRight w:val="0"/>
              <w:marTop w:val="0"/>
              <w:marBottom w:val="0"/>
              <w:divBdr>
                <w:top w:val="none" w:sz="0" w:space="0" w:color="auto"/>
                <w:left w:val="none" w:sz="0" w:space="0" w:color="auto"/>
                <w:bottom w:val="none" w:sz="0" w:space="0" w:color="auto"/>
                <w:right w:val="none" w:sz="0" w:space="0" w:color="auto"/>
              </w:divBdr>
            </w:div>
          </w:divsChild>
        </w:div>
        <w:div w:id="2043434330">
          <w:marLeft w:val="0"/>
          <w:marRight w:val="0"/>
          <w:marTop w:val="0"/>
          <w:marBottom w:val="0"/>
          <w:divBdr>
            <w:top w:val="none" w:sz="0" w:space="0" w:color="auto"/>
            <w:left w:val="none" w:sz="0" w:space="0" w:color="auto"/>
            <w:bottom w:val="none" w:sz="0" w:space="0" w:color="auto"/>
            <w:right w:val="none" w:sz="0" w:space="0" w:color="auto"/>
          </w:divBdr>
        </w:div>
        <w:div w:id="2053848864">
          <w:marLeft w:val="0"/>
          <w:marRight w:val="0"/>
          <w:marTop w:val="0"/>
          <w:marBottom w:val="0"/>
          <w:divBdr>
            <w:top w:val="none" w:sz="0" w:space="0" w:color="auto"/>
            <w:left w:val="none" w:sz="0" w:space="0" w:color="auto"/>
            <w:bottom w:val="none" w:sz="0" w:space="0" w:color="auto"/>
            <w:right w:val="none" w:sz="0" w:space="0" w:color="auto"/>
          </w:divBdr>
        </w:div>
        <w:div w:id="2108233325">
          <w:marLeft w:val="0"/>
          <w:marRight w:val="0"/>
          <w:marTop w:val="0"/>
          <w:marBottom w:val="0"/>
          <w:divBdr>
            <w:top w:val="none" w:sz="0" w:space="0" w:color="auto"/>
            <w:left w:val="none" w:sz="0" w:space="0" w:color="auto"/>
            <w:bottom w:val="none" w:sz="0" w:space="0" w:color="auto"/>
            <w:right w:val="none" w:sz="0" w:space="0" w:color="auto"/>
          </w:divBdr>
        </w:div>
        <w:div w:id="2112313572">
          <w:marLeft w:val="0"/>
          <w:marRight w:val="0"/>
          <w:marTop w:val="0"/>
          <w:marBottom w:val="0"/>
          <w:divBdr>
            <w:top w:val="none" w:sz="0" w:space="0" w:color="auto"/>
            <w:left w:val="none" w:sz="0" w:space="0" w:color="auto"/>
            <w:bottom w:val="none" w:sz="0" w:space="0" w:color="auto"/>
            <w:right w:val="none" w:sz="0" w:space="0" w:color="auto"/>
          </w:divBdr>
        </w:div>
        <w:div w:id="2116513621">
          <w:marLeft w:val="0"/>
          <w:marRight w:val="0"/>
          <w:marTop w:val="0"/>
          <w:marBottom w:val="0"/>
          <w:divBdr>
            <w:top w:val="none" w:sz="0" w:space="0" w:color="auto"/>
            <w:left w:val="none" w:sz="0" w:space="0" w:color="auto"/>
            <w:bottom w:val="none" w:sz="0" w:space="0" w:color="auto"/>
            <w:right w:val="none" w:sz="0" w:space="0" w:color="auto"/>
          </w:divBdr>
        </w:div>
        <w:div w:id="2118524549">
          <w:marLeft w:val="0"/>
          <w:marRight w:val="0"/>
          <w:marTop w:val="0"/>
          <w:marBottom w:val="0"/>
          <w:divBdr>
            <w:top w:val="none" w:sz="0" w:space="0" w:color="auto"/>
            <w:left w:val="none" w:sz="0" w:space="0" w:color="auto"/>
            <w:bottom w:val="none" w:sz="0" w:space="0" w:color="auto"/>
            <w:right w:val="none" w:sz="0" w:space="0" w:color="auto"/>
          </w:divBdr>
        </w:div>
        <w:div w:id="2128312112">
          <w:marLeft w:val="0"/>
          <w:marRight w:val="0"/>
          <w:marTop w:val="0"/>
          <w:marBottom w:val="0"/>
          <w:divBdr>
            <w:top w:val="none" w:sz="0" w:space="0" w:color="auto"/>
            <w:left w:val="none" w:sz="0" w:space="0" w:color="auto"/>
            <w:bottom w:val="none" w:sz="0" w:space="0" w:color="auto"/>
            <w:right w:val="none" w:sz="0" w:space="0" w:color="auto"/>
          </w:divBdr>
        </w:div>
      </w:divsChild>
    </w:div>
    <w:div w:id="227035930">
      <w:bodyDiv w:val="1"/>
      <w:marLeft w:val="0"/>
      <w:marRight w:val="0"/>
      <w:marTop w:val="0"/>
      <w:marBottom w:val="0"/>
      <w:divBdr>
        <w:top w:val="none" w:sz="0" w:space="0" w:color="auto"/>
        <w:left w:val="none" w:sz="0" w:space="0" w:color="auto"/>
        <w:bottom w:val="none" w:sz="0" w:space="0" w:color="auto"/>
        <w:right w:val="none" w:sz="0" w:space="0" w:color="auto"/>
      </w:divBdr>
    </w:div>
    <w:div w:id="232739307">
      <w:bodyDiv w:val="1"/>
      <w:marLeft w:val="0"/>
      <w:marRight w:val="0"/>
      <w:marTop w:val="0"/>
      <w:marBottom w:val="0"/>
      <w:divBdr>
        <w:top w:val="none" w:sz="0" w:space="0" w:color="auto"/>
        <w:left w:val="none" w:sz="0" w:space="0" w:color="auto"/>
        <w:bottom w:val="none" w:sz="0" w:space="0" w:color="auto"/>
        <w:right w:val="none" w:sz="0" w:space="0" w:color="auto"/>
      </w:divBdr>
    </w:div>
    <w:div w:id="269708126">
      <w:bodyDiv w:val="1"/>
      <w:marLeft w:val="0"/>
      <w:marRight w:val="0"/>
      <w:marTop w:val="0"/>
      <w:marBottom w:val="0"/>
      <w:divBdr>
        <w:top w:val="none" w:sz="0" w:space="0" w:color="auto"/>
        <w:left w:val="none" w:sz="0" w:space="0" w:color="auto"/>
        <w:bottom w:val="none" w:sz="0" w:space="0" w:color="auto"/>
        <w:right w:val="none" w:sz="0" w:space="0" w:color="auto"/>
      </w:divBdr>
    </w:div>
    <w:div w:id="271401841">
      <w:bodyDiv w:val="1"/>
      <w:marLeft w:val="0"/>
      <w:marRight w:val="0"/>
      <w:marTop w:val="0"/>
      <w:marBottom w:val="0"/>
      <w:divBdr>
        <w:top w:val="none" w:sz="0" w:space="0" w:color="auto"/>
        <w:left w:val="none" w:sz="0" w:space="0" w:color="auto"/>
        <w:bottom w:val="none" w:sz="0" w:space="0" w:color="auto"/>
        <w:right w:val="none" w:sz="0" w:space="0" w:color="auto"/>
      </w:divBdr>
    </w:div>
    <w:div w:id="280377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490">
          <w:marLeft w:val="0"/>
          <w:marRight w:val="0"/>
          <w:marTop w:val="0"/>
          <w:marBottom w:val="0"/>
          <w:divBdr>
            <w:top w:val="none" w:sz="0" w:space="0" w:color="auto"/>
            <w:left w:val="none" w:sz="0" w:space="0" w:color="auto"/>
            <w:bottom w:val="none" w:sz="0" w:space="0" w:color="auto"/>
            <w:right w:val="none" w:sz="0" w:space="0" w:color="auto"/>
          </w:divBdr>
          <w:divsChild>
            <w:div w:id="603002878">
              <w:marLeft w:val="0"/>
              <w:marRight w:val="0"/>
              <w:marTop w:val="0"/>
              <w:marBottom w:val="0"/>
              <w:divBdr>
                <w:top w:val="none" w:sz="0" w:space="0" w:color="auto"/>
                <w:left w:val="none" w:sz="0" w:space="0" w:color="auto"/>
                <w:bottom w:val="none" w:sz="0" w:space="0" w:color="auto"/>
                <w:right w:val="none" w:sz="0" w:space="0" w:color="auto"/>
              </w:divBdr>
              <w:divsChild>
                <w:div w:id="390351278">
                  <w:marLeft w:val="0"/>
                  <w:marRight w:val="0"/>
                  <w:marTop w:val="0"/>
                  <w:marBottom w:val="0"/>
                  <w:divBdr>
                    <w:top w:val="none" w:sz="0" w:space="0" w:color="auto"/>
                    <w:left w:val="none" w:sz="0" w:space="0" w:color="auto"/>
                    <w:bottom w:val="none" w:sz="0" w:space="0" w:color="auto"/>
                    <w:right w:val="none" w:sz="0" w:space="0" w:color="auto"/>
                  </w:divBdr>
                </w:div>
              </w:divsChild>
            </w:div>
            <w:div w:id="1203790612">
              <w:marLeft w:val="0"/>
              <w:marRight w:val="0"/>
              <w:marTop w:val="0"/>
              <w:marBottom w:val="0"/>
              <w:divBdr>
                <w:top w:val="none" w:sz="0" w:space="0" w:color="auto"/>
                <w:left w:val="none" w:sz="0" w:space="0" w:color="auto"/>
                <w:bottom w:val="none" w:sz="0" w:space="0" w:color="auto"/>
                <w:right w:val="none" w:sz="0" w:space="0" w:color="auto"/>
              </w:divBdr>
              <w:divsChild>
                <w:div w:id="274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766">
          <w:marLeft w:val="0"/>
          <w:marRight w:val="0"/>
          <w:marTop w:val="0"/>
          <w:marBottom w:val="0"/>
          <w:divBdr>
            <w:top w:val="none" w:sz="0" w:space="0" w:color="auto"/>
            <w:left w:val="none" w:sz="0" w:space="0" w:color="auto"/>
            <w:bottom w:val="none" w:sz="0" w:space="0" w:color="auto"/>
            <w:right w:val="none" w:sz="0" w:space="0" w:color="auto"/>
          </w:divBdr>
          <w:divsChild>
            <w:div w:id="711618051">
              <w:marLeft w:val="0"/>
              <w:marRight w:val="0"/>
              <w:marTop w:val="0"/>
              <w:marBottom w:val="0"/>
              <w:divBdr>
                <w:top w:val="none" w:sz="0" w:space="0" w:color="auto"/>
                <w:left w:val="none" w:sz="0" w:space="0" w:color="auto"/>
                <w:bottom w:val="none" w:sz="0" w:space="0" w:color="auto"/>
                <w:right w:val="none" w:sz="0" w:space="0" w:color="auto"/>
              </w:divBdr>
              <w:divsChild>
                <w:div w:id="2079014824">
                  <w:marLeft w:val="0"/>
                  <w:marRight w:val="0"/>
                  <w:marTop w:val="0"/>
                  <w:marBottom w:val="0"/>
                  <w:divBdr>
                    <w:top w:val="none" w:sz="0" w:space="0" w:color="auto"/>
                    <w:left w:val="none" w:sz="0" w:space="0" w:color="auto"/>
                    <w:bottom w:val="none" w:sz="0" w:space="0" w:color="auto"/>
                    <w:right w:val="none" w:sz="0" w:space="0" w:color="auto"/>
                  </w:divBdr>
                </w:div>
              </w:divsChild>
            </w:div>
            <w:div w:id="2044016953">
              <w:marLeft w:val="0"/>
              <w:marRight w:val="0"/>
              <w:marTop w:val="0"/>
              <w:marBottom w:val="0"/>
              <w:divBdr>
                <w:top w:val="none" w:sz="0" w:space="0" w:color="auto"/>
                <w:left w:val="none" w:sz="0" w:space="0" w:color="auto"/>
                <w:bottom w:val="none" w:sz="0" w:space="0" w:color="auto"/>
                <w:right w:val="none" w:sz="0" w:space="0" w:color="auto"/>
              </w:divBdr>
              <w:divsChild>
                <w:div w:id="499390541">
                  <w:marLeft w:val="0"/>
                  <w:marRight w:val="0"/>
                  <w:marTop w:val="0"/>
                  <w:marBottom w:val="0"/>
                  <w:divBdr>
                    <w:top w:val="none" w:sz="0" w:space="0" w:color="auto"/>
                    <w:left w:val="none" w:sz="0" w:space="0" w:color="auto"/>
                    <w:bottom w:val="none" w:sz="0" w:space="0" w:color="auto"/>
                    <w:right w:val="none" w:sz="0" w:space="0" w:color="auto"/>
                  </w:divBdr>
                </w:div>
                <w:div w:id="1487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3190">
      <w:bodyDiv w:val="1"/>
      <w:marLeft w:val="0"/>
      <w:marRight w:val="0"/>
      <w:marTop w:val="0"/>
      <w:marBottom w:val="0"/>
      <w:divBdr>
        <w:top w:val="none" w:sz="0" w:space="0" w:color="auto"/>
        <w:left w:val="none" w:sz="0" w:space="0" w:color="auto"/>
        <w:bottom w:val="none" w:sz="0" w:space="0" w:color="auto"/>
        <w:right w:val="none" w:sz="0" w:space="0" w:color="auto"/>
      </w:divBdr>
    </w:div>
    <w:div w:id="313879647">
      <w:bodyDiv w:val="1"/>
      <w:marLeft w:val="0"/>
      <w:marRight w:val="0"/>
      <w:marTop w:val="0"/>
      <w:marBottom w:val="0"/>
      <w:divBdr>
        <w:top w:val="none" w:sz="0" w:space="0" w:color="auto"/>
        <w:left w:val="none" w:sz="0" w:space="0" w:color="auto"/>
        <w:bottom w:val="none" w:sz="0" w:space="0" w:color="auto"/>
        <w:right w:val="none" w:sz="0" w:space="0" w:color="auto"/>
      </w:divBdr>
    </w:div>
    <w:div w:id="360478127">
      <w:bodyDiv w:val="1"/>
      <w:marLeft w:val="0"/>
      <w:marRight w:val="0"/>
      <w:marTop w:val="0"/>
      <w:marBottom w:val="0"/>
      <w:divBdr>
        <w:top w:val="none" w:sz="0" w:space="0" w:color="auto"/>
        <w:left w:val="none" w:sz="0" w:space="0" w:color="auto"/>
        <w:bottom w:val="none" w:sz="0" w:space="0" w:color="auto"/>
        <w:right w:val="none" w:sz="0" w:space="0" w:color="auto"/>
      </w:divBdr>
    </w:div>
    <w:div w:id="368729373">
      <w:bodyDiv w:val="1"/>
      <w:marLeft w:val="0"/>
      <w:marRight w:val="0"/>
      <w:marTop w:val="0"/>
      <w:marBottom w:val="0"/>
      <w:divBdr>
        <w:top w:val="none" w:sz="0" w:space="0" w:color="auto"/>
        <w:left w:val="none" w:sz="0" w:space="0" w:color="auto"/>
        <w:bottom w:val="none" w:sz="0" w:space="0" w:color="auto"/>
        <w:right w:val="none" w:sz="0" w:space="0" w:color="auto"/>
      </w:divBdr>
      <w:divsChild>
        <w:div w:id="1925868906">
          <w:marLeft w:val="0"/>
          <w:marRight w:val="0"/>
          <w:marTop w:val="0"/>
          <w:marBottom w:val="0"/>
          <w:divBdr>
            <w:top w:val="none" w:sz="0" w:space="0" w:color="auto"/>
            <w:left w:val="none" w:sz="0" w:space="0" w:color="auto"/>
            <w:bottom w:val="none" w:sz="0" w:space="0" w:color="auto"/>
            <w:right w:val="none" w:sz="0" w:space="0" w:color="auto"/>
          </w:divBdr>
          <w:divsChild>
            <w:div w:id="293021408">
              <w:marLeft w:val="0"/>
              <w:marRight w:val="0"/>
              <w:marTop w:val="0"/>
              <w:marBottom w:val="0"/>
              <w:divBdr>
                <w:top w:val="none" w:sz="0" w:space="0" w:color="auto"/>
                <w:left w:val="none" w:sz="0" w:space="0" w:color="auto"/>
                <w:bottom w:val="none" w:sz="0" w:space="0" w:color="auto"/>
                <w:right w:val="none" w:sz="0" w:space="0" w:color="auto"/>
              </w:divBdr>
              <w:divsChild>
                <w:div w:id="16902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1116">
      <w:bodyDiv w:val="1"/>
      <w:marLeft w:val="0"/>
      <w:marRight w:val="0"/>
      <w:marTop w:val="0"/>
      <w:marBottom w:val="0"/>
      <w:divBdr>
        <w:top w:val="none" w:sz="0" w:space="0" w:color="auto"/>
        <w:left w:val="none" w:sz="0" w:space="0" w:color="auto"/>
        <w:bottom w:val="none" w:sz="0" w:space="0" w:color="auto"/>
        <w:right w:val="none" w:sz="0" w:space="0" w:color="auto"/>
      </w:divBdr>
    </w:div>
    <w:div w:id="461928782">
      <w:bodyDiv w:val="1"/>
      <w:marLeft w:val="0"/>
      <w:marRight w:val="0"/>
      <w:marTop w:val="0"/>
      <w:marBottom w:val="0"/>
      <w:divBdr>
        <w:top w:val="none" w:sz="0" w:space="0" w:color="auto"/>
        <w:left w:val="none" w:sz="0" w:space="0" w:color="auto"/>
        <w:bottom w:val="none" w:sz="0" w:space="0" w:color="auto"/>
        <w:right w:val="none" w:sz="0" w:space="0" w:color="auto"/>
      </w:divBdr>
    </w:div>
    <w:div w:id="659625460">
      <w:bodyDiv w:val="1"/>
      <w:marLeft w:val="0"/>
      <w:marRight w:val="0"/>
      <w:marTop w:val="0"/>
      <w:marBottom w:val="0"/>
      <w:divBdr>
        <w:top w:val="none" w:sz="0" w:space="0" w:color="auto"/>
        <w:left w:val="none" w:sz="0" w:space="0" w:color="auto"/>
        <w:bottom w:val="none" w:sz="0" w:space="0" w:color="auto"/>
        <w:right w:val="none" w:sz="0" w:space="0" w:color="auto"/>
      </w:divBdr>
    </w:div>
    <w:div w:id="887841872">
      <w:bodyDiv w:val="1"/>
      <w:marLeft w:val="0"/>
      <w:marRight w:val="0"/>
      <w:marTop w:val="0"/>
      <w:marBottom w:val="0"/>
      <w:divBdr>
        <w:top w:val="none" w:sz="0" w:space="0" w:color="auto"/>
        <w:left w:val="none" w:sz="0" w:space="0" w:color="auto"/>
        <w:bottom w:val="none" w:sz="0" w:space="0" w:color="auto"/>
        <w:right w:val="none" w:sz="0" w:space="0" w:color="auto"/>
      </w:divBdr>
    </w:div>
    <w:div w:id="1057703083">
      <w:bodyDiv w:val="1"/>
      <w:marLeft w:val="0"/>
      <w:marRight w:val="0"/>
      <w:marTop w:val="0"/>
      <w:marBottom w:val="0"/>
      <w:divBdr>
        <w:top w:val="none" w:sz="0" w:space="0" w:color="auto"/>
        <w:left w:val="none" w:sz="0" w:space="0" w:color="auto"/>
        <w:bottom w:val="none" w:sz="0" w:space="0" w:color="auto"/>
        <w:right w:val="none" w:sz="0" w:space="0" w:color="auto"/>
      </w:divBdr>
    </w:div>
    <w:div w:id="1076899387">
      <w:bodyDiv w:val="1"/>
      <w:marLeft w:val="0"/>
      <w:marRight w:val="0"/>
      <w:marTop w:val="0"/>
      <w:marBottom w:val="0"/>
      <w:divBdr>
        <w:top w:val="none" w:sz="0" w:space="0" w:color="auto"/>
        <w:left w:val="none" w:sz="0" w:space="0" w:color="auto"/>
        <w:bottom w:val="none" w:sz="0" w:space="0" w:color="auto"/>
        <w:right w:val="none" w:sz="0" w:space="0" w:color="auto"/>
      </w:divBdr>
    </w:div>
    <w:div w:id="1272082235">
      <w:bodyDiv w:val="1"/>
      <w:marLeft w:val="0"/>
      <w:marRight w:val="0"/>
      <w:marTop w:val="0"/>
      <w:marBottom w:val="0"/>
      <w:divBdr>
        <w:top w:val="none" w:sz="0" w:space="0" w:color="auto"/>
        <w:left w:val="none" w:sz="0" w:space="0" w:color="auto"/>
        <w:bottom w:val="none" w:sz="0" w:space="0" w:color="auto"/>
        <w:right w:val="none" w:sz="0" w:space="0" w:color="auto"/>
      </w:divBdr>
    </w:div>
    <w:div w:id="1508400482">
      <w:bodyDiv w:val="1"/>
      <w:marLeft w:val="0"/>
      <w:marRight w:val="0"/>
      <w:marTop w:val="0"/>
      <w:marBottom w:val="0"/>
      <w:divBdr>
        <w:top w:val="none" w:sz="0" w:space="0" w:color="auto"/>
        <w:left w:val="none" w:sz="0" w:space="0" w:color="auto"/>
        <w:bottom w:val="none" w:sz="0" w:space="0" w:color="auto"/>
        <w:right w:val="none" w:sz="0" w:space="0" w:color="auto"/>
      </w:divBdr>
      <w:divsChild>
        <w:div w:id="727804300">
          <w:marLeft w:val="0"/>
          <w:marRight w:val="0"/>
          <w:marTop w:val="0"/>
          <w:marBottom w:val="0"/>
          <w:divBdr>
            <w:top w:val="none" w:sz="0" w:space="0" w:color="auto"/>
            <w:left w:val="none" w:sz="0" w:space="0" w:color="auto"/>
            <w:bottom w:val="none" w:sz="0" w:space="0" w:color="auto"/>
            <w:right w:val="none" w:sz="0" w:space="0" w:color="auto"/>
          </w:divBdr>
          <w:divsChild>
            <w:div w:id="1375472085">
              <w:marLeft w:val="0"/>
              <w:marRight w:val="0"/>
              <w:marTop w:val="0"/>
              <w:marBottom w:val="0"/>
              <w:divBdr>
                <w:top w:val="none" w:sz="0" w:space="0" w:color="auto"/>
                <w:left w:val="none" w:sz="0" w:space="0" w:color="auto"/>
                <w:bottom w:val="none" w:sz="0" w:space="0" w:color="auto"/>
                <w:right w:val="none" w:sz="0" w:space="0" w:color="auto"/>
              </w:divBdr>
              <w:divsChild>
                <w:div w:id="728959492">
                  <w:marLeft w:val="0"/>
                  <w:marRight w:val="0"/>
                  <w:marTop w:val="0"/>
                  <w:marBottom w:val="0"/>
                  <w:divBdr>
                    <w:top w:val="none" w:sz="0" w:space="0" w:color="auto"/>
                    <w:left w:val="none" w:sz="0" w:space="0" w:color="auto"/>
                    <w:bottom w:val="none" w:sz="0" w:space="0" w:color="auto"/>
                    <w:right w:val="none" w:sz="0" w:space="0" w:color="auto"/>
                  </w:divBdr>
                  <w:divsChild>
                    <w:div w:id="1541936367">
                      <w:marLeft w:val="0"/>
                      <w:marRight w:val="0"/>
                      <w:marTop w:val="0"/>
                      <w:marBottom w:val="0"/>
                      <w:divBdr>
                        <w:top w:val="none" w:sz="0" w:space="0" w:color="auto"/>
                        <w:left w:val="none" w:sz="0" w:space="0" w:color="auto"/>
                        <w:bottom w:val="none" w:sz="0" w:space="0" w:color="auto"/>
                        <w:right w:val="none" w:sz="0" w:space="0" w:color="auto"/>
                      </w:divBdr>
                      <w:divsChild>
                        <w:div w:id="1394544950">
                          <w:marLeft w:val="0"/>
                          <w:marRight w:val="0"/>
                          <w:marTop w:val="0"/>
                          <w:marBottom w:val="0"/>
                          <w:divBdr>
                            <w:top w:val="none" w:sz="0" w:space="0" w:color="auto"/>
                            <w:left w:val="none" w:sz="0" w:space="0" w:color="auto"/>
                            <w:bottom w:val="none" w:sz="0" w:space="0" w:color="auto"/>
                            <w:right w:val="none" w:sz="0" w:space="0" w:color="auto"/>
                          </w:divBdr>
                          <w:divsChild>
                            <w:div w:id="17657452">
                              <w:marLeft w:val="0"/>
                              <w:marRight w:val="0"/>
                              <w:marTop w:val="0"/>
                              <w:marBottom w:val="0"/>
                              <w:divBdr>
                                <w:top w:val="none" w:sz="0" w:space="0" w:color="auto"/>
                                <w:left w:val="none" w:sz="0" w:space="0" w:color="auto"/>
                                <w:bottom w:val="none" w:sz="0" w:space="0" w:color="auto"/>
                                <w:right w:val="none" w:sz="0" w:space="0" w:color="auto"/>
                              </w:divBdr>
                            </w:div>
                            <w:div w:id="77677376">
                              <w:marLeft w:val="0"/>
                              <w:marRight w:val="0"/>
                              <w:marTop w:val="0"/>
                              <w:marBottom w:val="0"/>
                              <w:divBdr>
                                <w:top w:val="none" w:sz="0" w:space="0" w:color="auto"/>
                                <w:left w:val="none" w:sz="0" w:space="0" w:color="auto"/>
                                <w:bottom w:val="none" w:sz="0" w:space="0" w:color="auto"/>
                                <w:right w:val="none" w:sz="0" w:space="0" w:color="auto"/>
                              </w:divBdr>
                            </w:div>
                            <w:div w:id="125199923">
                              <w:marLeft w:val="0"/>
                              <w:marRight w:val="0"/>
                              <w:marTop w:val="0"/>
                              <w:marBottom w:val="0"/>
                              <w:divBdr>
                                <w:top w:val="none" w:sz="0" w:space="0" w:color="auto"/>
                                <w:left w:val="none" w:sz="0" w:space="0" w:color="auto"/>
                                <w:bottom w:val="none" w:sz="0" w:space="0" w:color="auto"/>
                                <w:right w:val="none" w:sz="0" w:space="0" w:color="auto"/>
                              </w:divBdr>
                            </w:div>
                            <w:div w:id="149520107">
                              <w:marLeft w:val="0"/>
                              <w:marRight w:val="0"/>
                              <w:marTop w:val="0"/>
                              <w:marBottom w:val="0"/>
                              <w:divBdr>
                                <w:top w:val="none" w:sz="0" w:space="0" w:color="auto"/>
                                <w:left w:val="none" w:sz="0" w:space="0" w:color="auto"/>
                                <w:bottom w:val="none" w:sz="0" w:space="0" w:color="auto"/>
                                <w:right w:val="none" w:sz="0" w:space="0" w:color="auto"/>
                              </w:divBdr>
                            </w:div>
                            <w:div w:id="161745654">
                              <w:marLeft w:val="0"/>
                              <w:marRight w:val="0"/>
                              <w:marTop w:val="0"/>
                              <w:marBottom w:val="0"/>
                              <w:divBdr>
                                <w:top w:val="none" w:sz="0" w:space="0" w:color="auto"/>
                                <w:left w:val="none" w:sz="0" w:space="0" w:color="auto"/>
                                <w:bottom w:val="none" w:sz="0" w:space="0" w:color="auto"/>
                                <w:right w:val="none" w:sz="0" w:space="0" w:color="auto"/>
                              </w:divBdr>
                            </w:div>
                            <w:div w:id="162165097">
                              <w:marLeft w:val="0"/>
                              <w:marRight w:val="0"/>
                              <w:marTop w:val="0"/>
                              <w:marBottom w:val="0"/>
                              <w:divBdr>
                                <w:top w:val="none" w:sz="0" w:space="0" w:color="auto"/>
                                <w:left w:val="none" w:sz="0" w:space="0" w:color="auto"/>
                                <w:bottom w:val="none" w:sz="0" w:space="0" w:color="auto"/>
                                <w:right w:val="none" w:sz="0" w:space="0" w:color="auto"/>
                              </w:divBdr>
                            </w:div>
                            <w:div w:id="257711865">
                              <w:marLeft w:val="0"/>
                              <w:marRight w:val="0"/>
                              <w:marTop w:val="0"/>
                              <w:marBottom w:val="0"/>
                              <w:divBdr>
                                <w:top w:val="none" w:sz="0" w:space="0" w:color="auto"/>
                                <w:left w:val="none" w:sz="0" w:space="0" w:color="auto"/>
                                <w:bottom w:val="none" w:sz="0" w:space="0" w:color="auto"/>
                                <w:right w:val="none" w:sz="0" w:space="0" w:color="auto"/>
                              </w:divBdr>
                              <w:divsChild>
                                <w:div w:id="1100638923">
                                  <w:marLeft w:val="0"/>
                                  <w:marRight w:val="0"/>
                                  <w:marTop w:val="0"/>
                                  <w:marBottom w:val="0"/>
                                  <w:divBdr>
                                    <w:top w:val="none" w:sz="0" w:space="0" w:color="auto"/>
                                    <w:left w:val="none" w:sz="0" w:space="0" w:color="auto"/>
                                    <w:bottom w:val="none" w:sz="0" w:space="0" w:color="auto"/>
                                    <w:right w:val="none" w:sz="0" w:space="0" w:color="auto"/>
                                  </w:divBdr>
                                </w:div>
                              </w:divsChild>
                            </w:div>
                            <w:div w:id="309675680">
                              <w:marLeft w:val="0"/>
                              <w:marRight w:val="0"/>
                              <w:marTop w:val="0"/>
                              <w:marBottom w:val="0"/>
                              <w:divBdr>
                                <w:top w:val="none" w:sz="0" w:space="0" w:color="auto"/>
                                <w:left w:val="none" w:sz="0" w:space="0" w:color="auto"/>
                                <w:bottom w:val="none" w:sz="0" w:space="0" w:color="auto"/>
                                <w:right w:val="none" w:sz="0" w:space="0" w:color="auto"/>
                              </w:divBdr>
                            </w:div>
                            <w:div w:id="314263162">
                              <w:marLeft w:val="0"/>
                              <w:marRight w:val="0"/>
                              <w:marTop w:val="0"/>
                              <w:marBottom w:val="0"/>
                              <w:divBdr>
                                <w:top w:val="none" w:sz="0" w:space="0" w:color="auto"/>
                                <w:left w:val="none" w:sz="0" w:space="0" w:color="auto"/>
                                <w:bottom w:val="none" w:sz="0" w:space="0" w:color="auto"/>
                                <w:right w:val="none" w:sz="0" w:space="0" w:color="auto"/>
                              </w:divBdr>
                              <w:divsChild>
                                <w:div w:id="1636178416">
                                  <w:marLeft w:val="0"/>
                                  <w:marRight w:val="0"/>
                                  <w:marTop w:val="0"/>
                                  <w:marBottom w:val="0"/>
                                  <w:divBdr>
                                    <w:top w:val="none" w:sz="0" w:space="0" w:color="auto"/>
                                    <w:left w:val="none" w:sz="0" w:space="0" w:color="auto"/>
                                    <w:bottom w:val="none" w:sz="0" w:space="0" w:color="auto"/>
                                    <w:right w:val="none" w:sz="0" w:space="0" w:color="auto"/>
                                  </w:divBdr>
                                </w:div>
                              </w:divsChild>
                            </w:div>
                            <w:div w:id="316419134">
                              <w:marLeft w:val="0"/>
                              <w:marRight w:val="0"/>
                              <w:marTop w:val="0"/>
                              <w:marBottom w:val="0"/>
                              <w:divBdr>
                                <w:top w:val="none" w:sz="0" w:space="0" w:color="auto"/>
                                <w:left w:val="none" w:sz="0" w:space="0" w:color="auto"/>
                                <w:bottom w:val="none" w:sz="0" w:space="0" w:color="auto"/>
                                <w:right w:val="none" w:sz="0" w:space="0" w:color="auto"/>
                              </w:divBdr>
                            </w:div>
                            <w:div w:id="321083210">
                              <w:marLeft w:val="0"/>
                              <w:marRight w:val="0"/>
                              <w:marTop w:val="0"/>
                              <w:marBottom w:val="0"/>
                              <w:divBdr>
                                <w:top w:val="none" w:sz="0" w:space="0" w:color="auto"/>
                                <w:left w:val="none" w:sz="0" w:space="0" w:color="auto"/>
                                <w:bottom w:val="none" w:sz="0" w:space="0" w:color="auto"/>
                                <w:right w:val="none" w:sz="0" w:space="0" w:color="auto"/>
                              </w:divBdr>
                            </w:div>
                            <w:div w:id="332491212">
                              <w:marLeft w:val="0"/>
                              <w:marRight w:val="0"/>
                              <w:marTop w:val="0"/>
                              <w:marBottom w:val="0"/>
                              <w:divBdr>
                                <w:top w:val="none" w:sz="0" w:space="0" w:color="auto"/>
                                <w:left w:val="none" w:sz="0" w:space="0" w:color="auto"/>
                                <w:bottom w:val="none" w:sz="0" w:space="0" w:color="auto"/>
                                <w:right w:val="none" w:sz="0" w:space="0" w:color="auto"/>
                              </w:divBdr>
                            </w:div>
                            <w:div w:id="415132919">
                              <w:marLeft w:val="0"/>
                              <w:marRight w:val="0"/>
                              <w:marTop w:val="0"/>
                              <w:marBottom w:val="0"/>
                              <w:divBdr>
                                <w:top w:val="none" w:sz="0" w:space="0" w:color="auto"/>
                                <w:left w:val="none" w:sz="0" w:space="0" w:color="auto"/>
                                <w:bottom w:val="none" w:sz="0" w:space="0" w:color="auto"/>
                                <w:right w:val="none" w:sz="0" w:space="0" w:color="auto"/>
                              </w:divBdr>
                            </w:div>
                            <w:div w:id="417412070">
                              <w:marLeft w:val="0"/>
                              <w:marRight w:val="0"/>
                              <w:marTop w:val="0"/>
                              <w:marBottom w:val="0"/>
                              <w:divBdr>
                                <w:top w:val="none" w:sz="0" w:space="0" w:color="auto"/>
                                <w:left w:val="none" w:sz="0" w:space="0" w:color="auto"/>
                                <w:bottom w:val="none" w:sz="0" w:space="0" w:color="auto"/>
                                <w:right w:val="none" w:sz="0" w:space="0" w:color="auto"/>
                              </w:divBdr>
                            </w:div>
                            <w:div w:id="425660564">
                              <w:marLeft w:val="0"/>
                              <w:marRight w:val="0"/>
                              <w:marTop w:val="0"/>
                              <w:marBottom w:val="0"/>
                              <w:divBdr>
                                <w:top w:val="none" w:sz="0" w:space="0" w:color="auto"/>
                                <w:left w:val="none" w:sz="0" w:space="0" w:color="auto"/>
                                <w:bottom w:val="none" w:sz="0" w:space="0" w:color="auto"/>
                                <w:right w:val="none" w:sz="0" w:space="0" w:color="auto"/>
                              </w:divBdr>
                            </w:div>
                            <w:div w:id="438448475">
                              <w:marLeft w:val="0"/>
                              <w:marRight w:val="0"/>
                              <w:marTop w:val="0"/>
                              <w:marBottom w:val="0"/>
                              <w:divBdr>
                                <w:top w:val="none" w:sz="0" w:space="0" w:color="auto"/>
                                <w:left w:val="none" w:sz="0" w:space="0" w:color="auto"/>
                                <w:bottom w:val="none" w:sz="0" w:space="0" w:color="auto"/>
                                <w:right w:val="none" w:sz="0" w:space="0" w:color="auto"/>
                              </w:divBdr>
                            </w:div>
                            <w:div w:id="445924777">
                              <w:marLeft w:val="0"/>
                              <w:marRight w:val="0"/>
                              <w:marTop w:val="0"/>
                              <w:marBottom w:val="0"/>
                              <w:divBdr>
                                <w:top w:val="none" w:sz="0" w:space="0" w:color="auto"/>
                                <w:left w:val="none" w:sz="0" w:space="0" w:color="auto"/>
                                <w:bottom w:val="none" w:sz="0" w:space="0" w:color="auto"/>
                                <w:right w:val="none" w:sz="0" w:space="0" w:color="auto"/>
                              </w:divBdr>
                            </w:div>
                            <w:div w:id="459152142">
                              <w:marLeft w:val="0"/>
                              <w:marRight w:val="0"/>
                              <w:marTop w:val="0"/>
                              <w:marBottom w:val="0"/>
                              <w:divBdr>
                                <w:top w:val="none" w:sz="0" w:space="0" w:color="auto"/>
                                <w:left w:val="none" w:sz="0" w:space="0" w:color="auto"/>
                                <w:bottom w:val="none" w:sz="0" w:space="0" w:color="auto"/>
                                <w:right w:val="none" w:sz="0" w:space="0" w:color="auto"/>
                              </w:divBdr>
                            </w:div>
                            <w:div w:id="483401210">
                              <w:marLeft w:val="0"/>
                              <w:marRight w:val="0"/>
                              <w:marTop w:val="0"/>
                              <w:marBottom w:val="0"/>
                              <w:divBdr>
                                <w:top w:val="none" w:sz="0" w:space="0" w:color="auto"/>
                                <w:left w:val="none" w:sz="0" w:space="0" w:color="auto"/>
                                <w:bottom w:val="none" w:sz="0" w:space="0" w:color="auto"/>
                                <w:right w:val="none" w:sz="0" w:space="0" w:color="auto"/>
                              </w:divBdr>
                              <w:divsChild>
                                <w:div w:id="1713192705">
                                  <w:marLeft w:val="0"/>
                                  <w:marRight w:val="0"/>
                                  <w:marTop w:val="0"/>
                                  <w:marBottom w:val="0"/>
                                  <w:divBdr>
                                    <w:top w:val="none" w:sz="0" w:space="0" w:color="auto"/>
                                    <w:left w:val="none" w:sz="0" w:space="0" w:color="auto"/>
                                    <w:bottom w:val="none" w:sz="0" w:space="0" w:color="auto"/>
                                    <w:right w:val="none" w:sz="0" w:space="0" w:color="auto"/>
                                  </w:divBdr>
                                </w:div>
                              </w:divsChild>
                            </w:div>
                            <w:div w:id="498277367">
                              <w:marLeft w:val="0"/>
                              <w:marRight w:val="0"/>
                              <w:marTop w:val="0"/>
                              <w:marBottom w:val="0"/>
                              <w:divBdr>
                                <w:top w:val="none" w:sz="0" w:space="0" w:color="auto"/>
                                <w:left w:val="none" w:sz="0" w:space="0" w:color="auto"/>
                                <w:bottom w:val="none" w:sz="0" w:space="0" w:color="auto"/>
                                <w:right w:val="none" w:sz="0" w:space="0" w:color="auto"/>
                              </w:divBdr>
                            </w:div>
                            <w:div w:id="511071708">
                              <w:marLeft w:val="0"/>
                              <w:marRight w:val="0"/>
                              <w:marTop w:val="0"/>
                              <w:marBottom w:val="0"/>
                              <w:divBdr>
                                <w:top w:val="none" w:sz="0" w:space="0" w:color="auto"/>
                                <w:left w:val="none" w:sz="0" w:space="0" w:color="auto"/>
                                <w:bottom w:val="none" w:sz="0" w:space="0" w:color="auto"/>
                                <w:right w:val="none" w:sz="0" w:space="0" w:color="auto"/>
                              </w:divBdr>
                            </w:div>
                            <w:div w:id="520630275">
                              <w:marLeft w:val="0"/>
                              <w:marRight w:val="0"/>
                              <w:marTop w:val="0"/>
                              <w:marBottom w:val="0"/>
                              <w:divBdr>
                                <w:top w:val="none" w:sz="0" w:space="0" w:color="auto"/>
                                <w:left w:val="none" w:sz="0" w:space="0" w:color="auto"/>
                                <w:bottom w:val="none" w:sz="0" w:space="0" w:color="auto"/>
                                <w:right w:val="none" w:sz="0" w:space="0" w:color="auto"/>
                              </w:divBdr>
                            </w:div>
                            <w:div w:id="521280947">
                              <w:marLeft w:val="0"/>
                              <w:marRight w:val="0"/>
                              <w:marTop w:val="0"/>
                              <w:marBottom w:val="0"/>
                              <w:divBdr>
                                <w:top w:val="none" w:sz="0" w:space="0" w:color="auto"/>
                                <w:left w:val="none" w:sz="0" w:space="0" w:color="auto"/>
                                <w:bottom w:val="none" w:sz="0" w:space="0" w:color="auto"/>
                                <w:right w:val="none" w:sz="0" w:space="0" w:color="auto"/>
                              </w:divBdr>
                            </w:div>
                            <w:div w:id="549463462">
                              <w:marLeft w:val="0"/>
                              <w:marRight w:val="0"/>
                              <w:marTop w:val="0"/>
                              <w:marBottom w:val="0"/>
                              <w:divBdr>
                                <w:top w:val="none" w:sz="0" w:space="0" w:color="auto"/>
                                <w:left w:val="none" w:sz="0" w:space="0" w:color="auto"/>
                                <w:bottom w:val="none" w:sz="0" w:space="0" w:color="auto"/>
                                <w:right w:val="none" w:sz="0" w:space="0" w:color="auto"/>
                              </w:divBdr>
                            </w:div>
                            <w:div w:id="615065922">
                              <w:marLeft w:val="0"/>
                              <w:marRight w:val="0"/>
                              <w:marTop w:val="0"/>
                              <w:marBottom w:val="0"/>
                              <w:divBdr>
                                <w:top w:val="none" w:sz="0" w:space="0" w:color="auto"/>
                                <w:left w:val="none" w:sz="0" w:space="0" w:color="auto"/>
                                <w:bottom w:val="none" w:sz="0" w:space="0" w:color="auto"/>
                                <w:right w:val="none" w:sz="0" w:space="0" w:color="auto"/>
                              </w:divBdr>
                              <w:divsChild>
                                <w:div w:id="54740778">
                                  <w:marLeft w:val="0"/>
                                  <w:marRight w:val="0"/>
                                  <w:marTop w:val="0"/>
                                  <w:marBottom w:val="0"/>
                                  <w:divBdr>
                                    <w:top w:val="none" w:sz="0" w:space="0" w:color="auto"/>
                                    <w:left w:val="none" w:sz="0" w:space="0" w:color="auto"/>
                                    <w:bottom w:val="none" w:sz="0" w:space="0" w:color="auto"/>
                                    <w:right w:val="none" w:sz="0" w:space="0" w:color="auto"/>
                                  </w:divBdr>
                                </w:div>
                              </w:divsChild>
                            </w:div>
                            <w:div w:id="624626197">
                              <w:marLeft w:val="0"/>
                              <w:marRight w:val="0"/>
                              <w:marTop w:val="0"/>
                              <w:marBottom w:val="0"/>
                              <w:divBdr>
                                <w:top w:val="none" w:sz="0" w:space="0" w:color="auto"/>
                                <w:left w:val="none" w:sz="0" w:space="0" w:color="auto"/>
                                <w:bottom w:val="none" w:sz="0" w:space="0" w:color="auto"/>
                                <w:right w:val="none" w:sz="0" w:space="0" w:color="auto"/>
                              </w:divBdr>
                              <w:divsChild>
                                <w:div w:id="1723793916">
                                  <w:marLeft w:val="0"/>
                                  <w:marRight w:val="0"/>
                                  <w:marTop w:val="0"/>
                                  <w:marBottom w:val="0"/>
                                  <w:divBdr>
                                    <w:top w:val="none" w:sz="0" w:space="0" w:color="auto"/>
                                    <w:left w:val="none" w:sz="0" w:space="0" w:color="auto"/>
                                    <w:bottom w:val="none" w:sz="0" w:space="0" w:color="auto"/>
                                    <w:right w:val="none" w:sz="0" w:space="0" w:color="auto"/>
                                  </w:divBdr>
                                </w:div>
                              </w:divsChild>
                            </w:div>
                            <w:div w:id="629168720">
                              <w:marLeft w:val="0"/>
                              <w:marRight w:val="0"/>
                              <w:marTop w:val="0"/>
                              <w:marBottom w:val="0"/>
                              <w:divBdr>
                                <w:top w:val="none" w:sz="0" w:space="0" w:color="auto"/>
                                <w:left w:val="none" w:sz="0" w:space="0" w:color="auto"/>
                                <w:bottom w:val="none" w:sz="0" w:space="0" w:color="auto"/>
                                <w:right w:val="none" w:sz="0" w:space="0" w:color="auto"/>
                              </w:divBdr>
                            </w:div>
                            <w:div w:id="661130205">
                              <w:marLeft w:val="0"/>
                              <w:marRight w:val="0"/>
                              <w:marTop w:val="0"/>
                              <w:marBottom w:val="0"/>
                              <w:divBdr>
                                <w:top w:val="none" w:sz="0" w:space="0" w:color="auto"/>
                                <w:left w:val="none" w:sz="0" w:space="0" w:color="auto"/>
                                <w:bottom w:val="none" w:sz="0" w:space="0" w:color="auto"/>
                                <w:right w:val="none" w:sz="0" w:space="0" w:color="auto"/>
                              </w:divBdr>
                            </w:div>
                            <w:div w:id="701637203">
                              <w:marLeft w:val="0"/>
                              <w:marRight w:val="0"/>
                              <w:marTop w:val="0"/>
                              <w:marBottom w:val="0"/>
                              <w:divBdr>
                                <w:top w:val="none" w:sz="0" w:space="0" w:color="auto"/>
                                <w:left w:val="none" w:sz="0" w:space="0" w:color="auto"/>
                                <w:bottom w:val="none" w:sz="0" w:space="0" w:color="auto"/>
                                <w:right w:val="none" w:sz="0" w:space="0" w:color="auto"/>
                              </w:divBdr>
                              <w:divsChild>
                                <w:div w:id="957494076">
                                  <w:marLeft w:val="0"/>
                                  <w:marRight w:val="0"/>
                                  <w:marTop w:val="0"/>
                                  <w:marBottom w:val="0"/>
                                  <w:divBdr>
                                    <w:top w:val="none" w:sz="0" w:space="0" w:color="auto"/>
                                    <w:left w:val="none" w:sz="0" w:space="0" w:color="auto"/>
                                    <w:bottom w:val="none" w:sz="0" w:space="0" w:color="auto"/>
                                    <w:right w:val="none" w:sz="0" w:space="0" w:color="auto"/>
                                  </w:divBdr>
                                </w:div>
                              </w:divsChild>
                            </w:div>
                            <w:div w:id="704521469">
                              <w:marLeft w:val="0"/>
                              <w:marRight w:val="0"/>
                              <w:marTop w:val="0"/>
                              <w:marBottom w:val="0"/>
                              <w:divBdr>
                                <w:top w:val="none" w:sz="0" w:space="0" w:color="auto"/>
                                <w:left w:val="none" w:sz="0" w:space="0" w:color="auto"/>
                                <w:bottom w:val="none" w:sz="0" w:space="0" w:color="auto"/>
                                <w:right w:val="none" w:sz="0" w:space="0" w:color="auto"/>
                              </w:divBdr>
                            </w:div>
                            <w:div w:id="767384751">
                              <w:marLeft w:val="0"/>
                              <w:marRight w:val="0"/>
                              <w:marTop w:val="0"/>
                              <w:marBottom w:val="0"/>
                              <w:divBdr>
                                <w:top w:val="none" w:sz="0" w:space="0" w:color="auto"/>
                                <w:left w:val="none" w:sz="0" w:space="0" w:color="auto"/>
                                <w:bottom w:val="none" w:sz="0" w:space="0" w:color="auto"/>
                                <w:right w:val="none" w:sz="0" w:space="0" w:color="auto"/>
                              </w:divBdr>
                              <w:divsChild>
                                <w:div w:id="746346687">
                                  <w:marLeft w:val="0"/>
                                  <w:marRight w:val="0"/>
                                  <w:marTop w:val="0"/>
                                  <w:marBottom w:val="0"/>
                                  <w:divBdr>
                                    <w:top w:val="none" w:sz="0" w:space="0" w:color="auto"/>
                                    <w:left w:val="none" w:sz="0" w:space="0" w:color="auto"/>
                                    <w:bottom w:val="none" w:sz="0" w:space="0" w:color="auto"/>
                                    <w:right w:val="none" w:sz="0" w:space="0" w:color="auto"/>
                                  </w:divBdr>
                                </w:div>
                              </w:divsChild>
                            </w:div>
                            <w:div w:id="798569437">
                              <w:marLeft w:val="0"/>
                              <w:marRight w:val="0"/>
                              <w:marTop w:val="0"/>
                              <w:marBottom w:val="0"/>
                              <w:divBdr>
                                <w:top w:val="none" w:sz="0" w:space="0" w:color="auto"/>
                                <w:left w:val="none" w:sz="0" w:space="0" w:color="auto"/>
                                <w:bottom w:val="none" w:sz="0" w:space="0" w:color="auto"/>
                                <w:right w:val="none" w:sz="0" w:space="0" w:color="auto"/>
                              </w:divBdr>
                              <w:divsChild>
                                <w:div w:id="1981500743">
                                  <w:marLeft w:val="0"/>
                                  <w:marRight w:val="0"/>
                                  <w:marTop w:val="0"/>
                                  <w:marBottom w:val="0"/>
                                  <w:divBdr>
                                    <w:top w:val="none" w:sz="0" w:space="0" w:color="auto"/>
                                    <w:left w:val="none" w:sz="0" w:space="0" w:color="auto"/>
                                    <w:bottom w:val="none" w:sz="0" w:space="0" w:color="auto"/>
                                    <w:right w:val="none" w:sz="0" w:space="0" w:color="auto"/>
                                  </w:divBdr>
                                </w:div>
                              </w:divsChild>
                            </w:div>
                            <w:div w:id="800461603">
                              <w:marLeft w:val="0"/>
                              <w:marRight w:val="0"/>
                              <w:marTop w:val="0"/>
                              <w:marBottom w:val="0"/>
                              <w:divBdr>
                                <w:top w:val="none" w:sz="0" w:space="0" w:color="auto"/>
                                <w:left w:val="none" w:sz="0" w:space="0" w:color="auto"/>
                                <w:bottom w:val="none" w:sz="0" w:space="0" w:color="auto"/>
                                <w:right w:val="none" w:sz="0" w:space="0" w:color="auto"/>
                              </w:divBdr>
                            </w:div>
                            <w:div w:id="845751357">
                              <w:marLeft w:val="0"/>
                              <w:marRight w:val="0"/>
                              <w:marTop w:val="0"/>
                              <w:marBottom w:val="0"/>
                              <w:divBdr>
                                <w:top w:val="none" w:sz="0" w:space="0" w:color="auto"/>
                                <w:left w:val="none" w:sz="0" w:space="0" w:color="auto"/>
                                <w:bottom w:val="none" w:sz="0" w:space="0" w:color="auto"/>
                                <w:right w:val="none" w:sz="0" w:space="0" w:color="auto"/>
                              </w:divBdr>
                              <w:divsChild>
                                <w:div w:id="1323117612">
                                  <w:marLeft w:val="0"/>
                                  <w:marRight w:val="0"/>
                                  <w:marTop w:val="0"/>
                                  <w:marBottom w:val="0"/>
                                  <w:divBdr>
                                    <w:top w:val="none" w:sz="0" w:space="0" w:color="auto"/>
                                    <w:left w:val="none" w:sz="0" w:space="0" w:color="auto"/>
                                    <w:bottom w:val="none" w:sz="0" w:space="0" w:color="auto"/>
                                    <w:right w:val="none" w:sz="0" w:space="0" w:color="auto"/>
                                  </w:divBdr>
                                </w:div>
                              </w:divsChild>
                            </w:div>
                            <w:div w:id="860632482">
                              <w:marLeft w:val="0"/>
                              <w:marRight w:val="0"/>
                              <w:marTop w:val="0"/>
                              <w:marBottom w:val="0"/>
                              <w:divBdr>
                                <w:top w:val="none" w:sz="0" w:space="0" w:color="auto"/>
                                <w:left w:val="none" w:sz="0" w:space="0" w:color="auto"/>
                                <w:bottom w:val="none" w:sz="0" w:space="0" w:color="auto"/>
                                <w:right w:val="none" w:sz="0" w:space="0" w:color="auto"/>
                              </w:divBdr>
                            </w:div>
                            <w:div w:id="869105156">
                              <w:marLeft w:val="0"/>
                              <w:marRight w:val="0"/>
                              <w:marTop w:val="0"/>
                              <w:marBottom w:val="0"/>
                              <w:divBdr>
                                <w:top w:val="none" w:sz="0" w:space="0" w:color="auto"/>
                                <w:left w:val="none" w:sz="0" w:space="0" w:color="auto"/>
                                <w:bottom w:val="none" w:sz="0" w:space="0" w:color="auto"/>
                                <w:right w:val="none" w:sz="0" w:space="0" w:color="auto"/>
                              </w:divBdr>
                            </w:div>
                            <w:div w:id="881987919">
                              <w:marLeft w:val="0"/>
                              <w:marRight w:val="0"/>
                              <w:marTop w:val="0"/>
                              <w:marBottom w:val="0"/>
                              <w:divBdr>
                                <w:top w:val="none" w:sz="0" w:space="0" w:color="auto"/>
                                <w:left w:val="none" w:sz="0" w:space="0" w:color="auto"/>
                                <w:bottom w:val="none" w:sz="0" w:space="0" w:color="auto"/>
                                <w:right w:val="none" w:sz="0" w:space="0" w:color="auto"/>
                              </w:divBdr>
                            </w:div>
                            <w:div w:id="996113770">
                              <w:marLeft w:val="0"/>
                              <w:marRight w:val="0"/>
                              <w:marTop w:val="0"/>
                              <w:marBottom w:val="0"/>
                              <w:divBdr>
                                <w:top w:val="none" w:sz="0" w:space="0" w:color="auto"/>
                                <w:left w:val="none" w:sz="0" w:space="0" w:color="auto"/>
                                <w:bottom w:val="none" w:sz="0" w:space="0" w:color="auto"/>
                                <w:right w:val="none" w:sz="0" w:space="0" w:color="auto"/>
                              </w:divBdr>
                              <w:divsChild>
                                <w:div w:id="1574853570">
                                  <w:marLeft w:val="0"/>
                                  <w:marRight w:val="0"/>
                                  <w:marTop w:val="0"/>
                                  <w:marBottom w:val="0"/>
                                  <w:divBdr>
                                    <w:top w:val="none" w:sz="0" w:space="0" w:color="auto"/>
                                    <w:left w:val="none" w:sz="0" w:space="0" w:color="auto"/>
                                    <w:bottom w:val="none" w:sz="0" w:space="0" w:color="auto"/>
                                    <w:right w:val="none" w:sz="0" w:space="0" w:color="auto"/>
                                  </w:divBdr>
                                </w:div>
                              </w:divsChild>
                            </w:div>
                            <w:div w:id="1046758159">
                              <w:marLeft w:val="0"/>
                              <w:marRight w:val="0"/>
                              <w:marTop w:val="0"/>
                              <w:marBottom w:val="0"/>
                              <w:divBdr>
                                <w:top w:val="none" w:sz="0" w:space="0" w:color="auto"/>
                                <w:left w:val="none" w:sz="0" w:space="0" w:color="auto"/>
                                <w:bottom w:val="none" w:sz="0" w:space="0" w:color="auto"/>
                                <w:right w:val="none" w:sz="0" w:space="0" w:color="auto"/>
                              </w:divBdr>
                            </w:div>
                            <w:div w:id="1082095394">
                              <w:marLeft w:val="0"/>
                              <w:marRight w:val="0"/>
                              <w:marTop w:val="0"/>
                              <w:marBottom w:val="0"/>
                              <w:divBdr>
                                <w:top w:val="none" w:sz="0" w:space="0" w:color="auto"/>
                                <w:left w:val="none" w:sz="0" w:space="0" w:color="auto"/>
                                <w:bottom w:val="none" w:sz="0" w:space="0" w:color="auto"/>
                                <w:right w:val="none" w:sz="0" w:space="0" w:color="auto"/>
                              </w:divBdr>
                            </w:div>
                            <w:div w:id="1103183235">
                              <w:marLeft w:val="0"/>
                              <w:marRight w:val="0"/>
                              <w:marTop w:val="0"/>
                              <w:marBottom w:val="0"/>
                              <w:divBdr>
                                <w:top w:val="none" w:sz="0" w:space="0" w:color="auto"/>
                                <w:left w:val="none" w:sz="0" w:space="0" w:color="auto"/>
                                <w:bottom w:val="none" w:sz="0" w:space="0" w:color="auto"/>
                                <w:right w:val="none" w:sz="0" w:space="0" w:color="auto"/>
                              </w:divBdr>
                              <w:divsChild>
                                <w:div w:id="362747637">
                                  <w:marLeft w:val="0"/>
                                  <w:marRight w:val="0"/>
                                  <w:marTop w:val="0"/>
                                  <w:marBottom w:val="0"/>
                                  <w:divBdr>
                                    <w:top w:val="none" w:sz="0" w:space="0" w:color="auto"/>
                                    <w:left w:val="none" w:sz="0" w:space="0" w:color="auto"/>
                                    <w:bottom w:val="none" w:sz="0" w:space="0" w:color="auto"/>
                                    <w:right w:val="none" w:sz="0" w:space="0" w:color="auto"/>
                                  </w:divBdr>
                                </w:div>
                              </w:divsChild>
                            </w:div>
                            <w:div w:id="1135101871">
                              <w:marLeft w:val="0"/>
                              <w:marRight w:val="0"/>
                              <w:marTop w:val="0"/>
                              <w:marBottom w:val="0"/>
                              <w:divBdr>
                                <w:top w:val="none" w:sz="0" w:space="0" w:color="auto"/>
                                <w:left w:val="none" w:sz="0" w:space="0" w:color="auto"/>
                                <w:bottom w:val="none" w:sz="0" w:space="0" w:color="auto"/>
                                <w:right w:val="none" w:sz="0" w:space="0" w:color="auto"/>
                              </w:divBdr>
                            </w:div>
                            <w:div w:id="1142961724">
                              <w:marLeft w:val="0"/>
                              <w:marRight w:val="0"/>
                              <w:marTop w:val="0"/>
                              <w:marBottom w:val="0"/>
                              <w:divBdr>
                                <w:top w:val="none" w:sz="0" w:space="0" w:color="auto"/>
                                <w:left w:val="none" w:sz="0" w:space="0" w:color="auto"/>
                                <w:bottom w:val="none" w:sz="0" w:space="0" w:color="auto"/>
                                <w:right w:val="none" w:sz="0" w:space="0" w:color="auto"/>
                              </w:divBdr>
                            </w:div>
                            <w:div w:id="1205406591">
                              <w:marLeft w:val="0"/>
                              <w:marRight w:val="0"/>
                              <w:marTop w:val="0"/>
                              <w:marBottom w:val="0"/>
                              <w:divBdr>
                                <w:top w:val="none" w:sz="0" w:space="0" w:color="auto"/>
                                <w:left w:val="none" w:sz="0" w:space="0" w:color="auto"/>
                                <w:bottom w:val="none" w:sz="0" w:space="0" w:color="auto"/>
                                <w:right w:val="none" w:sz="0" w:space="0" w:color="auto"/>
                              </w:divBdr>
                            </w:div>
                            <w:div w:id="1308393244">
                              <w:marLeft w:val="0"/>
                              <w:marRight w:val="0"/>
                              <w:marTop w:val="0"/>
                              <w:marBottom w:val="0"/>
                              <w:divBdr>
                                <w:top w:val="none" w:sz="0" w:space="0" w:color="auto"/>
                                <w:left w:val="none" w:sz="0" w:space="0" w:color="auto"/>
                                <w:bottom w:val="none" w:sz="0" w:space="0" w:color="auto"/>
                                <w:right w:val="none" w:sz="0" w:space="0" w:color="auto"/>
                              </w:divBdr>
                            </w:div>
                            <w:div w:id="1336154733">
                              <w:marLeft w:val="0"/>
                              <w:marRight w:val="0"/>
                              <w:marTop w:val="0"/>
                              <w:marBottom w:val="0"/>
                              <w:divBdr>
                                <w:top w:val="none" w:sz="0" w:space="0" w:color="auto"/>
                                <w:left w:val="none" w:sz="0" w:space="0" w:color="auto"/>
                                <w:bottom w:val="none" w:sz="0" w:space="0" w:color="auto"/>
                                <w:right w:val="none" w:sz="0" w:space="0" w:color="auto"/>
                              </w:divBdr>
                              <w:divsChild>
                                <w:div w:id="1948341453">
                                  <w:marLeft w:val="0"/>
                                  <w:marRight w:val="0"/>
                                  <w:marTop w:val="0"/>
                                  <w:marBottom w:val="0"/>
                                  <w:divBdr>
                                    <w:top w:val="none" w:sz="0" w:space="0" w:color="auto"/>
                                    <w:left w:val="none" w:sz="0" w:space="0" w:color="auto"/>
                                    <w:bottom w:val="none" w:sz="0" w:space="0" w:color="auto"/>
                                    <w:right w:val="none" w:sz="0" w:space="0" w:color="auto"/>
                                  </w:divBdr>
                                </w:div>
                              </w:divsChild>
                            </w:div>
                            <w:div w:id="1370296500">
                              <w:marLeft w:val="0"/>
                              <w:marRight w:val="0"/>
                              <w:marTop w:val="0"/>
                              <w:marBottom w:val="0"/>
                              <w:divBdr>
                                <w:top w:val="none" w:sz="0" w:space="0" w:color="auto"/>
                                <w:left w:val="none" w:sz="0" w:space="0" w:color="auto"/>
                                <w:bottom w:val="none" w:sz="0" w:space="0" w:color="auto"/>
                                <w:right w:val="none" w:sz="0" w:space="0" w:color="auto"/>
                              </w:divBdr>
                            </w:div>
                            <w:div w:id="1381127996">
                              <w:marLeft w:val="0"/>
                              <w:marRight w:val="0"/>
                              <w:marTop w:val="0"/>
                              <w:marBottom w:val="0"/>
                              <w:divBdr>
                                <w:top w:val="none" w:sz="0" w:space="0" w:color="auto"/>
                                <w:left w:val="none" w:sz="0" w:space="0" w:color="auto"/>
                                <w:bottom w:val="none" w:sz="0" w:space="0" w:color="auto"/>
                                <w:right w:val="none" w:sz="0" w:space="0" w:color="auto"/>
                              </w:divBdr>
                              <w:divsChild>
                                <w:div w:id="599947715">
                                  <w:marLeft w:val="0"/>
                                  <w:marRight w:val="0"/>
                                  <w:marTop w:val="0"/>
                                  <w:marBottom w:val="0"/>
                                  <w:divBdr>
                                    <w:top w:val="none" w:sz="0" w:space="0" w:color="auto"/>
                                    <w:left w:val="none" w:sz="0" w:space="0" w:color="auto"/>
                                    <w:bottom w:val="none" w:sz="0" w:space="0" w:color="auto"/>
                                    <w:right w:val="none" w:sz="0" w:space="0" w:color="auto"/>
                                  </w:divBdr>
                                </w:div>
                              </w:divsChild>
                            </w:div>
                            <w:div w:id="1407922233">
                              <w:marLeft w:val="0"/>
                              <w:marRight w:val="0"/>
                              <w:marTop w:val="0"/>
                              <w:marBottom w:val="0"/>
                              <w:divBdr>
                                <w:top w:val="none" w:sz="0" w:space="0" w:color="auto"/>
                                <w:left w:val="none" w:sz="0" w:space="0" w:color="auto"/>
                                <w:bottom w:val="none" w:sz="0" w:space="0" w:color="auto"/>
                                <w:right w:val="none" w:sz="0" w:space="0" w:color="auto"/>
                              </w:divBdr>
                            </w:div>
                            <w:div w:id="1417825320">
                              <w:marLeft w:val="0"/>
                              <w:marRight w:val="0"/>
                              <w:marTop w:val="0"/>
                              <w:marBottom w:val="0"/>
                              <w:divBdr>
                                <w:top w:val="none" w:sz="0" w:space="0" w:color="auto"/>
                                <w:left w:val="none" w:sz="0" w:space="0" w:color="auto"/>
                                <w:bottom w:val="none" w:sz="0" w:space="0" w:color="auto"/>
                                <w:right w:val="none" w:sz="0" w:space="0" w:color="auto"/>
                              </w:divBdr>
                            </w:div>
                            <w:div w:id="1422946988">
                              <w:marLeft w:val="0"/>
                              <w:marRight w:val="0"/>
                              <w:marTop w:val="0"/>
                              <w:marBottom w:val="0"/>
                              <w:divBdr>
                                <w:top w:val="none" w:sz="0" w:space="0" w:color="auto"/>
                                <w:left w:val="none" w:sz="0" w:space="0" w:color="auto"/>
                                <w:bottom w:val="none" w:sz="0" w:space="0" w:color="auto"/>
                                <w:right w:val="none" w:sz="0" w:space="0" w:color="auto"/>
                              </w:divBdr>
                            </w:div>
                            <w:div w:id="1430420761">
                              <w:marLeft w:val="0"/>
                              <w:marRight w:val="0"/>
                              <w:marTop w:val="0"/>
                              <w:marBottom w:val="0"/>
                              <w:divBdr>
                                <w:top w:val="none" w:sz="0" w:space="0" w:color="auto"/>
                                <w:left w:val="none" w:sz="0" w:space="0" w:color="auto"/>
                                <w:bottom w:val="none" w:sz="0" w:space="0" w:color="auto"/>
                                <w:right w:val="none" w:sz="0" w:space="0" w:color="auto"/>
                              </w:divBdr>
                            </w:div>
                            <w:div w:id="1452238070">
                              <w:marLeft w:val="0"/>
                              <w:marRight w:val="0"/>
                              <w:marTop w:val="0"/>
                              <w:marBottom w:val="0"/>
                              <w:divBdr>
                                <w:top w:val="none" w:sz="0" w:space="0" w:color="auto"/>
                                <w:left w:val="none" w:sz="0" w:space="0" w:color="auto"/>
                                <w:bottom w:val="none" w:sz="0" w:space="0" w:color="auto"/>
                                <w:right w:val="none" w:sz="0" w:space="0" w:color="auto"/>
                              </w:divBdr>
                            </w:div>
                            <w:div w:id="1461680136">
                              <w:marLeft w:val="0"/>
                              <w:marRight w:val="0"/>
                              <w:marTop w:val="0"/>
                              <w:marBottom w:val="0"/>
                              <w:divBdr>
                                <w:top w:val="none" w:sz="0" w:space="0" w:color="auto"/>
                                <w:left w:val="none" w:sz="0" w:space="0" w:color="auto"/>
                                <w:bottom w:val="none" w:sz="0" w:space="0" w:color="auto"/>
                                <w:right w:val="none" w:sz="0" w:space="0" w:color="auto"/>
                              </w:divBdr>
                            </w:div>
                            <w:div w:id="1475178703">
                              <w:marLeft w:val="0"/>
                              <w:marRight w:val="0"/>
                              <w:marTop w:val="0"/>
                              <w:marBottom w:val="0"/>
                              <w:divBdr>
                                <w:top w:val="none" w:sz="0" w:space="0" w:color="auto"/>
                                <w:left w:val="none" w:sz="0" w:space="0" w:color="auto"/>
                                <w:bottom w:val="none" w:sz="0" w:space="0" w:color="auto"/>
                                <w:right w:val="none" w:sz="0" w:space="0" w:color="auto"/>
                              </w:divBdr>
                              <w:divsChild>
                                <w:div w:id="1343051457">
                                  <w:marLeft w:val="0"/>
                                  <w:marRight w:val="0"/>
                                  <w:marTop w:val="0"/>
                                  <w:marBottom w:val="0"/>
                                  <w:divBdr>
                                    <w:top w:val="none" w:sz="0" w:space="0" w:color="auto"/>
                                    <w:left w:val="none" w:sz="0" w:space="0" w:color="auto"/>
                                    <w:bottom w:val="none" w:sz="0" w:space="0" w:color="auto"/>
                                    <w:right w:val="none" w:sz="0" w:space="0" w:color="auto"/>
                                  </w:divBdr>
                                </w:div>
                              </w:divsChild>
                            </w:div>
                            <w:div w:id="1493370752">
                              <w:marLeft w:val="0"/>
                              <w:marRight w:val="0"/>
                              <w:marTop w:val="0"/>
                              <w:marBottom w:val="0"/>
                              <w:divBdr>
                                <w:top w:val="none" w:sz="0" w:space="0" w:color="auto"/>
                                <w:left w:val="none" w:sz="0" w:space="0" w:color="auto"/>
                                <w:bottom w:val="none" w:sz="0" w:space="0" w:color="auto"/>
                                <w:right w:val="none" w:sz="0" w:space="0" w:color="auto"/>
                              </w:divBdr>
                            </w:div>
                            <w:div w:id="1510177003">
                              <w:marLeft w:val="0"/>
                              <w:marRight w:val="0"/>
                              <w:marTop w:val="0"/>
                              <w:marBottom w:val="0"/>
                              <w:divBdr>
                                <w:top w:val="none" w:sz="0" w:space="0" w:color="auto"/>
                                <w:left w:val="none" w:sz="0" w:space="0" w:color="auto"/>
                                <w:bottom w:val="none" w:sz="0" w:space="0" w:color="auto"/>
                                <w:right w:val="none" w:sz="0" w:space="0" w:color="auto"/>
                              </w:divBdr>
                            </w:div>
                            <w:div w:id="1527715444">
                              <w:marLeft w:val="0"/>
                              <w:marRight w:val="0"/>
                              <w:marTop w:val="0"/>
                              <w:marBottom w:val="0"/>
                              <w:divBdr>
                                <w:top w:val="none" w:sz="0" w:space="0" w:color="auto"/>
                                <w:left w:val="none" w:sz="0" w:space="0" w:color="auto"/>
                                <w:bottom w:val="none" w:sz="0" w:space="0" w:color="auto"/>
                                <w:right w:val="none" w:sz="0" w:space="0" w:color="auto"/>
                              </w:divBdr>
                              <w:divsChild>
                                <w:div w:id="310986993">
                                  <w:marLeft w:val="0"/>
                                  <w:marRight w:val="0"/>
                                  <w:marTop w:val="0"/>
                                  <w:marBottom w:val="0"/>
                                  <w:divBdr>
                                    <w:top w:val="none" w:sz="0" w:space="0" w:color="auto"/>
                                    <w:left w:val="none" w:sz="0" w:space="0" w:color="auto"/>
                                    <w:bottom w:val="none" w:sz="0" w:space="0" w:color="auto"/>
                                    <w:right w:val="none" w:sz="0" w:space="0" w:color="auto"/>
                                  </w:divBdr>
                                </w:div>
                              </w:divsChild>
                            </w:div>
                            <w:div w:id="1565290532">
                              <w:marLeft w:val="0"/>
                              <w:marRight w:val="0"/>
                              <w:marTop w:val="0"/>
                              <w:marBottom w:val="0"/>
                              <w:divBdr>
                                <w:top w:val="none" w:sz="0" w:space="0" w:color="auto"/>
                                <w:left w:val="none" w:sz="0" w:space="0" w:color="auto"/>
                                <w:bottom w:val="none" w:sz="0" w:space="0" w:color="auto"/>
                                <w:right w:val="none" w:sz="0" w:space="0" w:color="auto"/>
                              </w:divBdr>
                              <w:divsChild>
                                <w:div w:id="1102796835">
                                  <w:marLeft w:val="0"/>
                                  <w:marRight w:val="0"/>
                                  <w:marTop w:val="0"/>
                                  <w:marBottom w:val="0"/>
                                  <w:divBdr>
                                    <w:top w:val="none" w:sz="0" w:space="0" w:color="auto"/>
                                    <w:left w:val="none" w:sz="0" w:space="0" w:color="auto"/>
                                    <w:bottom w:val="none" w:sz="0" w:space="0" w:color="auto"/>
                                    <w:right w:val="none" w:sz="0" w:space="0" w:color="auto"/>
                                  </w:divBdr>
                                </w:div>
                              </w:divsChild>
                            </w:div>
                            <w:div w:id="1579247889">
                              <w:marLeft w:val="0"/>
                              <w:marRight w:val="0"/>
                              <w:marTop w:val="0"/>
                              <w:marBottom w:val="0"/>
                              <w:divBdr>
                                <w:top w:val="none" w:sz="0" w:space="0" w:color="auto"/>
                                <w:left w:val="none" w:sz="0" w:space="0" w:color="auto"/>
                                <w:bottom w:val="none" w:sz="0" w:space="0" w:color="auto"/>
                                <w:right w:val="none" w:sz="0" w:space="0" w:color="auto"/>
                              </w:divBdr>
                            </w:div>
                            <w:div w:id="1628463690">
                              <w:marLeft w:val="0"/>
                              <w:marRight w:val="0"/>
                              <w:marTop w:val="0"/>
                              <w:marBottom w:val="0"/>
                              <w:divBdr>
                                <w:top w:val="none" w:sz="0" w:space="0" w:color="auto"/>
                                <w:left w:val="none" w:sz="0" w:space="0" w:color="auto"/>
                                <w:bottom w:val="none" w:sz="0" w:space="0" w:color="auto"/>
                                <w:right w:val="none" w:sz="0" w:space="0" w:color="auto"/>
                              </w:divBdr>
                            </w:div>
                            <w:div w:id="1642224899">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1664821537">
                              <w:marLeft w:val="0"/>
                              <w:marRight w:val="0"/>
                              <w:marTop w:val="0"/>
                              <w:marBottom w:val="0"/>
                              <w:divBdr>
                                <w:top w:val="none" w:sz="0" w:space="0" w:color="auto"/>
                                <w:left w:val="none" w:sz="0" w:space="0" w:color="auto"/>
                                <w:bottom w:val="none" w:sz="0" w:space="0" w:color="auto"/>
                                <w:right w:val="none" w:sz="0" w:space="0" w:color="auto"/>
                              </w:divBdr>
                            </w:div>
                            <w:div w:id="1666475309">
                              <w:marLeft w:val="0"/>
                              <w:marRight w:val="0"/>
                              <w:marTop w:val="0"/>
                              <w:marBottom w:val="0"/>
                              <w:divBdr>
                                <w:top w:val="none" w:sz="0" w:space="0" w:color="auto"/>
                                <w:left w:val="none" w:sz="0" w:space="0" w:color="auto"/>
                                <w:bottom w:val="none" w:sz="0" w:space="0" w:color="auto"/>
                                <w:right w:val="none" w:sz="0" w:space="0" w:color="auto"/>
                              </w:divBdr>
                            </w:div>
                            <w:div w:id="1697459182">
                              <w:marLeft w:val="0"/>
                              <w:marRight w:val="0"/>
                              <w:marTop w:val="0"/>
                              <w:marBottom w:val="0"/>
                              <w:divBdr>
                                <w:top w:val="none" w:sz="0" w:space="0" w:color="auto"/>
                                <w:left w:val="none" w:sz="0" w:space="0" w:color="auto"/>
                                <w:bottom w:val="none" w:sz="0" w:space="0" w:color="auto"/>
                                <w:right w:val="none" w:sz="0" w:space="0" w:color="auto"/>
                              </w:divBdr>
                            </w:div>
                            <w:div w:id="1715155265">
                              <w:marLeft w:val="0"/>
                              <w:marRight w:val="0"/>
                              <w:marTop w:val="0"/>
                              <w:marBottom w:val="0"/>
                              <w:divBdr>
                                <w:top w:val="none" w:sz="0" w:space="0" w:color="auto"/>
                                <w:left w:val="none" w:sz="0" w:space="0" w:color="auto"/>
                                <w:bottom w:val="none" w:sz="0" w:space="0" w:color="auto"/>
                                <w:right w:val="none" w:sz="0" w:space="0" w:color="auto"/>
                              </w:divBdr>
                            </w:div>
                            <w:div w:id="1730886441">
                              <w:marLeft w:val="0"/>
                              <w:marRight w:val="0"/>
                              <w:marTop w:val="0"/>
                              <w:marBottom w:val="0"/>
                              <w:divBdr>
                                <w:top w:val="none" w:sz="0" w:space="0" w:color="auto"/>
                                <w:left w:val="none" w:sz="0" w:space="0" w:color="auto"/>
                                <w:bottom w:val="none" w:sz="0" w:space="0" w:color="auto"/>
                                <w:right w:val="none" w:sz="0" w:space="0" w:color="auto"/>
                              </w:divBdr>
                            </w:div>
                            <w:div w:id="1799495235">
                              <w:marLeft w:val="0"/>
                              <w:marRight w:val="0"/>
                              <w:marTop w:val="0"/>
                              <w:marBottom w:val="0"/>
                              <w:divBdr>
                                <w:top w:val="none" w:sz="0" w:space="0" w:color="auto"/>
                                <w:left w:val="none" w:sz="0" w:space="0" w:color="auto"/>
                                <w:bottom w:val="none" w:sz="0" w:space="0" w:color="auto"/>
                                <w:right w:val="none" w:sz="0" w:space="0" w:color="auto"/>
                              </w:divBdr>
                            </w:div>
                            <w:div w:id="1844393231">
                              <w:marLeft w:val="0"/>
                              <w:marRight w:val="0"/>
                              <w:marTop w:val="0"/>
                              <w:marBottom w:val="0"/>
                              <w:divBdr>
                                <w:top w:val="none" w:sz="0" w:space="0" w:color="auto"/>
                                <w:left w:val="none" w:sz="0" w:space="0" w:color="auto"/>
                                <w:bottom w:val="none" w:sz="0" w:space="0" w:color="auto"/>
                                <w:right w:val="none" w:sz="0" w:space="0" w:color="auto"/>
                              </w:divBdr>
                            </w:div>
                            <w:div w:id="1898737759">
                              <w:marLeft w:val="0"/>
                              <w:marRight w:val="0"/>
                              <w:marTop w:val="0"/>
                              <w:marBottom w:val="0"/>
                              <w:divBdr>
                                <w:top w:val="none" w:sz="0" w:space="0" w:color="auto"/>
                                <w:left w:val="none" w:sz="0" w:space="0" w:color="auto"/>
                                <w:bottom w:val="none" w:sz="0" w:space="0" w:color="auto"/>
                                <w:right w:val="none" w:sz="0" w:space="0" w:color="auto"/>
                              </w:divBdr>
                            </w:div>
                            <w:div w:id="1947884996">
                              <w:marLeft w:val="0"/>
                              <w:marRight w:val="0"/>
                              <w:marTop w:val="0"/>
                              <w:marBottom w:val="0"/>
                              <w:divBdr>
                                <w:top w:val="none" w:sz="0" w:space="0" w:color="auto"/>
                                <w:left w:val="none" w:sz="0" w:space="0" w:color="auto"/>
                                <w:bottom w:val="none" w:sz="0" w:space="0" w:color="auto"/>
                                <w:right w:val="none" w:sz="0" w:space="0" w:color="auto"/>
                              </w:divBdr>
                            </w:div>
                            <w:div w:id="1979605818">
                              <w:marLeft w:val="0"/>
                              <w:marRight w:val="0"/>
                              <w:marTop w:val="0"/>
                              <w:marBottom w:val="0"/>
                              <w:divBdr>
                                <w:top w:val="none" w:sz="0" w:space="0" w:color="auto"/>
                                <w:left w:val="none" w:sz="0" w:space="0" w:color="auto"/>
                                <w:bottom w:val="none" w:sz="0" w:space="0" w:color="auto"/>
                                <w:right w:val="none" w:sz="0" w:space="0" w:color="auto"/>
                              </w:divBdr>
                            </w:div>
                            <w:div w:id="2011516404">
                              <w:marLeft w:val="0"/>
                              <w:marRight w:val="0"/>
                              <w:marTop w:val="0"/>
                              <w:marBottom w:val="0"/>
                              <w:divBdr>
                                <w:top w:val="none" w:sz="0" w:space="0" w:color="auto"/>
                                <w:left w:val="none" w:sz="0" w:space="0" w:color="auto"/>
                                <w:bottom w:val="none" w:sz="0" w:space="0" w:color="auto"/>
                                <w:right w:val="none" w:sz="0" w:space="0" w:color="auto"/>
                              </w:divBdr>
                              <w:divsChild>
                                <w:div w:id="1257900950">
                                  <w:marLeft w:val="0"/>
                                  <w:marRight w:val="0"/>
                                  <w:marTop w:val="0"/>
                                  <w:marBottom w:val="0"/>
                                  <w:divBdr>
                                    <w:top w:val="none" w:sz="0" w:space="0" w:color="auto"/>
                                    <w:left w:val="none" w:sz="0" w:space="0" w:color="auto"/>
                                    <w:bottom w:val="none" w:sz="0" w:space="0" w:color="auto"/>
                                    <w:right w:val="none" w:sz="0" w:space="0" w:color="auto"/>
                                  </w:divBdr>
                                </w:div>
                              </w:divsChild>
                            </w:div>
                            <w:div w:id="2063862519">
                              <w:marLeft w:val="0"/>
                              <w:marRight w:val="0"/>
                              <w:marTop w:val="0"/>
                              <w:marBottom w:val="0"/>
                              <w:divBdr>
                                <w:top w:val="none" w:sz="0" w:space="0" w:color="auto"/>
                                <w:left w:val="none" w:sz="0" w:space="0" w:color="auto"/>
                                <w:bottom w:val="none" w:sz="0" w:space="0" w:color="auto"/>
                                <w:right w:val="none" w:sz="0" w:space="0" w:color="auto"/>
                              </w:divBdr>
                            </w:div>
                            <w:div w:id="2087145712">
                              <w:marLeft w:val="0"/>
                              <w:marRight w:val="0"/>
                              <w:marTop w:val="0"/>
                              <w:marBottom w:val="0"/>
                              <w:divBdr>
                                <w:top w:val="none" w:sz="0" w:space="0" w:color="auto"/>
                                <w:left w:val="none" w:sz="0" w:space="0" w:color="auto"/>
                                <w:bottom w:val="none" w:sz="0" w:space="0" w:color="auto"/>
                                <w:right w:val="none" w:sz="0" w:space="0" w:color="auto"/>
                              </w:divBdr>
                              <w:divsChild>
                                <w:div w:id="732317888">
                                  <w:marLeft w:val="0"/>
                                  <w:marRight w:val="0"/>
                                  <w:marTop w:val="0"/>
                                  <w:marBottom w:val="0"/>
                                  <w:divBdr>
                                    <w:top w:val="none" w:sz="0" w:space="0" w:color="auto"/>
                                    <w:left w:val="none" w:sz="0" w:space="0" w:color="auto"/>
                                    <w:bottom w:val="none" w:sz="0" w:space="0" w:color="auto"/>
                                    <w:right w:val="none" w:sz="0" w:space="0" w:color="auto"/>
                                  </w:divBdr>
                                </w:div>
                              </w:divsChild>
                            </w:div>
                            <w:div w:id="2090885867">
                              <w:marLeft w:val="0"/>
                              <w:marRight w:val="0"/>
                              <w:marTop w:val="0"/>
                              <w:marBottom w:val="0"/>
                              <w:divBdr>
                                <w:top w:val="none" w:sz="0" w:space="0" w:color="auto"/>
                                <w:left w:val="none" w:sz="0" w:space="0" w:color="auto"/>
                                <w:bottom w:val="none" w:sz="0" w:space="0" w:color="auto"/>
                                <w:right w:val="none" w:sz="0" w:space="0" w:color="auto"/>
                              </w:divBdr>
                              <w:divsChild>
                                <w:div w:id="1369988673">
                                  <w:marLeft w:val="0"/>
                                  <w:marRight w:val="0"/>
                                  <w:marTop w:val="0"/>
                                  <w:marBottom w:val="0"/>
                                  <w:divBdr>
                                    <w:top w:val="none" w:sz="0" w:space="0" w:color="auto"/>
                                    <w:left w:val="none" w:sz="0" w:space="0" w:color="auto"/>
                                    <w:bottom w:val="none" w:sz="0" w:space="0" w:color="auto"/>
                                    <w:right w:val="none" w:sz="0" w:space="0" w:color="auto"/>
                                  </w:divBdr>
                                </w:div>
                              </w:divsChild>
                            </w:div>
                            <w:div w:id="2118207379">
                              <w:marLeft w:val="0"/>
                              <w:marRight w:val="0"/>
                              <w:marTop w:val="0"/>
                              <w:marBottom w:val="0"/>
                              <w:divBdr>
                                <w:top w:val="none" w:sz="0" w:space="0" w:color="auto"/>
                                <w:left w:val="none" w:sz="0" w:space="0" w:color="auto"/>
                                <w:bottom w:val="none" w:sz="0" w:space="0" w:color="auto"/>
                                <w:right w:val="none" w:sz="0" w:space="0" w:color="auto"/>
                              </w:divBdr>
                              <w:divsChild>
                                <w:div w:id="192352113">
                                  <w:marLeft w:val="0"/>
                                  <w:marRight w:val="0"/>
                                  <w:marTop w:val="0"/>
                                  <w:marBottom w:val="0"/>
                                  <w:divBdr>
                                    <w:top w:val="none" w:sz="0" w:space="0" w:color="auto"/>
                                    <w:left w:val="none" w:sz="0" w:space="0" w:color="auto"/>
                                    <w:bottom w:val="none" w:sz="0" w:space="0" w:color="auto"/>
                                    <w:right w:val="none" w:sz="0" w:space="0" w:color="auto"/>
                                  </w:divBdr>
                                </w:div>
                              </w:divsChild>
                            </w:div>
                            <w:div w:id="2124611867">
                              <w:marLeft w:val="0"/>
                              <w:marRight w:val="0"/>
                              <w:marTop w:val="0"/>
                              <w:marBottom w:val="0"/>
                              <w:divBdr>
                                <w:top w:val="none" w:sz="0" w:space="0" w:color="auto"/>
                                <w:left w:val="none" w:sz="0" w:space="0" w:color="auto"/>
                                <w:bottom w:val="none" w:sz="0" w:space="0" w:color="auto"/>
                                <w:right w:val="none" w:sz="0" w:space="0" w:color="auto"/>
                              </w:divBdr>
                            </w:div>
                            <w:div w:id="2134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19568">
      <w:bodyDiv w:val="1"/>
      <w:marLeft w:val="0"/>
      <w:marRight w:val="0"/>
      <w:marTop w:val="0"/>
      <w:marBottom w:val="0"/>
      <w:divBdr>
        <w:top w:val="none" w:sz="0" w:space="0" w:color="auto"/>
        <w:left w:val="none" w:sz="0" w:space="0" w:color="auto"/>
        <w:bottom w:val="none" w:sz="0" w:space="0" w:color="auto"/>
        <w:right w:val="none" w:sz="0" w:space="0" w:color="auto"/>
      </w:divBdr>
    </w:div>
    <w:div w:id="1687709186">
      <w:bodyDiv w:val="1"/>
      <w:marLeft w:val="0"/>
      <w:marRight w:val="0"/>
      <w:marTop w:val="0"/>
      <w:marBottom w:val="0"/>
      <w:divBdr>
        <w:top w:val="none" w:sz="0" w:space="0" w:color="auto"/>
        <w:left w:val="none" w:sz="0" w:space="0" w:color="auto"/>
        <w:bottom w:val="none" w:sz="0" w:space="0" w:color="auto"/>
        <w:right w:val="none" w:sz="0" w:space="0" w:color="auto"/>
      </w:divBdr>
      <w:divsChild>
        <w:div w:id="1199128269">
          <w:marLeft w:val="0"/>
          <w:marRight w:val="0"/>
          <w:marTop w:val="0"/>
          <w:marBottom w:val="0"/>
          <w:divBdr>
            <w:top w:val="none" w:sz="0" w:space="0" w:color="auto"/>
            <w:left w:val="none" w:sz="0" w:space="0" w:color="auto"/>
            <w:bottom w:val="none" w:sz="0" w:space="0" w:color="auto"/>
            <w:right w:val="none" w:sz="0" w:space="0" w:color="auto"/>
          </w:divBdr>
          <w:divsChild>
            <w:div w:id="109713865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
              </w:divsChild>
            </w:div>
            <w:div w:id="1589195925">
              <w:marLeft w:val="0"/>
              <w:marRight w:val="0"/>
              <w:marTop w:val="0"/>
              <w:marBottom w:val="0"/>
              <w:divBdr>
                <w:top w:val="none" w:sz="0" w:space="0" w:color="auto"/>
                <w:left w:val="none" w:sz="0" w:space="0" w:color="auto"/>
                <w:bottom w:val="none" w:sz="0" w:space="0" w:color="auto"/>
                <w:right w:val="none" w:sz="0" w:space="0" w:color="auto"/>
              </w:divBdr>
              <w:divsChild>
                <w:div w:id="2013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988">
          <w:marLeft w:val="0"/>
          <w:marRight w:val="0"/>
          <w:marTop w:val="0"/>
          <w:marBottom w:val="0"/>
          <w:divBdr>
            <w:top w:val="none" w:sz="0" w:space="0" w:color="auto"/>
            <w:left w:val="none" w:sz="0" w:space="0" w:color="auto"/>
            <w:bottom w:val="none" w:sz="0" w:space="0" w:color="auto"/>
            <w:right w:val="none" w:sz="0" w:space="0" w:color="auto"/>
          </w:divBdr>
          <w:divsChild>
            <w:div w:id="117723775">
              <w:marLeft w:val="0"/>
              <w:marRight w:val="0"/>
              <w:marTop w:val="0"/>
              <w:marBottom w:val="0"/>
              <w:divBdr>
                <w:top w:val="none" w:sz="0" w:space="0" w:color="auto"/>
                <w:left w:val="none" w:sz="0" w:space="0" w:color="auto"/>
                <w:bottom w:val="none" w:sz="0" w:space="0" w:color="auto"/>
                <w:right w:val="none" w:sz="0" w:space="0" w:color="auto"/>
              </w:divBdr>
              <w:divsChild>
                <w:div w:id="403841450">
                  <w:marLeft w:val="0"/>
                  <w:marRight w:val="0"/>
                  <w:marTop w:val="0"/>
                  <w:marBottom w:val="0"/>
                  <w:divBdr>
                    <w:top w:val="none" w:sz="0" w:space="0" w:color="auto"/>
                    <w:left w:val="none" w:sz="0" w:space="0" w:color="auto"/>
                    <w:bottom w:val="none" w:sz="0" w:space="0" w:color="auto"/>
                    <w:right w:val="none" w:sz="0" w:space="0" w:color="auto"/>
                  </w:divBdr>
                </w:div>
              </w:divsChild>
            </w:div>
            <w:div w:id="2119133138">
              <w:marLeft w:val="0"/>
              <w:marRight w:val="0"/>
              <w:marTop w:val="0"/>
              <w:marBottom w:val="0"/>
              <w:divBdr>
                <w:top w:val="none" w:sz="0" w:space="0" w:color="auto"/>
                <w:left w:val="none" w:sz="0" w:space="0" w:color="auto"/>
                <w:bottom w:val="none" w:sz="0" w:space="0" w:color="auto"/>
                <w:right w:val="none" w:sz="0" w:space="0" w:color="auto"/>
              </w:divBdr>
              <w:divsChild>
                <w:div w:id="16342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2352">
      <w:bodyDiv w:val="1"/>
      <w:marLeft w:val="0"/>
      <w:marRight w:val="0"/>
      <w:marTop w:val="0"/>
      <w:marBottom w:val="0"/>
      <w:divBdr>
        <w:top w:val="none" w:sz="0" w:space="0" w:color="auto"/>
        <w:left w:val="none" w:sz="0" w:space="0" w:color="auto"/>
        <w:bottom w:val="none" w:sz="0" w:space="0" w:color="auto"/>
        <w:right w:val="none" w:sz="0" w:space="0" w:color="auto"/>
      </w:divBdr>
    </w:div>
    <w:div w:id="1816340417">
      <w:bodyDiv w:val="1"/>
      <w:marLeft w:val="0"/>
      <w:marRight w:val="0"/>
      <w:marTop w:val="0"/>
      <w:marBottom w:val="0"/>
      <w:divBdr>
        <w:top w:val="none" w:sz="0" w:space="0" w:color="auto"/>
        <w:left w:val="none" w:sz="0" w:space="0" w:color="auto"/>
        <w:bottom w:val="none" w:sz="0" w:space="0" w:color="auto"/>
        <w:right w:val="none" w:sz="0" w:space="0" w:color="auto"/>
      </w:divBdr>
    </w:div>
    <w:div w:id="1898010533">
      <w:bodyDiv w:val="1"/>
      <w:marLeft w:val="0"/>
      <w:marRight w:val="0"/>
      <w:marTop w:val="0"/>
      <w:marBottom w:val="0"/>
      <w:divBdr>
        <w:top w:val="none" w:sz="0" w:space="0" w:color="auto"/>
        <w:left w:val="none" w:sz="0" w:space="0" w:color="auto"/>
        <w:bottom w:val="none" w:sz="0" w:space="0" w:color="auto"/>
        <w:right w:val="none" w:sz="0" w:space="0" w:color="auto"/>
      </w:divBdr>
    </w:div>
    <w:div w:id="20863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ma.ky/guidance-notes" TargetMode="External"/><Relationship Id="rId2" Type="http://schemas.openxmlformats.org/officeDocument/2006/relationships/hyperlink" Target="http://www.fatf-gafi.org/countries/" TargetMode="External"/><Relationship Id="rId1" Type="http://schemas.openxmlformats.org/officeDocument/2006/relationships/hyperlink" Target="https://www.baselgovernance.org/basel-aml-index/public-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D55D-713A-4251-876B-7B0F8CAB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2020-02-05T17:56:00Z</dcterms:created>
  <dcterms:modified xsi:type="dcterms:W3CDTF">2020-02-05T17:56:00Z</dcterms:modified>
</cp:coreProperties>
</file>