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8B47" w14:textId="47AA42F1" w:rsidR="00F119B2" w:rsidRPr="00892CA6" w:rsidRDefault="00824BAB" w:rsidP="00210B28">
      <w:pPr>
        <w:pStyle w:val="NormalWeb"/>
        <w:jc w:val="center"/>
        <w:rPr>
          <w:rFonts w:ascii="Verdana" w:hAnsi="Verdana" w:cstheme="minorHAnsi"/>
          <w:b/>
          <w:bCs/>
          <w:color w:val="000000" w:themeColor="text1"/>
          <w:sz w:val="20"/>
          <w:szCs w:val="20"/>
        </w:rPr>
      </w:pPr>
      <w:r w:rsidRPr="00892CA6">
        <w:rPr>
          <w:rFonts w:ascii="Verdana" w:hAnsi="Verdana" w:cstheme="minorHAnsi"/>
          <w:b/>
          <w:bCs/>
          <w:color w:val="000000" w:themeColor="text1"/>
          <w:sz w:val="20"/>
          <w:szCs w:val="20"/>
        </w:rPr>
        <w:t>Cayman</w:t>
      </w:r>
      <w:r w:rsidR="00F119B2" w:rsidRPr="00892CA6">
        <w:rPr>
          <w:rFonts w:ascii="Verdana" w:hAnsi="Verdana" w:cstheme="minorHAnsi"/>
          <w:b/>
          <w:bCs/>
          <w:color w:val="000000" w:themeColor="text1"/>
          <w:sz w:val="20"/>
          <w:szCs w:val="20"/>
        </w:rPr>
        <w:t xml:space="preserve"> </w:t>
      </w:r>
      <w:r w:rsidR="009B0025" w:rsidRPr="00892CA6">
        <w:rPr>
          <w:rFonts w:ascii="Verdana" w:hAnsi="Verdana" w:cstheme="minorHAnsi"/>
          <w:b/>
          <w:bCs/>
          <w:color w:val="000000" w:themeColor="text1"/>
          <w:sz w:val="20"/>
          <w:szCs w:val="20"/>
        </w:rPr>
        <w:t xml:space="preserve">Islands </w:t>
      </w:r>
      <w:r w:rsidR="00B156EE" w:rsidRPr="00892CA6">
        <w:rPr>
          <w:rFonts w:ascii="Verdana" w:hAnsi="Verdana" w:cstheme="minorHAnsi"/>
          <w:b/>
          <w:bCs/>
          <w:color w:val="000000" w:themeColor="text1"/>
          <w:sz w:val="20"/>
          <w:szCs w:val="20"/>
        </w:rPr>
        <w:t xml:space="preserve">Money Services </w:t>
      </w:r>
      <w:r w:rsidR="000551B9" w:rsidRPr="00892CA6">
        <w:rPr>
          <w:rFonts w:ascii="Verdana" w:hAnsi="Verdana" w:cstheme="minorHAnsi"/>
          <w:b/>
          <w:bCs/>
          <w:color w:val="000000" w:themeColor="text1"/>
          <w:sz w:val="20"/>
          <w:szCs w:val="20"/>
        </w:rPr>
        <w:t>Business Sector</w:t>
      </w:r>
      <w:r w:rsidR="00F119B2" w:rsidRPr="00892CA6">
        <w:rPr>
          <w:rFonts w:ascii="Verdana" w:hAnsi="Verdana" w:cstheme="minorHAnsi"/>
          <w:b/>
          <w:bCs/>
          <w:color w:val="000000" w:themeColor="text1"/>
          <w:sz w:val="20"/>
          <w:szCs w:val="20"/>
        </w:rPr>
        <w:t xml:space="preserve"> Risk Assessment</w:t>
      </w:r>
    </w:p>
    <w:p w14:paraId="1822A1C4" w14:textId="567C3621" w:rsidR="009B0025" w:rsidRPr="00892CA6" w:rsidRDefault="00D1027B" w:rsidP="009B0025">
      <w:pPr>
        <w:pStyle w:val="NormalWeb"/>
        <w:jc w:val="center"/>
        <w:rPr>
          <w:rFonts w:ascii="Verdana" w:hAnsi="Verdana" w:cstheme="minorHAnsi"/>
          <w:color w:val="000000" w:themeColor="text1"/>
          <w:sz w:val="20"/>
          <w:szCs w:val="20"/>
        </w:rPr>
      </w:pPr>
      <w:r w:rsidRPr="00892CA6">
        <w:rPr>
          <w:rFonts w:ascii="Verdana" w:hAnsi="Verdana" w:cstheme="minorHAnsi"/>
          <w:b/>
          <w:bCs/>
          <w:color w:val="000000" w:themeColor="text1"/>
          <w:sz w:val="20"/>
          <w:szCs w:val="20"/>
        </w:rPr>
        <w:t>January</w:t>
      </w:r>
      <w:r w:rsidR="009B0025" w:rsidRPr="00892CA6">
        <w:rPr>
          <w:rFonts w:ascii="Verdana" w:hAnsi="Verdana" w:cstheme="minorHAnsi"/>
          <w:b/>
          <w:bCs/>
          <w:color w:val="000000" w:themeColor="text1"/>
          <w:sz w:val="20"/>
          <w:szCs w:val="20"/>
        </w:rPr>
        <w:t xml:space="preserve"> 20</w:t>
      </w:r>
      <w:r w:rsidRPr="00892CA6">
        <w:rPr>
          <w:rFonts w:ascii="Verdana" w:hAnsi="Verdana" w:cstheme="minorHAnsi"/>
          <w:b/>
          <w:bCs/>
          <w:color w:val="000000" w:themeColor="text1"/>
          <w:sz w:val="20"/>
          <w:szCs w:val="20"/>
        </w:rPr>
        <w:t>20</w:t>
      </w:r>
    </w:p>
    <w:p w14:paraId="72A0B625" w14:textId="5FB871C6" w:rsidR="005B6722" w:rsidRPr="00892CA6" w:rsidRDefault="005B6722" w:rsidP="00EB255C">
      <w:pPr>
        <w:pStyle w:val="Heading2"/>
        <w:rPr>
          <w:rFonts w:ascii="Verdana" w:hAnsi="Verdana" w:cstheme="minorHAnsi"/>
          <w:b/>
          <w:bCs/>
          <w:sz w:val="20"/>
          <w:szCs w:val="20"/>
          <w:lang w:val="en-US"/>
        </w:rPr>
      </w:pPr>
      <w:r w:rsidRPr="00892CA6">
        <w:rPr>
          <w:rFonts w:ascii="Verdana" w:hAnsi="Verdana" w:cstheme="minorHAnsi"/>
          <w:b/>
          <w:bCs/>
          <w:sz w:val="20"/>
          <w:szCs w:val="20"/>
          <w:lang w:val="en-US"/>
        </w:rPr>
        <w:t>Introduction</w:t>
      </w:r>
    </w:p>
    <w:p w14:paraId="35144562" w14:textId="3793212D" w:rsidR="00DB450B" w:rsidRPr="00892CA6" w:rsidRDefault="00F119B2"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purpose of this </w:t>
      </w:r>
      <w:r w:rsidR="00B156EE" w:rsidRPr="00892CA6">
        <w:rPr>
          <w:rFonts w:ascii="Verdana" w:eastAsiaTheme="minorHAnsi" w:hAnsi="Verdana" w:cstheme="minorHAnsi"/>
          <w:color w:val="000000" w:themeColor="text1"/>
          <w:sz w:val="20"/>
          <w:szCs w:val="20"/>
          <w:lang w:val="en-US" w:eastAsia="en-US"/>
        </w:rPr>
        <w:t xml:space="preserve">Money Services Business (“MSB”) </w:t>
      </w:r>
      <w:r w:rsidR="00824BAB" w:rsidRPr="00892CA6">
        <w:rPr>
          <w:rFonts w:ascii="Verdana" w:eastAsiaTheme="minorHAnsi" w:hAnsi="Verdana" w:cstheme="minorHAnsi"/>
          <w:color w:val="000000" w:themeColor="text1"/>
          <w:sz w:val="20"/>
          <w:szCs w:val="20"/>
          <w:lang w:val="en-US" w:eastAsia="en-US"/>
        </w:rPr>
        <w:t>Sector Risk Assessment</w:t>
      </w:r>
      <w:r w:rsidRPr="00892CA6">
        <w:rPr>
          <w:rFonts w:ascii="Verdana" w:eastAsiaTheme="minorHAnsi" w:hAnsi="Verdana" w:cstheme="minorHAnsi"/>
          <w:color w:val="000000" w:themeColor="text1"/>
          <w:sz w:val="20"/>
          <w:szCs w:val="20"/>
          <w:lang w:val="en-US" w:eastAsia="en-US"/>
        </w:rPr>
        <w:t xml:space="preserve"> </w:t>
      </w:r>
      <w:r w:rsidR="00A16B1B" w:rsidRPr="00892CA6">
        <w:rPr>
          <w:rFonts w:ascii="Verdana" w:eastAsiaTheme="minorHAnsi" w:hAnsi="Verdana" w:cstheme="minorHAnsi"/>
          <w:color w:val="000000" w:themeColor="text1"/>
          <w:sz w:val="20"/>
          <w:szCs w:val="20"/>
          <w:lang w:val="en-US" w:eastAsia="en-US"/>
        </w:rPr>
        <w:t>conducted by the Cayman Islands Monetary Authority (</w:t>
      </w:r>
      <w:r w:rsidR="00EA7F03" w:rsidRPr="00892CA6">
        <w:rPr>
          <w:rFonts w:ascii="Verdana" w:eastAsiaTheme="minorHAnsi" w:hAnsi="Verdana" w:cstheme="minorHAnsi"/>
          <w:color w:val="000000" w:themeColor="text1"/>
          <w:sz w:val="20"/>
          <w:szCs w:val="20"/>
          <w:lang w:val="en-US" w:eastAsia="en-US"/>
        </w:rPr>
        <w:t>“</w:t>
      </w:r>
      <w:r w:rsidR="00A16B1B" w:rsidRPr="00892CA6">
        <w:rPr>
          <w:rFonts w:ascii="Verdana" w:eastAsiaTheme="minorHAnsi" w:hAnsi="Verdana" w:cstheme="minorHAnsi"/>
          <w:color w:val="000000" w:themeColor="text1"/>
          <w:sz w:val="20"/>
          <w:szCs w:val="20"/>
          <w:lang w:val="en-US" w:eastAsia="en-US"/>
        </w:rPr>
        <w:t>CIMA</w:t>
      </w:r>
      <w:r w:rsidR="00EA7F03" w:rsidRPr="00892CA6">
        <w:rPr>
          <w:rFonts w:ascii="Verdana" w:eastAsiaTheme="minorHAnsi" w:hAnsi="Verdana" w:cstheme="minorHAnsi"/>
          <w:color w:val="000000" w:themeColor="text1"/>
          <w:sz w:val="20"/>
          <w:szCs w:val="20"/>
          <w:lang w:val="en-US" w:eastAsia="en-US"/>
        </w:rPr>
        <w:t>”</w:t>
      </w:r>
      <w:r w:rsidR="00A16B1B" w:rsidRPr="00892CA6">
        <w:rPr>
          <w:rFonts w:ascii="Verdana" w:eastAsiaTheme="minorHAnsi" w:hAnsi="Verdana" w:cstheme="minorHAnsi"/>
          <w:color w:val="000000" w:themeColor="text1"/>
          <w:sz w:val="20"/>
          <w:szCs w:val="20"/>
          <w:lang w:val="en-US" w:eastAsia="en-US"/>
        </w:rPr>
        <w:t xml:space="preserve">) </w:t>
      </w:r>
      <w:r w:rsidR="00F42DFE" w:rsidRPr="00892CA6">
        <w:rPr>
          <w:rFonts w:ascii="Verdana" w:eastAsiaTheme="minorHAnsi" w:hAnsi="Verdana" w:cstheme="minorHAnsi"/>
          <w:color w:val="000000" w:themeColor="text1"/>
          <w:sz w:val="20"/>
          <w:szCs w:val="20"/>
          <w:lang w:val="en-US" w:eastAsia="en-US"/>
        </w:rPr>
        <w:t xml:space="preserve">is </w:t>
      </w:r>
      <w:r w:rsidRPr="00892CA6">
        <w:rPr>
          <w:rFonts w:ascii="Verdana" w:eastAsiaTheme="minorHAnsi" w:hAnsi="Verdana" w:cstheme="minorHAnsi"/>
          <w:color w:val="000000" w:themeColor="text1"/>
          <w:sz w:val="20"/>
          <w:szCs w:val="20"/>
          <w:lang w:val="en-US" w:eastAsia="en-US"/>
        </w:rPr>
        <w:t xml:space="preserve">to identify and </w:t>
      </w:r>
      <w:r w:rsidR="0030156B" w:rsidRPr="00892CA6">
        <w:rPr>
          <w:rFonts w:ascii="Verdana" w:eastAsiaTheme="minorHAnsi" w:hAnsi="Verdana" w:cstheme="minorHAnsi"/>
          <w:color w:val="000000" w:themeColor="text1"/>
          <w:sz w:val="20"/>
          <w:szCs w:val="20"/>
          <w:lang w:val="en-US" w:eastAsia="en-US"/>
        </w:rPr>
        <w:t>assess</w:t>
      </w:r>
      <w:r w:rsidRPr="00892CA6">
        <w:rPr>
          <w:rFonts w:ascii="Verdana" w:eastAsiaTheme="minorHAnsi" w:hAnsi="Verdana" w:cstheme="minorHAnsi"/>
          <w:color w:val="000000" w:themeColor="text1"/>
          <w:sz w:val="20"/>
          <w:szCs w:val="20"/>
          <w:lang w:val="en-US" w:eastAsia="en-US"/>
        </w:rPr>
        <w:t xml:space="preserve"> the </w:t>
      </w:r>
      <w:r w:rsidR="00F42DFE" w:rsidRPr="00892CA6">
        <w:rPr>
          <w:rFonts w:ascii="Verdana" w:eastAsiaTheme="minorHAnsi" w:hAnsi="Verdana" w:cstheme="minorHAnsi"/>
          <w:color w:val="000000" w:themeColor="text1"/>
          <w:sz w:val="20"/>
          <w:szCs w:val="20"/>
          <w:lang w:val="en-US" w:eastAsia="en-US"/>
        </w:rPr>
        <w:t>Money Laundering/ Terrorist Financing (“</w:t>
      </w:r>
      <w:r w:rsidRPr="00892CA6">
        <w:rPr>
          <w:rFonts w:ascii="Verdana" w:eastAsiaTheme="minorHAnsi" w:hAnsi="Verdana" w:cstheme="minorHAnsi"/>
          <w:color w:val="000000" w:themeColor="text1"/>
          <w:sz w:val="20"/>
          <w:szCs w:val="20"/>
          <w:lang w:val="en-US" w:eastAsia="en-US"/>
        </w:rPr>
        <w:t>ML/TF</w:t>
      </w:r>
      <w:r w:rsidR="00F42DFE" w:rsidRPr="00892CA6">
        <w:rPr>
          <w:rFonts w:ascii="Verdana" w:eastAsiaTheme="minorHAnsi" w:hAnsi="Verdana" w:cstheme="minorHAnsi"/>
          <w:color w:val="000000" w:themeColor="text1"/>
          <w:sz w:val="20"/>
          <w:szCs w:val="20"/>
          <w:lang w:val="en-US" w:eastAsia="en-US"/>
        </w:rPr>
        <w:t>”)</w:t>
      </w:r>
      <w:r w:rsidRPr="00892CA6">
        <w:rPr>
          <w:rFonts w:ascii="Verdana" w:eastAsiaTheme="minorHAnsi" w:hAnsi="Verdana" w:cstheme="minorHAnsi"/>
          <w:color w:val="000000" w:themeColor="text1"/>
          <w:sz w:val="20"/>
          <w:szCs w:val="20"/>
          <w:lang w:val="en-US" w:eastAsia="en-US"/>
        </w:rPr>
        <w:t xml:space="preserve"> risks faced by the </w:t>
      </w:r>
      <w:r w:rsidR="00B00989" w:rsidRPr="00892CA6">
        <w:rPr>
          <w:rFonts w:ascii="Verdana" w:eastAsiaTheme="minorHAnsi" w:hAnsi="Verdana" w:cstheme="minorHAnsi"/>
          <w:color w:val="000000" w:themeColor="text1"/>
          <w:sz w:val="20"/>
          <w:szCs w:val="20"/>
          <w:lang w:val="en-US" w:eastAsia="en-US"/>
        </w:rPr>
        <w:t xml:space="preserve">MSB </w:t>
      </w:r>
      <w:r w:rsidRPr="00892CA6">
        <w:rPr>
          <w:rFonts w:ascii="Verdana" w:eastAsiaTheme="minorHAnsi" w:hAnsi="Verdana" w:cstheme="minorHAnsi"/>
          <w:color w:val="000000" w:themeColor="text1"/>
          <w:sz w:val="20"/>
          <w:szCs w:val="20"/>
          <w:lang w:val="en-US" w:eastAsia="en-US"/>
        </w:rPr>
        <w:t xml:space="preserve">sector in </w:t>
      </w:r>
      <w:r w:rsidR="0004279D" w:rsidRPr="00892CA6">
        <w:rPr>
          <w:rFonts w:ascii="Verdana" w:eastAsiaTheme="minorHAnsi" w:hAnsi="Verdana" w:cstheme="minorHAnsi"/>
          <w:color w:val="000000" w:themeColor="text1"/>
          <w:sz w:val="20"/>
          <w:szCs w:val="20"/>
          <w:lang w:val="en-US" w:eastAsia="en-US"/>
        </w:rPr>
        <w:t xml:space="preserve">the </w:t>
      </w:r>
      <w:r w:rsidR="00E06EDD" w:rsidRPr="00892CA6">
        <w:rPr>
          <w:rFonts w:ascii="Verdana" w:eastAsiaTheme="minorHAnsi" w:hAnsi="Verdana" w:cstheme="minorHAnsi"/>
          <w:color w:val="000000" w:themeColor="text1"/>
          <w:sz w:val="20"/>
          <w:szCs w:val="20"/>
          <w:lang w:val="en-US" w:eastAsia="en-US"/>
        </w:rPr>
        <w:t>Cayman Islands</w:t>
      </w:r>
      <w:r w:rsidRPr="00892CA6">
        <w:rPr>
          <w:rFonts w:ascii="Verdana" w:eastAsiaTheme="minorHAnsi" w:hAnsi="Verdana" w:cstheme="minorHAnsi"/>
          <w:color w:val="000000" w:themeColor="text1"/>
          <w:sz w:val="20"/>
          <w:szCs w:val="20"/>
          <w:lang w:val="en-US" w:eastAsia="en-US"/>
        </w:rPr>
        <w:t>. Identifying the risks is the first step towards combating ML/TF. This step is integral to putting a risk-based approach in place</w:t>
      </w:r>
      <w:r w:rsidR="00607EC2">
        <w:rPr>
          <w:rFonts w:ascii="Verdana" w:eastAsiaTheme="minorHAnsi" w:hAnsi="Verdana" w:cstheme="minorHAnsi"/>
          <w:color w:val="000000" w:themeColor="text1"/>
          <w:sz w:val="20"/>
          <w:szCs w:val="20"/>
          <w:lang w:val="en-US" w:eastAsia="en-US"/>
        </w:rPr>
        <w:t xml:space="preserve"> for both the sector and the MSB licensees</w:t>
      </w:r>
      <w:r w:rsidRPr="00892CA6">
        <w:rPr>
          <w:rFonts w:ascii="Verdana" w:eastAsiaTheme="minorHAnsi" w:hAnsi="Verdana" w:cstheme="minorHAnsi"/>
          <w:color w:val="000000" w:themeColor="text1"/>
          <w:sz w:val="20"/>
          <w:szCs w:val="20"/>
          <w:lang w:val="en-US" w:eastAsia="en-US"/>
        </w:rPr>
        <w:t>.</w:t>
      </w:r>
      <w:r w:rsidR="00F753C4" w:rsidRPr="00892CA6">
        <w:rPr>
          <w:rFonts w:ascii="Verdana" w:eastAsiaTheme="minorHAnsi" w:hAnsi="Verdana" w:cstheme="minorHAnsi"/>
          <w:color w:val="000000" w:themeColor="text1"/>
          <w:sz w:val="20"/>
          <w:szCs w:val="20"/>
          <w:lang w:val="en-US" w:eastAsia="en-US"/>
        </w:rPr>
        <w:t xml:space="preserve"> </w:t>
      </w:r>
      <w:r w:rsidR="00B00989" w:rsidRPr="00892CA6">
        <w:rPr>
          <w:rFonts w:ascii="Verdana" w:eastAsiaTheme="minorHAnsi" w:hAnsi="Verdana" w:cstheme="minorHAnsi"/>
          <w:color w:val="000000" w:themeColor="text1"/>
          <w:sz w:val="20"/>
          <w:szCs w:val="20"/>
          <w:lang w:val="en-US" w:eastAsia="en-US"/>
        </w:rPr>
        <w:t xml:space="preserve">MSBs </w:t>
      </w:r>
      <w:r w:rsidR="00570666" w:rsidRPr="00892CA6">
        <w:rPr>
          <w:rFonts w:ascii="Verdana" w:eastAsiaTheme="minorHAnsi" w:hAnsi="Verdana" w:cstheme="minorHAnsi"/>
          <w:color w:val="000000" w:themeColor="text1"/>
          <w:sz w:val="20"/>
          <w:szCs w:val="20"/>
          <w:lang w:val="en-US" w:eastAsia="en-US"/>
        </w:rPr>
        <w:t xml:space="preserve">should review and consider this </w:t>
      </w:r>
      <w:r w:rsidR="00B00989" w:rsidRPr="00892CA6">
        <w:rPr>
          <w:rFonts w:ascii="Verdana" w:eastAsiaTheme="minorHAnsi" w:hAnsi="Verdana" w:cstheme="minorHAnsi"/>
          <w:color w:val="000000" w:themeColor="text1"/>
          <w:sz w:val="20"/>
          <w:szCs w:val="20"/>
          <w:lang w:val="en-US" w:eastAsia="en-US"/>
        </w:rPr>
        <w:t xml:space="preserve">MSB </w:t>
      </w:r>
      <w:r w:rsidR="00570666" w:rsidRPr="00892CA6">
        <w:rPr>
          <w:rFonts w:ascii="Verdana" w:eastAsiaTheme="minorHAnsi" w:hAnsi="Verdana" w:cstheme="minorHAnsi"/>
          <w:color w:val="000000" w:themeColor="text1"/>
          <w:sz w:val="20"/>
          <w:szCs w:val="20"/>
          <w:lang w:val="en-US" w:eastAsia="en-US"/>
        </w:rPr>
        <w:t xml:space="preserve">Sector Risk Assessment when they </w:t>
      </w:r>
      <w:r w:rsidR="00607EC2">
        <w:rPr>
          <w:rFonts w:ascii="Verdana" w:eastAsiaTheme="minorHAnsi" w:hAnsi="Verdana" w:cstheme="minorHAnsi"/>
          <w:color w:val="000000" w:themeColor="text1"/>
          <w:sz w:val="20"/>
          <w:szCs w:val="20"/>
          <w:lang w:val="en-US" w:eastAsia="en-US"/>
        </w:rPr>
        <w:t>conduct</w:t>
      </w:r>
      <w:r w:rsidR="00570666" w:rsidRPr="00892CA6">
        <w:rPr>
          <w:rFonts w:ascii="Verdana" w:eastAsiaTheme="minorHAnsi" w:hAnsi="Verdana" w:cstheme="minorHAnsi"/>
          <w:color w:val="000000" w:themeColor="text1"/>
          <w:sz w:val="20"/>
          <w:szCs w:val="20"/>
          <w:lang w:val="en-US" w:eastAsia="en-US"/>
        </w:rPr>
        <w:t xml:space="preserve">or update their </w:t>
      </w:r>
      <w:r w:rsidR="002C5958" w:rsidRPr="00892CA6">
        <w:rPr>
          <w:rFonts w:ascii="Verdana" w:eastAsiaTheme="minorHAnsi" w:hAnsi="Verdana" w:cstheme="minorHAnsi"/>
          <w:color w:val="000000" w:themeColor="text1"/>
          <w:sz w:val="20"/>
          <w:szCs w:val="20"/>
          <w:lang w:val="en-US" w:eastAsia="en-US"/>
        </w:rPr>
        <w:t xml:space="preserve">business-wide </w:t>
      </w:r>
      <w:r w:rsidR="00570666" w:rsidRPr="00892CA6">
        <w:rPr>
          <w:rFonts w:ascii="Verdana" w:eastAsiaTheme="minorHAnsi" w:hAnsi="Verdana" w:cstheme="minorHAnsi"/>
          <w:color w:val="000000" w:themeColor="text1"/>
          <w:sz w:val="20"/>
          <w:szCs w:val="20"/>
          <w:lang w:val="en-US" w:eastAsia="en-US"/>
        </w:rPr>
        <w:t>risk assessments</w:t>
      </w:r>
      <w:r w:rsidR="00DB450B" w:rsidRPr="00892CA6">
        <w:rPr>
          <w:rFonts w:ascii="Verdana" w:eastAsiaTheme="minorHAnsi" w:hAnsi="Verdana" w:cstheme="minorHAnsi"/>
          <w:color w:val="000000" w:themeColor="text1"/>
          <w:sz w:val="20"/>
          <w:szCs w:val="20"/>
          <w:lang w:val="en-US" w:eastAsia="en-US"/>
        </w:rPr>
        <w:t xml:space="preserve">. MSBs should also determine the resources and processes required to maintain an understanding of the ML/TF risks faced by the sector as well as </w:t>
      </w:r>
      <w:r w:rsidR="00DB450B" w:rsidRPr="00892CA6">
        <w:rPr>
          <w:rFonts w:ascii="Verdana" w:hAnsi="Verdana" w:cstheme="minorHAnsi"/>
          <w:sz w:val="20"/>
          <w:szCs w:val="20"/>
        </w:rPr>
        <w:t>specific to their products and services, customer base</w:t>
      </w:r>
      <w:r w:rsidR="00607EC2">
        <w:rPr>
          <w:rFonts w:ascii="Verdana" w:hAnsi="Verdana" w:cstheme="minorHAnsi"/>
          <w:sz w:val="20"/>
          <w:szCs w:val="20"/>
        </w:rPr>
        <w:t xml:space="preserve"> and the</w:t>
      </w:r>
      <w:r w:rsidR="00DB450B" w:rsidRPr="00892CA6">
        <w:rPr>
          <w:rFonts w:ascii="Verdana" w:hAnsi="Verdana" w:cstheme="minorHAnsi"/>
          <w:sz w:val="20"/>
          <w:szCs w:val="20"/>
        </w:rPr>
        <w:t xml:space="preserve"> jurisdictions</w:t>
      </w:r>
      <w:r w:rsidR="00607EC2">
        <w:rPr>
          <w:rFonts w:ascii="Verdana" w:hAnsi="Verdana" w:cstheme="minorHAnsi"/>
          <w:sz w:val="20"/>
          <w:szCs w:val="20"/>
        </w:rPr>
        <w:t xml:space="preserve"> they</w:t>
      </w:r>
      <w:r w:rsidR="00DB450B" w:rsidRPr="00892CA6">
        <w:rPr>
          <w:rFonts w:ascii="Verdana" w:hAnsi="Verdana" w:cstheme="minorHAnsi"/>
          <w:sz w:val="20"/>
          <w:szCs w:val="20"/>
        </w:rPr>
        <w:t xml:space="preserve"> operate in</w:t>
      </w:r>
      <w:r w:rsidR="00607EC2">
        <w:rPr>
          <w:rFonts w:ascii="Verdana" w:hAnsi="Verdana" w:cstheme="minorHAnsi"/>
          <w:sz w:val="20"/>
          <w:szCs w:val="20"/>
        </w:rPr>
        <w:t xml:space="preserve">. </w:t>
      </w:r>
      <w:r w:rsidR="00570666" w:rsidRPr="00892CA6">
        <w:rPr>
          <w:rFonts w:ascii="Verdana" w:eastAsiaTheme="minorHAnsi" w:hAnsi="Verdana" w:cstheme="minorHAnsi"/>
          <w:color w:val="000000" w:themeColor="text1"/>
          <w:sz w:val="20"/>
          <w:szCs w:val="20"/>
          <w:lang w:val="en-US" w:eastAsia="en-US"/>
        </w:rPr>
        <w:t xml:space="preserve"> </w:t>
      </w:r>
    </w:p>
    <w:p w14:paraId="219740B8" w14:textId="1C285549" w:rsidR="00570666" w:rsidRPr="00892CA6" w:rsidRDefault="00570666"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Assessing the risks within each supervised sector </w:t>
      </w:r>
      <w:r w:rsidR="0030156B" w:rsidRPr="00892CA6">
        <w:rPr>
          <w:rFonts w:ascii="Verdana" w:eastAsiaTheme="minorHAnsi" w:hAnsi="Verdana" w:cstheme="minorHAnsi"/>
          <w:color w:val="000000" w:themeColor="text1"/>
          <w:sz w:val="20"/>
          <w:szCs w:val="20"/>
          <w:lang w:val="en-US" w:eastAsia="en-US"/>
        </w:rPr>
        <w:t xml:space="preserve">also </w:t>
      </w:r>
      <w:r w:rsidRPr="00892CA6">
        <w:rPr>
          <w:rFonts w:ascii="Verdana" w:eastAsiaTheme="minorHAnsi" w:hAnsi="Verdana" w:cstheme="minorHAnsi"/>
          <w:color w:val="000000" w:themeColor="text1"/>
          <w:sz w:val="20"/>
          <w:szCs w:val="20"/>
          <w:lang w:val="en-US" w:eastAsia="en-US"/>
        </w:rPr>
        <w:t>enables</w:t>
      </w:r>
      <w:r w:rsidR="007A1EDC" w:rsidRPr="00892CA6">
        <w:rPr>
          <w:rFonts w:ascii="Verdana" w:eastAsiaTheme="minorHAnsi" w:hAnsi="Verdana" w:cstheme="minorHAnsi"/>
          <w:color w:val="000000" w:themeColor="text1"/>
          <w:sz w:val="20"/>
          <w:szCs w:val="20"/>
          <w:lang w:val="en-US" w:eastAsia="en-US"/>
        </w:rPr>
        <w:t xml:space="preserve"> </w:t>
      </w:r>
      <w:r w:rsidR="00A16B1B" w:rsidRPr="00892CA6">
        <w:rPr>
          <w:rFonts w:ascii="Verdana" w:eastAsiaTheme="minorHAnsi" w:hAnsi="Verdana" w:cstheme="minorHAnsi"/>
          <w:color w:val="000000" w:themeColor="text1"/>
          <w:sz w:val="20"/>
          <w:szCs w:val="20"/>
          <w:lang w:val="en-US" w:eastAsia="en-US"/>
        </w:rPr>
        <w:t xml:space="preserve">CIMA </w:t>
      </w:r>
      <w:r w:rsidRPr="00892CA6">
        <w:rPr>
          <w:rFonts w:ascii="Verdana" w:eastAsiaTheme="minorHAnsi" w:hAnsi="Verdana" w:cstheme="minorHAnsi"/>
          <w:color w:val="000000" w:themeColor="text1"/>
          <w:sz w:val="20"/>
          <w:szCs w:val="20"/>
          <w:lang w:val="en-US" w:eastAsia="en-US"/>
        </w:rPr>
        <w:t xml:space="preserve">to </w:t>
      </w:r>
      <w:r w:rsidR="00DB450B" w:rsidRPr="00892CA6">
        <w:rPr>
          <w:rFonts w:ascii="Verdana" w:eastAsiaTheme="minorHAnsi" w:hAnsi="Verdana" w:cstheme="minorHAnsi"/>
          <w:color w:val="000000" w:themeColor="text1"/>
          <w:sz w:val="20"/>
          <w:szCs w:val="20"/>
          <w:lang w:val="en-US" w:eastAsia="en-US"/>
        </w:rPr>
        <w:t xml:space="preserve">maintain an understanding of the ML/TF risks specific to </w:t>
      </w:r>
      <w:r w:rsidR="00AC399A" w:rsidRPr="00892CA6">
        <w:rPr>
          <w:rFonts w:ascii="Verdana" w:eastAsiaTheme="minorHAnsi" w:hAnsi="Verdana" w:cstheme="minorHAnsi"/>
          <w:color w:val="000000" w:themeColor="text1"/>
          <w:sz w:val="20"/>
          <w:szCs w:val="20"/>
          <w:lang w:val="en-US" w:eastAsia="en-US"/>
        </w:rPr>
        <w:t xml:space="preserve">each sector </w:t>
      </w:r>
      <w:r w:rsidR="00DB450B" w:rsidRPr="00892CA6">
        <w:rPr>
          <w:rFonts w:ascii="Verdana" w:eastAsiaTheme="minorHAnsi" w:hAnsi="Verdana" w:cstheme="minorHAnsi"/>
          <w:color w:val="000000" w:themeColor="text1"/>
          <w:sz w:val="20"/>
          <w:szCs w:val="20"/>
          <w:lang w:val="en-US" w:eastAsia="en-US"/>
        </w:rPr>
        <w:t xml:space="preserve">it supervises, the degree to which measures can be expected to mitigate such risks and to </w:t>
      </w:r>
      <w:r w:rsidRPr="00892CA6">
        <w:rPr>
          <w:rFonts w:ascii="Verdana" w:eastAsiaTheme="minorHAnsi" w:hAnsi="Verdana" w:cstheme="minorHAnsi"/>
          <w:color w:val="000000" w:themeColor="text1"/>
          <w:sz w:val="20"/>
          <w:szCs w:val="20"/>
          <w:lang w:val="en-US" w:eastAsia="en-US"/>
        </w:rPr>
        <w:t xml:space="preserve">efficiently allocate </w:t>
      </w:r>
      <w:r w:rsidR="00BC68EC" w:rsidRPr="00892CA6">
        <w:rPr>
          <w:rFonts w:ascii="Verdana" w:eastAsiaTheme="minorHAnsi" w:hAnsi="Verdana" w:cstheme="minorHAnsi"/>
          <w:color w:val="000000" w:themeColor="text1"/>
          <w:sz w:val="20"/>
          <w:szCs w:val="20"/>
          <w:lang w:val="en-US" w:eastAsia="en-US"/>
        </w:rPr>
        <w:t>its</w:t>
      </w:r>
      <w:r w:rsidRPr="00892CA6">
        <w:rPr>
          <w:rFonts w:ascii="Verdana" w:eastAsiaTheme="minorHAnsi" w:hAnsi="Verdana" w:cstheme="minorHAnsi"/>
          <w:color w:val="000000" w:themeColor="text1"/>
          <w:sz w:val="20"/>
          <w:szCs w:val="20"/>
          <w:lang w:val="en-US" w:eastAsia="en-US"/>
        </w:rPr>
        <w:t xml:space="preserve"> resources</w:t>
      </w:r>
      <w:r w:rsidR="00DB450B" w:rsidRPr="00892CA6">
        <w:rPr>
          <w:rFonts w:ascii="Verdana" w:eastAsiaTheme="minorHAnsi" w:hAnsi="Verdana" w:cstheme="minorHAnsi"/>
          <w:color w:val="000000" w:themeColor="text1"/>
          <w:sz w:val="20"/>
          <w:szCs w:val="20"/>
          <w:lang w:val="en-US" w:eastAsia="en-US"/>
        </w:rPr>
        <w:t xml:space="preserve"> accordingly</w:t>
      </w:r>
      <w:r w:rsidRPr="00892CA6">
        <w:rPr>
          <w:rFonts w:ascii="Verdana" w:eastAsiaTheme="minorHAnsi" w:hAnsi="Verdana" w:cstheme="minorHAnsi"/>
          <w:color w:val="000000" w:themeColor="text1"/>
          <w:sz w:val="20"/>
          <w:szCs w:val="20"/>
          <w:lang w:val="en-US" w:eastAsia="en-US"/>
        </w:rPr>
        <w:t>.</w:t>
      </w:r>
      <w:r w:rsidR="00F753C4" w:rsidRPr="00892CA6">
        <w:rPr>
          <w:rFonts w:ascii="Verdana" w:eastAsiaTheme="minorHAnsi" w:hAnsi="Verdana" w:cstheme="minorHAnsi"/>
          <w:color w:val="000000" w:themeColor="text1"/>
          <w:sz w:val="20"/>
          <w:szCs w:val="20"/>
          <w:lang w:val="en-US" w:eastAsia="en-US"/>
        </w:rPr>
        <w:t xml:space="preserve"> </w:t>
      </w:r>
      <w:r w:rsidR="0030156B" w:rsidRPr="00892CA6">
        <w:rPr>
          <w:rFonts w:ascii="Verdana" w:eastAsiaTheme="minorHAnsi" w:hAnsi="Verdana" w:cstheme="minorHAnsi"/>
          <w:color w:val="000000" w:themeColor="text1"/>
          <w:sz w:val="20"/>
          <w:szCs w:val="20"/>
          <w:lang w:val="en-US" w:eastAsia="en-US"/>
        </w:rPr>
        <w:t xml:space="preserve">On a national level, the </w:t>
      </w:r>
      <w:r w:rsidR="00B00989" w:rsidRPr="00892CA6">
        <w:rPr>
          <w:rFonts w:ascii="Verdana" w:eastAsiaTheme="minorHAnsi" w:hAnsi="Verdana" w:cstheme="minorHAnsi"/>
          <w:color w:val="000000" w:themeColor="text1"/>
          <w:sz w:val="20"/>
          <w:szCs w:val="20"/>
          <w:lang w:val="en-US" w:eastAsia="en-US"/>
        </w:rPr>
        <w:t xml:space="preserve">MSB </w:t>
      </w:r>
      <w:r w:rsidR="00AB6571" w:rsidRPr="00892CA6">
        <w:rPr>
          <w:rFonts w:ascii="Verdana" w:eastAsiaTheme="minorHAnsi" w:hAnsi="Verdana" w:cstheme="minorHAnsi"/>
          <w:color w:val="000000" w:themeColor="text1"/>
          <w:sz w:val="20"/>
          <w:szCs w:val="20"/>
          <w:lang w:val="en-US" w:eastAsia="en-US"/>
        </w:rPr>
        <w:t xml:space="preserve">Sector Risk </w:t>
      </w:r>
      <w:r w:rsidR="00F42DFE" w:rsidRPr="00892CA6">
        <w:rPr>
          <w:rFonts w:ascii="Verdana" w:eastAsiaTheme="minorHAnsi" w:hAnsi="Verdana" w:cstheme="minorHAnsi"/>
          <w:color w:val="000000" w:themeColor="text1"/>
          <w:sz w:val="20"/>
          <w:szCs w:val="20"/>
          <w:lang w:val="en-US" w:eastAsia="en-US"/>
        </w:rPr>
        <w:t>Assessment will</w:t>
      </w:r>
      <w:r w:rsidRPr="00892CA6">
        <w:rPr>
          <w:rFonts w:ascii="Verdana" w:eastAsiaTheme="minorHAnsi" w:hAnsi="Verdana" w:cstheme="minorHAnsi"/>
          <w:color w:val="000000" w:themeColor="text1"/>
          <w:sz w:val="20"/>
          <w:szCs w:val="20"/>
          <w:lang w:val="en-US" w:eastAsia="en-US"/>
        </w:rPr>
        <w:t xml:space="preserve"> </w:t>
      </w:r>
      <w:r w:rsidR="007A1EDC" w:rsidRPr="00892CA6">
        <w:rPr>
          <w:rFonts w:ascii="Verdana" w:eastAsiaTheme="minorHAnsi" w:hAnsi="Verdana" w:cstheme="minorHAnsi"/>
          <w:color w:val="000000" w:themeColor="text1"/>
          <w:sz w:val="20"/>
          <w:szCs w:val="20"/>
          <w:lang w:val="en-US" w:eastAsia="en-US"/>
        </w:rPr>
        <w:t>further enhance the Cayman Islands´</w:t>
      </w:r>
      <w:r w:rsidR="0030156B" w:rsidRPr="00892CA6">
        <w:rPr>
          <w:rFonts w:ascii="Verdana" w:eastAsiaTheme="minorHAnsi" w:hAnsi="Verdana" w:cstheme="minorHAnsi"/>
          <w:color w:val="000000" w:themeColor="text1"/>
          <w:sz w:val="20"/>
          <w:szCs w:val="20"/>
          <w:lang w:val="en-US" w:eastAsia="en-US"/>
        </w:rPr>
        <w:t xml:space="preserve"> </w:t>
      </w:r>
      <w:r w:rsidR="007A1EDC" w:rsidRPr="00892CA6">
        <w:rPr>
          <w:rFonts w:ascii="Verdana" w:eastAsiaTheme="minorHAnsi" w:hAnsi="Verdana" w:cstheme="minorHAnsi"/>
          <w:color w:val="000000" w:themeColor="text1"/>
          <w:sz w:val="20"/>
          <w:szCs w:val="20"/>
          <w:lang w:val="en-US" w:eastAsia="en-US"/>
        </w:rPr>
        <w:t>risk understanding</w:t>
      </w:r>
      <w:r w:rsidR="00AC399A" w:rsidRPr="00892CA6">
        <w:rPr>
          <w:rFonts w:ascii="Verdana" w:eastAsiaTheme="minorHAnsi" w:hAnsi="Verdana" w:cstheme="minorHAnsi"/>
          <w:color w:val="000000" w:themeColor="text1"/>
          <w:sz w:val="20"/>
          <w:szCs w:val="20"/>
          <w:lang w:val="en-US" w:eastAsia="en-US"/>
        </w:rPr>
        <w:t>,</w:t>
      </w:r>
      <w:r w:rsidRPr="00892CA6">
        <w:rPr>
          <w:rFonts w:ascii="Verdana" w:eastAsiaTheme="minorHAnsi" w:hAnsi="Verdana" w:cstheme="minorHAnsi"/>
          <w:color w:val="000000" w:themeColor="text1"/>
          <w:sz w:val="20"/>
          <w:szCs w:val="20"/>
          <w:lang w:val="en-US" w:eastAsia="en-US"/>
        </w:rPr>
        <w:t xml:space="preserve"> inform and assist </w:t>
      </w:r>
      <w:r w:rsidR="00F42DFE" w:rsidRPr="00892CA6">
        <w:rPr>
          <w:rFonts w:ascii="Verdana" w:eastAsiaTheme="minorHAnsi" w:hAnsi="Verdana" w:cstheme="minorHAnsi"/>
          <w:color w:val="000000" w:themeColor="text1"/>
          <w:sz w:val="20"/>
          <w:szCs w:val="20"/>
          <w:lang w:val="en-US" w:eastAsia="en-US"/>
        </w:rPr>
        <w:t>Anti-Money Laundering/Counter-Financing of Terrorism (“</w:t>
      </w:r>
      <w:r w:rsidRPr="00892CA6">
        <w:rPr>
          <w:rFonts w:ascii="Verdana" w:eastAsiaTheme="minorHAnsi" w:hAnsi="Verdana" w:cstheme="minorHAnsi"/>
          <w:color w:val="000000" w:themeColor="text1"/>
          <w:sz w:val="20"/>
          <w:szCs w:val="20"/>
          <w:lang w:val="en-US" w:eastAsia="en-US"/>
        </w:rPr>
        <w:t>AML/CFT</w:t>
      </w:r>
      <w:r w:rsidR="00F42DFE" w:rsidRPr="00892CA6">
        <w:rPr>
          <w:rFonts w:ascii="Verdana" w:eastAsiaTheme="minorHAnsi" w:hAnsi="Verdana" w:cstheme="minorHAnsi"/>
          <w:color w:val="000000" w:themeColor="text1"/>
          <w:sz w:val="20"/>
          <w:szCs w:val="20"/>
          <w:lang w:val="en-US" w:eastAsia="en-US"/>
        </w:rPr>
        <w:t>”)</w:t>
      </w:r>
      <w:r w:rsidRPr="00892CA6">
        <w:rPr>
          <w:rFonts w:ascii="Verdana" w:eastAsiaTheme="minorHAnsi" w:hAnsi="Verdana" w:cstheme="minorHAnsi"/>
          <w:color w:val="000000" w:themeColor="text1"/>
          <w:sz w:val="20"/>
          <w:szCs w:val="20"/>
          <w:lang w:val="en-US" w:eastAsia="en-US"/>
        </w:rPr>
        <w:t xml:space="preserve"> policy making and supervision. </w:t>
      </w:r>
    </w:p>
    <w:p w14:paraId="1E86A3AA" w14:textId="45561AE9" w:rsidR="00EC5005" w:rsidRPr="00892CA6" w:rsidRDefault="00B00989"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data utilized in this MSB Sector Risk Assessment was collected from the CIMA licensed MSBs as part of the Annual AML/CFT surveys and the quarterly remittances reports submitted by the MSBs to CIMA.  Other data sources utilized include: </w:t>
      </w:r>
    </w:p>
    <w:p w14:paraId="2E41814F" w14:textId="41F20E20" w:rsidR="00EC5005" w:rsidRPr="00892CA6" w:rsidRDefault="00EC5005" w:rsidP="0090487E">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The National Risk Assessment</w:t>
      </w:r>
      <w:r w:rsidR="00A16B1B" w:rsidRPr="00892CA6">
        <w:rPr>
          <w:rFonts w:ascii="Verdana" w:eastAsiaTheme="minorHAnsi" w:hAnsi="Verdana" w:cstheme="minorHAnsi"/>
          <w:color w:val="000000" w:themeColor="text1"/>
          <w:sz w:val="20"/>
          <w:szCs w:val="20"/>
          <w:lang w:val="en-US" w:eastAsia="en-US"/>
        </w:rPr>
        <w:t>;</w:t>
      </w:r>
      <w:r w:rsidRPr="00892CA6">
        <w:rPr>
          <w:rFonts w:ascii="Verdana" w:eastAsiaTheme="minorHAnsi" w:hAnsi="Verdana" w:cstheme="minorHAnsi"/>
          <w:color w:val="000000" w:themeColor="text1"/>
          <w:sz w:val="20"/>
          <w:szCs w:val="20"/>
          <w:lang w:val="en-US" w:eastAsia="en-US"/>
        </w:rPr>
        <w:t xml:space="preserve"> </w:t>
      </w:r>
    </w:p>
    <w:p w14:paraId="05A90990" w14:textId="692EB05C" w:rsidR="00EC5005" w:rsidRPr="00892CA6" w:rsidRDefault="00392C3F" w:rsidP="0090487E">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I</w:t>
      </w:r>
      <w:r w:rsidR="00EC5005" w:rsidRPr="00892CA6">
        <w:rPr>
          <w:rFonts w:ascii="Verdana" w:eastAsiaTheme="minorHAnsi" w:hAnsi="Verdana" w:cstheme="minorHAnsi"/>
          <w:color w:val="000000" w:themeColor="text1"/>
          <w:sz w:val="20"/>
          <w:szCs w:val="20"/>
          <w:lang w:val="en-US" w:eastAsia="en-US"/>
        </w:rPr>
        <w:t>nternational guidance document</w:t>
      </w:r>
      <w:r w:rsidR="00A16B1B" w:rsidRPr="00892CA6">
        <w:rPr>
          <w:rFonts w:ascii="Verdana" w:eastAsiaTheme="minorHAnsi" w:hAnsi="Verdana" w:cstheme="minorHAnsi"/>
          <w:color w:val="000000" w:themeColor="text1"/>
          <w:sz w:val="20"/>
          <w:szCs w:val="20"/>
          <w:lang w:val="en-US" w:eastAsia="en-US"/>
        </w:rPr>
        <w:t>s</w:t>
      </w:r>
      <w:r w:rsidR="008F0348">
        <w:rPr>
          <w:rFonts w:ascii="Verdana" w:eastAsiaTheme="minorHAnsi" w:hAnsi="Verdana" w:cstheme="minorHAnsi"/>
          <w:color w:val="000000" w:themeColor="text1"/>
          <w:sz w:val="20"/>
          <w:szCs w:val="20"/>
          <w:lang w:val="en-US" w:eastAsia="en-US"/>
        </w:rPr>
        <w:t xml:space="preserve"> </w:t>
      </w:r>
      <w:r w:rsidR="008F0348" w:rsidRPr="00116BC6">
        <w:rPr>
          <w:rFonts w:ascii="Verdana" w:hAnsi="Verdana" w:cstheme="minorHAnsi"/>
          <w:color w:val="000000" w:themeColor="text1"/>
          <w:sz w:val="20"/>
          <w:szCs w:val="20"/>
          <w:lang w:val="en-US"/>
        </w:rPr>
        <w:t xml:space="preserve">such as </w:t>
      </w:r>
      <w:r w:rsidR="008F0348" w:rsidRPr="00116BC6">
        <w:rPr>
          <w:rFonts w:ascii="Verdana" w:hAnsi="Verdana" w:cstheme="minorHAnsi"/>
          <w:i/>
          <w:iCs/>
          <w:color w:val="000000" w:themeColor="text1"/>
          <w:sz w:val="20"/>
          <w:szCs w:val="20"/>
          <w:lang w:val="en-US"/>
        </w:rPr>
        <w:t xml:space="preserve">FATF </w:t>
      </w:r>
      <w:r w:rsidR="008F0348" w:rsidRPr="00116BC6">
        <w:rPr>
          <w:rFonts w:ascii="Verdana" w:hAnsi="Verdana" w:cstheme="minorHAnsi"/>
          <w:i/>
          <w:color w:val="000000" w:themeColor="text1"/>
          <w:sz w:val="20"/>
          <w:szCs w:val="20"/>
          <w:lang w:val="en-US"/>
        </w:rPr>
        <w:t>Guidance for a Risk-Based Approach; Money or Value Transfer Services</w:t>
      </w:r>
      <w:r w:rsidR="008F0348" w:rsidRPr="00116BC6">
        <w:rPr>
          <w:rStyle w:val="FootnoteReference"/>
          <w:rFonts w:ascii="Verdana" w:hAnsi="Verdana" w:cstheme="minorHAnsi"/>
          <w:color w:val="000000" w:themeColor="text1"/>
          <w:sz w:val="16"/>
          <w:szCs w:val="16"/>
          <w:lang w:val="en-US"/>
        </w:rPr>
        <w:footnoteReference w:id="1"/>
      </w:r>
      <w:r w:rsidR="00A16B1B" w:rsidRPr="00892CA6">
        <w:rPr>
          <w:rFonts w:ascii="Verdana" w:eastAsiaTheme="minorHAnsi" w:hAnsi="Verdana" w:cstheme="minorHAnsi"/>
          <w:color w:val="000000" w:themeColor="text1"/>
          <w:sz w:val="20"/>
          <w:szCs w:val="20"/>
          <w:lang w:val="en-US" w:eastAsia="en-US"/>
        </w:rPr>
        <w:t>;</w:t>
      </w:r>
      <w:r w:rsidR="00EC5005" w:rsidRPr="00892CA6">
        <w:rPr>
          <w:rFonts w:ascii="Verdana" w:eastAsiaTheme="minorHAnsi" w:hAnsi="Verdana" w:cstheme="minorHAnsi"/>
          <w:color w:val="000000" w:themeColor="text1"/>
          <w:sz w:val="20"/>
          <w:szCs w:val="20"/>
          <w:lang w:val="en-US" w:eastAsia="en-US"/>
        </w:rPr>
        <w:t xml:space="preserve"> </w:t>
      </w:r>
    </w:p>
    <w:p w14:paraId="4D473840" w14:textId="5C7D0169" w:rsidR="00EC5005" w:rsidRPr="00892CA6" w:rsidRDefault="00042D50" w:rsidP="0090487E">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Supervisory judgment and expertise by </w:t>
      </w:r>
      <w:r w:rsidR="00EC5005" w:rsidRPr="00892CA6">
        <w:rPr>
          <w:rFonts w:ascii="Verdana" w:eastAsiaTheme="minorHAnsi" w:hAnsi="Verdana" w:cstheme="minorHAnsi"/>
          <w:color w:val="000000" w:themeColor="text1"/>
          <w:sz w:val="20"/>
          <w:szCs w:val="20"/>
          <w:lang w:val="en-US" w:eastAsia="en-US"/>
        </w:rPr>
        <w:t xml:space="preserve">CIMA </w:t>
      </w:r>
      <w:r w:rsidRPr="00892CA6">
        <w:rPr>
          <w:rFonts w:ascii="Verdana" w:eastAsiaTheme="minorHAnsi" w:hAnsi="Verdana" w:cstheme="minorHAnsi"/>
          <w:color w:val="000000" w:themeColor="text1"/>
          <w:sz w:val="20"/>
          <w:szCs w:val="20"/>
          <w:lang w:val="en-US" w:eastAsia="en-US"/>
        </w:rPr>
        <w:t>staff</w:t>
      </w:r>
      <w:r w:rsidR="00A16B1B" w:rsidRPr="00892CA6">
        <w:rPr>
          <w:rFonts w:ascii="Verdana" w:eastAsiaTheme="minorHAnsi" w:hAnsi="Verdana" w:cstheme="minorHAnsi"/>
          <w:color w:val="000000" w:themeColor="text1"/>
          <w:sz w:val="20"/>
          <w:szCs w:val="20"/>
          <w:lang w:val="en-US" w:eastAsia="en-US"/>
        </w:rPr>
        <w:t>;</w:t>
      </w:r>
    </w:p>
    <w:p w14:paraId="6C734E10" w14:textId="42AC002C" w:rsidR="00EC5005" w:rsidRDefault="00EC5005" w:rsidP="0090487E">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Discussions with industry representatives and consultants</w:t>
      </w:r>
      <w:r w:rsidR="008F0348">
        <w:rPr>
          <w:rFonts w:ascii="Verdana" w:eastAsiaTheme="minorHAnsi" w:hAnsi="Verdana" w:cstheme="minorHAnsi"/>
          <w:color w:val="000000" w:themeColor="text1"/>
          <w:sz w:val="20"/>
          <w:szCs w:val="20"/>
          <w:lang w:val="en-US" w:eastAsia="en-US"/>
        </w:rPr>
        <w:t>; and</w:t>
      </w:r>
      <w:r w:rsidRPr="00892CA6">
        <w:rPr>
          <w:rFonts w:ascii="Verdana" w:eastAsiaTheme="minorHAnsi" w:hAnsi="Verdana" w:cstheme="minorHAnsi"/>
          <w:color w:val="000000" w:themeColor="text1"/>
          <w:sz w:val="20"/>
          <w:szCs w:val="20"/>
          <w:lang w:val="en-US" w:eastAsia="en-US"/>
        </w:rPr>
        <w:t xml:space="preserve"> </w:t>
      </w:r>
    </w:p>
    <w:p w14:paraId="78B5FC29" w14:textId="1610930C" w:rsidR="008F0348" w:rsidRPr="00116BC6" w:rsidRDefault="008F0348" w:rsidP="008F0348">
      <w:pPr>
        <w:pStyle w:val="ListParagraph"/>
        <w:numPr>
          <w:ilvl w:val="0"/>
          <w:numId w:val="4"/>
        </w:numPr>
        <w:rPr>
          <w:rFonts w:ascii="Verdana" w:hAnsi="Verdana" w:cstheme="minorHAnsi"/>
          <w:sz w:val="20"/>
          <w:szCs w:val="20"/>
        </w:rPr>
      </w:pPr>
      <w:r>
        <w:rPr>
          <w:rFonts w:ascii="Verdana" w:hAnsi="Verdana" w:cstheme="minorHAnsi"/>
          <w:color w:val="000000" w:themeColor="text1"/>
          <w:sz w:val="20"/>
          <w:szCs w:val="20"/>
          <w:lang w:val="en-US"/>
        </w:rPr>
        <w:t>V</w:t>
      </w:r>
      <w:r w:rsidRPr="00116BC6">
        <w:rPr>
          <w:rFonts w:ascii="Verdana" w:hAnsi="Verdana" w:cstheme="minorHAnsi"/>
          <w:color w:val="000000" w:themeColor="text1"/>
          <w:sz w:val="20"/>
          <w:szCs w:val="20"/>
          <w:lang w:val="en-US"/>
        </w:rPr>
        <w:t>arious guidance documents issued by CIMA</w:t>
      </w:r>
      <w:r w:rsidRPr="00116BC6">
        <w:rPr>
          <w:rStyle w:val="FootnoteReference"/>
          <w:rFonts w:ascii="Verdana" w:hAnsi="Verdana" w:cstheme="minorHAnsi"/>
          <w:color w:val="000000" w:themeColor="text1"/>
          <w:sz w:val="16"/>
          <w:szCs w:val="16"/>
          <w:lang w:val="en-US"/>
        </w:rPr>
        <w:footnoteReference w:id="2"/>
      </w:r>
      <w:r w:rsidRPr="00116BC6">
        <w:rPr>
          <w:rFonts w:ascii="Verdana" w:hAnsi="Verdana" w:cstheme="minorHAnsi"/>
          <w:color w:val="000000" w:themeColor="text1"/>
          <w:sz w:val="20"/>
          <w:szCs w:val="20"/>
          <w:lang w:val="en-US"/>
        </w:rPr>
        <w:t>.</w:t>
      </w:r>
    </w:p>
    <w:p w14:paraId="27D62B8A" w14:textId="15F03A12" w:rsidR="005E789C" w:rsidRDefault="005E789C"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w:t>
      </w:r>
      <w:r w:rsidR="00B00989" w:rsidRPr="00892CA6">
        <w:rPr>
          <w:rFonts w:ascii="Verdana" w:eastAsiaTheme="minorHAnsi" w:hAnsi="Verdana" w:cstheme="minorHAnsi"/>
          <w:color w:val="000000" w:themeColor="text1"/>
          <w:sz w:val="20"/>
          <w:szCs w:val="20"/>
          <w:lang w:val="en-US" w:eastAsia="en-US"/>
        </w:rPr>
        <w:t xml:space="preserve">MSBs </w:t>
      </w:r>
      <w:r w:rsidRPr="00892CA6">
        <w:rPr>
          <w:rFonts w:ascii="Verdana" w:eastAsiaTheme="minorHAnsi" w:hAnsi="Verdana" w:cstheme="minorHAnsi"/>
          <w:color w:val="000000" w:themeColor="text1"/>
          <w:sz w:val="20"/>
          <w:szCs w:val="20"/>
          <w:lang w:val="en-US" w:eastAsia="en-US"/>
        </w:rPr>
        <w:t xml:space="preserve">Sector Risk Assessment is not intended to cover risks that may be specific to the circumstances of individual </w:t>
      </w:r>
      <w:r w:rsidR="008F0348" w:rsidRPr="008A39DD">
        <w:rPr>
          <w:rFonts w:ascii="Verdana" w:eastAsiaTheme="minorHAnsi" w:hAnsi="Verdana" w:cstheme="minorHAnsi"/>
          <w:color w:val="000000" w:themeColor="text1"/>
          <w:sz w:val="20"/>
          <w:szCs w:val="20"/>
          <w:lang w:val="en-US" w:eastAsia="en-US"/>
        </w:rPr>
        <w:t>MSBs</w:t>
      </w:r>
      <w:r w:rsidR="008F0348">
        <w:rPr>
          <w:rFonts w:ascii="Verdana" w:eastAsiaTheme="minorHAnsi" w:hAnsi="Verdana" w:cstheme="minorHAnsi"/>
          <w:color w:val="000000" w:themeColor="text1"/>
          <w:sz w:val="20"/>
          <w:szCs w:val="20"/>
          <w:lang w:val="en-US" w:eastAsia="en-US"/>
        </w:rPr>
        <w:t xml:space="preserve"> but</w:t>
      </w:r>
      <w:r w:rsidR="00A16B1B" w:rsidRPr="00892CA6">
        <w:rPr>
          <w:rFonts w:ascii="Verdana" w:eastAsiaTheme="minorHAnsi" w:hAnsi="Verdana" w:cstheme="minorHAnsi"/>
          <w:color w:val="000000" w:themeColor="text1"/>
          <w:sz w:val="20"/>
          <w:szCs w:val="20"/>
          <w:lang w:val="en-US" w:eastAsia="en-US"/>
        </w:rPr>
        <w:t xml:space="preserve"> evaluates risks from a </w:t>
      </w:r>
      <w:r w:rsidR="00737EEC" w:rsidRPr="00892CA6">
        <w:rPr>
          <w:rFonts w:ascii="Verdana" w:eastAsiaTheme="minorHAnsi" w:hAnsi="Verdana" w:cstheme="minorHAnsi"/>
          <w:color w:val="000000" w:themeColor="text1"/>
          <w:sz w:val="20"/>
          <w:szCs w:val="20"/>
          <w:lang w:val="en-US" w:eastAsia="en-US"/>
        </w:rPr>
        <w:t xml:space="preserve">sectoral </w:t>
      </w:r>
      <w:r w:rsidR="00A16B1B" w:rsidRPr="00892CA6">
        <w:rPr>
          <w:rFonts w:ascii="Verdana" w:eastAsiaTheme="minorHAnsi" w:hAnsi="Verdana" w:cstheme="minorHAnsi"/>
          <w:color w:val="000000" w:themeColor="text1"/>
          <w:sz w:val="20"/>
          <w:szCs w:val="20"/>
          <w:lang w:val="en-US" w:eastAsia="en-US"/>
        </w:rPr>
        <w:t>perspective</w:t>
      </w:r>
      <w:r w:rsidRPr="00892CA6">
        <w:rPr>
          <w:rFonts w:ascii="Verdana" w:eastAsiaTheme="minorHAnsi" w:hAnsi="Verdana" w:cstheme="minorHAnsi"/>
          <w:color w:val="000000" w:themeColor="text1"/>
          <w:sz w:val="20"/>
          <w:szCs w:val="20"/>
          <w:lang w:val="en-US" w:eastAsia="en-US"/>
        </w:rPr>
        <w:t xml:space="preserve">. </w:t>
      </w:r>
      <w:r w:rsidR="006363B7">
        <w:rPr>
          <w:rFonts w:ascii="Verdana" w:eastAsiaTheme="minorHAnsi" w:hAnsi="Verdana" w:cstheme="minorHAnsi"/>
          <w:color w:val="000000" w:themeColor="text1"/>
          <w:sz w:val="20"/>
          <w:szCs w:val="20"/>
          <w:lang w:val="en-US" w:eastAsia="en-US"/>
        </w:rPr>
        <w:t xml:space="preserve">Additionally, it </w:t>
      </w:r>
      <w:r w:rsidR="00A16B1B" w:rsidRPr="00892CA6">
        <w:rPr>
          <w:rFonts w:ascii="Verdana" w:eastAsiaTheme="minorHAnsi" w:hAnsi="Verdana" w:cstheme="minorHAnsi"/>
          <w:color w:val="000000" w:themeColor="text1"/>
          <w:sz w:val="20"/>
          <w:szCs w:val="20"/>
          <w:lang w:val="en-US" w:eastAsia="en-US"/>
        </w:rPr>
        <w:t xml:space="preserve">does not assess any types of risks other than those </w:t>
      </w:r>
      <w:r w:rsidRPr="00892CA6">
        <w:rPr>
          <w:rFonts w:ascii="Verdana" w:eastAsiaTheme="minorHAnsi" w:hAnsi="Verdana" w:cstheme="minorHAnsi"/>
          <w:color w:val="000000" w:themeColor="text1"/>
          <w:sz w:val="20"/>
          <w:szCs w:val="20"/>
          <w:lang w:val="en-US" w:eastAsia="en-US"/>
        </w:rPr>
        <w:t xml:space="preserve">relating to </w:t>
      </w:r>
      <w:r w:rsidR="006363B7">
        <w:rPr>
          <w:rFonts w:ascii="Verdana" w:eastAsiaTheme="minorHAnsi" w:hAnsi="Verdana" w:cstheme="minorHAnsi"/>
          <w:color w:val="000000" w:themeColor="text1"/>
          <w:sz w:val="20"/>
          <w:szCs w:val="20"/>
          <w:lang w:val="en-US" w:eastAsia="en-US"/>
        </w:rPr>
        <w:t>ML/TF</w:t>
      </w:r>
      <w:r w:rsidRPr="00892CA6">
        <w:rPr>
          <w:rFonts w:ascii="Verdana" w:eastAsiaTheme="minorHAnsi" w:hAnsi="Verdana" w:cstheme="minorHAnsi"/>
          <w:color w:val="000000" w:themeColor="text1"/>
          <w:sz w:val="20"/>
          <w:szCs w:val="20"/>
          <w:lang w:val="en-US" w:eastAsia="en-US"/>
        </w:rPr>
        <w:t>.</w:t>
      </w:r>
    </w:p>
    <w:p w14:paraId="3BF08A86" w14:textId="77777777" w:rsidR="00892CA6" w:rsidRPr="00892CA6" w:rsidRDefault="00892CA6" w:rsidP="00892CA6">
      <w:pPr>
        <w:pStyle w:val="Heading2"/>
        <w:numPr>
          <w:ilvl w:val="0"/>
          <w:numId w:val="0"/>
        </w:numPr>
        <w:spacing w:line="276" w:lineRule="auto"/>
        <w:ind w:right="-6"/>
        <w:jc w:val="both"/>
        <w:rPr>
          <w:rFonts w:ascii="Verdana" w:eastAsiaTheme="minorHAnsi" w:hAnsi="Verdana" w:cstheme="minorHAnsi"/>
          <w:color w:val="000000" w:themeColor="text1"/>
          <w:sz w:val="20"/>
          <w:szCs w:val="20"/>
          <w:lang w:val="en-US" w:eastAsia="en-US"/>
        </w:rPr>
      </w:pPr>
    </w:p>
    <w:p w14:paraId="6B8B511F" w14:textId="77777777" w:rsidR="00FC307D" w:rsidRPr="00892CA6" w:rsidRDefault="00FC307D" w:rsidP="00FC307D">
      <w:pPr>
        <w:pStyle w:val="Heading2"/>
        <w:rPr>
          <w:rFonts w:ascii="Verdana" w:hAnsi="Verdana" w:cstheme="minorHAnsi"/>
          <w:b/>
          <w:bCs/>
          <w:sz w:val="20"/>
          <w:szCs w:val="20"/>
          <w:lang w:val="en-US"/>
        </w:rPr>
      </w:pPr>
      <w:r w:rsidRPr="00892CA6">
        <w:rPr>
          <w:rFonts w:ascii="Verdana" w:hAnsi="Verdana" w:cstheme="minorHAnsi"/>
          <w:b/>
          <w:bCs/>
          <w:sz w:val="20"/>
          <w:szCs w:val="20"/>
          <w:lang w:val="en-US"/>
        </w:rPr>
        <w:t>Risk Assessment Methodology</w:t>
      </w:r>
    </w:p>
    <w:p w14:paraId="5AB40739" w14:textId="2284CF6F" w:rsidR="00FC307D" w:rsidRPr="00892CA6" w:rsidRDefault="00FC307D" w:rsidP="00FC307D">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w:t>
      </w:r>
      <w:r w:rsidR="00B00989" w:rsidRPr="00892CA6">
        <w:rPr>
          <w:rFonts w:ascii="Verdana" w:eastAsiaTheme="minorHAnsi" w:hAnsi="Verdana" w:cstheme="minorHAnsi"/>
          <w:color w:val="000000" w:themeColor="text1"/>
          <w:sz w:val="20"/>
          <w:szCs w:val="20"/>
          <w:lang w:val="en-US" w:eastAsia="en-US"/>
        </w:rPr>
        <w:t xml:space="preserve">MSB </w:t>
      </w:r>
      <w:r w:rsidRPr="00892CA6">
        <w:rPr>
          <w:rFonts w:ascii="Verdana" w:eastAsiaTheme="minorHAnsi" w:hAnsi="Verdana" w:cstheme="minorHAnsi"/>
          <w:color w:val="000000" w:themeColor="text1"/>
          <w:sz w:val="20"/>
          <w:szCs w:val="20"/>
          <w:lang w:val="en-US" w:eastAsia="en-US"/>
        </w:rPr>
        <w:t xml:space="preserve">Sector Risk Assessment examines the inherent ML/TF risks </w:t>
      </w:r>
      <w:r w:rsidR="00DE35F7">
        <w:rPr>
          <w:rFonts w:ascii="Verdana" w:eastAsiaTheme="minorHAnsi" w:hAnsi="Verdana" w:cstheme="minorHAnsi"/>
          <w:color w:val="000000" w:themeColor="text1"/>
          <w:sz w:val="20"/>
          <w:szCs w:val="20"/>
          <w:lang w:val="en-US" w:eastAsia="en-US"/>
        </w:rPr>
        <w:t>to which the</w:t>
      </w:r>
      <w:r w:rsidR="00A16B1B" w:rsidRPr="00892CA6">
        <w:rPr>
          <w:rFonts w:ascii="Verdana" w:eastAsiaTheme="minorHAnsi" w:hAnsi="Verdana" w:cstheme="minorHAnsi"/>
          <w:color w:val="000000" w:themeColor="text1"/>
          <w:sz w:val="20"/>
          <w:szCs w:val="20"/>
          <w:lang w:val="en-US" w:eastAsia="en-US"/>
        </w:rPr>
        <w:t xml:space="preserve"> Cayman Islands</w:t>
      </w:r>
      <w:r w:rsidRPr="00892CA6">
        <w:rPr>
          <w:rFonts w:ascii="Verdana" w:eastAsiaTheme="minorHAnsi" w:hAnsi="Verdana" w:cstheme="minorHAnsi"/>
          <w:color w:val="000000" w:themeColor="text1"/>
          <w:sz w:val="20"/>
          <w:szCs w:val="20"/>
          <w:lang w:val="en-US" w:eastAsia="en-US"/>
        </w:rPr>
        <w:t xml:space="preserve"> </w:t>
      </w:r>
      <w:r w:rsidR="00B00989" w:rsidRPr="00892CA6">
        <w:rPr>
          <w:rFonts w:ascii="Verdana" w:eastAsiaTheme="minorHAnsi" w:hAnsi="Verdana" w:cstheme="minorHAnsi"/>
          <w:color w:val="000000" w:themeColor="text1"/>
          <w:sz w:val="20"/>
          <w:szCs w:val="20"/>
          <w:lang w:val="en-US" w:eastAsia="en-US"/>
        </w:rPr>
        <w:t>MSB</w:t>
      </w:r>
      <w:r w:rsidRPr="00892CA6">
        <w:rPr>
          <w:rFonts w:ascii="Verdana" w:eastAsiaTheme="minorHAnsi" w:hAnsi="Verdana" w:cstheme="minorHAnsi"/>
          <w:color w:val="000000" w:themeColor="text1"/>
          <w:sz w:val="20"/>
          <w:szCs w:val="20"/>
          <w:lang w:val="en-US" w:eastAsia="en-US"/>
        </w:rPr>
        <w:t xml:space="preserve"> sector </w:t>
      </w:r>
      <w:r w:rsidR="006363B7">
        <w:rPr>
          <w:rFonts w:ascii="Verdana" w:eastAsiaTheme="minorHAnsi" w:hAnsi="Verdana" w:cstheme="minorHAnsi"/>
          <w:color w:val="000000" w:themeColor="text1"/>
          <w:sz w:val="20"/>
          <w:szCs w:val="20"/>
          <w:lang w:val="en-US" w:eastAsia="en-US"/>
        </w:rPr>
        <w:t>is exposed</w:t>
      </w:r>
      <w:r w:rsidRPr="00892CA6">
        <w:rPr>
          <w:rFonts w:ascii="Verdana" w:eastAsiaTheme="minorHAnsi" w:hAnsi="Verdana" w:cstheme="minorHAnsi"/>
          <w:color w:val="000000" w:themeColor="text1"/>
          <w:sz w:val="20"/>
          <w:szCs w:val="20"/>
          <w:lang w:val="en-US" w:eastAsia="en-US"/>
        </w:rPr>
        <w:t xml:space="preserve">. Inherent risk is the risk that a particular product/service, customer, delivery channel or activity poses, regardless of the </w:t>
      </w:r>
      <w:r w:rsidR="00B00989" w:rsidRPr="00892CA6">
        <w:rPr>
          <w:rFonts w:ascii="Verdana" w:eastAsiaTheme="minorHAnsi" w:hAnsi="Verdana" w:cstheme="minorHAnsi"/>
          <w:color w:val="000000" w:themeColor="text1"/>
          <w:sz w:val="20"/>
          <w:szCs w:val="20"/>
          <w:lang w:val="en-US" w:eastAsia="en-US"/>
        </w:rPr>
        <w:t xml:space="preserve">entity </w:t>
      </w:r>
      <w:r w:rsidRPr="00892CA6">
        <w:rPr>
          <w:rFonts w:ascii="Verdana" w:eastAsiaTheme="minorHAnsi" w:hAnsi="Verdana" w:cstheme="minorHAnsi"/>
          <w:color w:val="000000" w:themeColor="text1"/>
          <w:sz w:val="20"/>
          <w:szCs w:val="20"/>
          <w:lang w:val="en-US" w:eastAsia="en-US"/>
        </w:rPr>
        <w:t xml:space="preserve">that offers it and not </w:t>
      </w:r>
      <w:r w:rsidR="009602A1" w:rsidRPr="00892CA6">
        <w:rPr>
          <w:rFonts w:ascii="Verdana" w:eastAsiaTheme="minorHAnsi" w:hAnsi="Verdana" w:cstheme="minorHAnsi"/>
          <w:color w:val="000000" w:themeColor="text1"/>
          <w:sz w:val="20"/>
          <w:szCs w:val="20"/>
          <w:lang w:val="en-US" w:eastAsia="en-US"/>
        </w:rPr>
        <w:t>considering</w:t>
      </w:r>
      <w:r w:rsidRPr="00892CA6">
        <w:rPr>
          <w:rFonts w:ascii="Verdana" w:eastAsiaTheme="minorHAnsi" w:hAnsi="Verdana" w:cstheme="minorHAnsi"/>
          <w:color w:val="000000" w:themeColor="text1"/>
          <w:sz w:val="20"/>
          <w:szCs w:val="20"/>
          <w:lang w:val="en-US" w:eastAsia="en-US"/>
        </w:rPr>
        <w:t xml:space="preserve"> any risk mitigating controls that may be in place. This approach allows for the creation of peer groups and for the </w:t>
      </w:r>
      <w:r w:rsidR="00F42DFE" w:rsidRPr="00892CA6">
        <w:rPr>
          <w:rFonts w:ascii="Verdana" w:eastAsiaTheme="minorHAnsi" w:hAnsi="Verdana" w:cstheme="minorHAnsi"/>
          <w:color w:val="000000" w:themeColor="text1"/>
          <w:sz w:val="20"/>
          <w:szCs w:val="20"/>
          <w:lang w:val="en-US" w:eastAsia="en-US"/>
        </w:rPr>
        <w:t>benchmarking</w:t>
      </w:r>
      <w:r w:rsidRPr="00892CA6">
        <w:rPr>
          <w:rFonts w:ascii="Verdana" w:eastAsiaTheme="minorHAnsi" w:hAnsi="Verdana" w:cstheme="minorHAnsi"/>
          <w:color w:val="000000" w:themeColor="text1"/>
          <w:sz w:val="20"/>
          <w:szCs w:val="20"/>
          <w:lang w:val="en-US" w:eastAsia="en-US"/>
        </w:rPr>
        <w:t xml:space="preserve"> of expected </w:t>
      </w:r>
      <w:r w:rsidRPr="00892CA6">
        <w:rPr>
          <w:rFonts w:ascii="Verdana" w:eastAsiaTheme="minorHAnsi" w:hAnsi="Verdana" w:cstheme="minorHAnsi"/>
          <w:color w:val="000000" w:themeColor="text1"/>
          <w:sz w:val="20"/>
          <w:szCs w:val="20"/>
          <w:lang w:val="en-US" w:eastAsia="en-US"/>
        </w:rPr>
        <w:lastRenderedPageBreak/>
        <w:t xml:space="preserve">controls. The actual controls will vary significantly from </w:t>
      </w:r>
      <w:r w:rsidR="00B00989" w:rsidRPr="00892CA6">
        <w:rPr>
          <w:rFonts w:ascii="Verdana" w:eastAsiaTheme="minorHAnsi" w:hAnsi="Verdana" w:cstheme="minorHAnsi"/>
          <w:color w:val="000000" w:themeColor="text1"/>
          <w:sz w:val="20"/>
          <w:szCs w:val="20"/>
          <w:lang w:val="en-US" w:eastAsia="en-US"/>
        </w:rPr>
        <w:t xml:space="preserve">MSB </w:t>
      </w:r>
      <w:r w:rsidRPr="00892CA6">
        <w:rPr>
          <w:rFonts w:ascii="Verdana" w:eastAsiaTheme="minorHAnsi" w:hAnsi="Verdana" w:cstheme="minorHAnsi"/>
          <w:color w:val="000000" w:themeColor="text1"/>
          <w:sz w:val="20"/>
          <w:szCs w:val="20"/>
          <w:lang w:val="en-US" w:eastAsia="en-US"/>
        </w:rPr>
        <w:t xml:space="preserve">to </w:t>
      </w:r>
      <w:r w:rsidR="00B00989" w:rsidRPr="00892CA6">
        <w:rPr>
          <w:rFonts w:ascii="Verdana" w:eastAsiaTheme="minorHAnsi" w:hAnsi="Verdana" w:cstheme="minorHAnsi"/>
          <w:color w:val="000000" w:themeColor="text1"/>
          <w:sz w:val="20"/>
          <w:szCs w:val="20"/>
          <w:lang w:val="en-US" w:eastAsia="en-US"/>
        </w:rPr>
        <w:t xml:space="preserve">MSB </w:t>
      </w:r>
      <w:r w:rsidRPr="00892CA6">
        <w:rPr>
          <w:rFonts w:ascii="Verdana" w:eastAsiaTheme="minorHAnsi" w:hAnsi="Verdana" w:cstheme="minorHAnsi"/>
          <w:color w:val="000000" w:themeColor="text1"/>
          <w:sz w:val="20"/>
          <w:szCs w:val="20"/>
          <w:lang w:val="en-US" w:eastAsia="en-US"/>
        </w:rPr>
        <w:t xml:space="preserve">and </w:t>
      </w:r>
      <w:r w:rsidR="00A16B1B" w:rsidRPr="00892CA6">
        <w:rPr>
          <w:rFonts w:ascii="Verdana" w:eastAsiaTheme="minorHAnsi" w:hAnsi="Verdana" w:cstheme="minorHAnsi"/>
          <w:color w:val="000000" w:themeColor="text1"/>
          <w:sz w:val="20"/>
          <w:szCs w:val="20"/>
          <w:lang w:val="en-US" w:eastAsia="en-US"/>
        </w:rPr>
        <w:t>are</w:t>
      </w:r>
      <w:r w:rsidRPr="00892CA6">
        <w:rPr>
          <w:rFonts w:ascii="Verdana" w:eastAsiaTheme="minorHAnsi" w:hAnsi="Verdana" w:cstheme="minorHAnsi"/>
          <w:color w:val="000000" w:themeColor="text1"/>
          <w:sz w:val="20"/>
          <w:szCs w:val="20"/>
          <w:lang w:val="en-US" w:eastAsia="en-US"/>
        </w:rPr>
        <w:t xml:space="preserve"> expected to be commensurate with the inherent risk that each </w:t>
      </w:r>
      <w:r w:rsidR="00B00989" w:rsidRPr="00892CA6">
        <w:rPr>
          <w:rFonts w:ascii="Verdana" w:eastAsiaTheme="minorHAnsi" w:hAnsi="Verdana" w:cstheme="minorHAnsi"/>
          <w:color w:val="000000" w:themeColor="text1"/>
          <w:sz w:val="20"/>
          <w:szCs w:val="20"/>
          <w:lang w:val="en-US" w:eastAsia="en-US"/>
        </w:rPr>
        <w:t xml:space="preserve">MSB </w:t>
      </w:r>
      <w:r w:rsidR="00A35CCD">
        <w:rPr>
          <w:rFonts w:ascii="Verdana" w:eastAsiaTheme="minorHAnsi" w:hAnsi="Verdana" w:cstheme="minorHAnsi"/>
          <w:color w:val="000000" w:themeColor="text1"/>
          <w:sz w:val="20"/>
          <w:szCs w:val="20"/>
          <w:lang w:val="en-US" w:eastAsia="en-US"/>
        </w:rPr>
        <w:t>is exposed to</w:t>
      </w:r>
      <w:r w:rsidRPr="00892CA6">
        <w:rPr>
          <w:rFonts w:ascii="Verdana" w:eastAsiaTheme="minorHAnsi" w:hAnsi="Verdana" w:cstheme="minorHAnsi"/>
          <w:color w:val="000000" w:themeColor="text1"/>
          <w:sz w:val="20"/>
          <w:szCs w:val="20"/>
          <w:lang w:val="en-US" w:eastAsia="en-US"/>
        </w:rPr>
        <w:t xml:space="preserve">. </w:t>
      </w:r>
    </w:p>
    <w:p w14:paraId="47860460" w14:textId="77777777" w:rsidR="00FC307D" w:rsidRPr="00892CA6" w:rsidRDefault="00FC307D" w:rsidP="00FC307D">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Risk factors in the following categories are considered for purposes of this ML/TF risk assessment: </w:t>
      </w:r>
    </w:p>
    <w:p w14:paraId="63E9EBA3" w14:textId="5C169456" w:rsidR="005506E8" w:rsidRPr="00892CA6" w:rsidRDefault="005506E8" w:rsidP="00FC307D">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Nature, scale, diversity and complexity of the sector and its target markets</w:t>
      </w:r>
      <w:r w:rsidR="00A35CCD">
        <w:rPr>
          <w:rFonts w:ascii="Verdana" w:eastAsiaTheme="minorHAnsi" w:hAnsi="Verdana" w:cstheme="minorHAnsi"/>
          <w:color w:val="000000" w:themeColor="text1"/>
          <w:sz w:val="20"/>
          <w:szCs w:val="20"/>
          <w:lang w:val="en-US" w:eastAsia="en-US"/>
        </w:rPr>
        <w:t>;</w:t>
      </w:r>
    </w:p>
    <w:p w14:paraId="15C2FB67" w14:textId="625E720E" w:rsidR="00FC307D" w:rsidRPr="00892CA6" w:rsidRDefault="00FC307D" w:rsidP="00FC307D">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Types of customers</w:t>
      </w:r>
      <w:r w:rsidR="00A35CCD">
        <w:rPr>
          <w:rFonts w:ascii="Verdana" w:eastAsiaTheme="minorHAnsi" w:hAnsi="Verdana" w:cstheme="minorHAnsi"/>
          <w:color w:val="000000" w:themeColor="text1"/>
          <w:sz w:val="20"/>
          <w:szCs w:val="20"/>
          <w:lang w:val="en-US" w:eastAsia="en-US"/>
        </w:rPr>
        <w:t>;</w:t>
      </w:r>
    </w:p>
    <w:p w14:paraId="743361C7" w14:textId="61E5058F" w:rsidR="00FC307D" w:rsidRPr="00892CA6" w:rsidRDefault="00FC307D" w:rsidP="00FC307D">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Transactions</w:t>
      </w:r>
      <w:r w:rsidR="00737EEC" w:rsidRPr="00892CA6">
        <w:rPr>
          <w:rFonts w:ascii="Verdana" w:eastAsiaTheme="minorHAnsi" w:hAnsi="Verdana" w:cstheme="minorHAnsi"/>
          <w:color w:val="000000" w:themeColor="text1"/>
          <w:sz w:val="20"/>
          <w:szCs w:val="20"/>
          <w:lang w:val="en-US" w:eastAsia="en-US"/>
        </w:rPr>
        <w:t>, products and services</w:t>
      </w:r>
      <w:r w:rsidR="00A35CCD">
        <w:rPr>
          <w:rFonts w:ascii="Verdana" w:eastAsiaTheme="minorHAnsi" w:hAnsi="Verdana" w:cstheme="minorHAnsi"/>
          <w:color w:val="000000" w:themeColor="text1"/>
          <w:sz w:val="20"/>
          <w:szCs w:val="20"/>
          <w:lang w:val="en-US" w:eastAsia="en-US"/>
        </w:rPr>
        <w:t>; and</w:t>
      </w:r>
    </w:p>
    <w:p w14:paraId="5AC09BA5" w14:textId="2A1336B0" w:rsidR="00FC307D" w:rsidRPr="00892CA6" w:rsidRDefault="00FC307D" w:rsidP="00FC307D">
      <w:pPr>
        <w:pStyle w:val="Heading2"/>
        <w:numPr>
          <w:ilvl w:val="0"/>
          <w:numId w:val="4"/>
        </w:numPr>
        <w:spacing w:before="0" w:after="0" w:line="276" w:lineRule="auto"/>
        <w:ind w:left="714" w:right="-6" w:hanging="357"/>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Delivery channels</w:t>
      </w:r>
      <w:r w:rsidR="005506E8" w:rsidRPr="00892CA6">
        <w:rPr>
          <w:rFonts w:ascii="Verdana" w:eastAsiaTheme="minorHAnsi" w:hAnsi="Verdana" w:cstheme="minorHAnsi"/>
          <w:color w:val="000000" w:themeColor="text1"/>
          <w:sz w:val="20"/>
          <w:szCs w:val="20"/>
          <w:lang w:val="en-US" w:eastAsia="en-US"/>
        </w:rPr>
        <w:t>/agent risk</w:t>
      </w:r>
      <w:r w:rsidR="00A35CCD">
        <w:rPr>
          <w:rFonts w:ascii="Verdana" w:eastAsiaTheme="minorHAnsi" w:hAnsi="Verdana" w:cstheme="minorHAnsi"/>
          <w:color w:val="000000" w:themeColor="text1"/>
          <w:sz w:val="20"/>
          <w:szCs w:val="20"/>
          <w:lang w:val="en-US" w:eastAsia="en-US"/>
        </w:rPr>
        <w:t>.</w:t>
      </w:r>
    </w:p>
    <w:p w14:paraId="250F5B89" w14:textId="77777777" w:rsidR="00FC307D" w:rsidRPr="00892CA6" w:rsidRDefault="00FC307D" w:rsidP="00FC307D">
      <w:pPr>
        <w:pStyle w:val="Heading2"/>
        <w:numPr>
          <w:ilvl w:val="0"/>
          <w:numId w:val="0"/>
        </w:numPr>
        <w:spacing w:before="0" w:after="0" w:line="276" w:lineRule="auto"/>
        <w:ind w:left="357" w:right="-6"/>
        <w:jc w:val="both"/>
        <w:rPr>
          <w:rFonts w:ascii="Verdana" w:eastAsiaTheme="minorHAnsi" w:hAnsi="Verdana" w:cstheme="minorHAnsi"/>
          <w:color w:val="000000" w:themeColor="text1"/>
          <w:sz w:val="20"/>
          <w:szCs w:val="20"/>
          <w:lang w:val="en-US" w:eastAsia="en-US"/>
        </w:rPr>
      </w:pPr>
    </w:p>
    <w:p w14:paraId="7B0BEA95" w14:textId="69459E3A" w:rsidR="00A16B1B" w:rsidRPr="00892CA6" w:rsidRDefault="00FC307D" w:rsidP="00A16B1B">
      <w:pPr>
        <w:pStyle w:val="Heading2"/>
        <w:numPr>
          <w:ilvl w:val="0"/>
          <w:numId w:val="3"/>
        </w:numPr>
        <w:spacing w:before="0" w:after="0"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Geographical risk factors are considered in the context of each of the above </w:t>
      </w:r>
      <w:r w:rsidR="00A16B1B" w:rsidRPr="00892CA6">
        <w:rPr>
          <w:rFonts w:ascii="Verdana" w:eastAsiaTheme="minorHAnsi" w:hAnsi="Verdana" w:cstheme="minorHAnsi"/>
          <w:color w:val="000000" w:themeColor="text1"/>
          <w:sz w:val="20"/>
          <w:szCs w:val="20"/>
          <w:lang w:val="en-US" w:eastAsia="en-US"/>
        </w:rPr>
        <w:t xml:space="preserve">categories </w:t>
      </w:r>
      <w:r w:rsidRPr="00892CA6">
        <w:rPr>
          <w:rFonts w:ascii="Verdana" w:eastAsiaTheme="minorHAnsi" w:hAnsi="Verdana" w:cstheme="minorHAnsi"/>
          <w:color w:val="000000" w:themeColor="text1"/>
          <w:sz w:val="20"/>
          <w:szCs w:val="20"/>
          <w:lang w:val="en-US" w:eastAsia="en-US"/>
        </w:rPr>
        <w:t xml:space="preserve">as geography is an overarching dimension of all risk </w:t>
      </w:r>
      <w:r w:rsidR="00A16B1B" w:rsidRPr="00892CA6">
        <w:rPr>
          <w:rFonts w:ascii="Verdana" w:eastAsiaTheme="minorHAnsi" w:hAnsi="Verdana" w:cstheme="minorHAnsi"/>
          <w:color w:val="000000" w:themeColor="text1"/>
          <w:sz w:val="20"/>
          <w:szCs w:val="20"/>
          <w:lang w:val="en-US" w:eastAsia="en-US"/>
        </w:rPr>
        <w:t>categories</w:t>
      </w:r>
      <w:r w:rsidRPr="00892CA6">
        <w:rPr>
          <w:rFonts w:ascii="Verdana" w:eastAsiaTheme="minorHAnsi" w:hAnsi="Verdana" w:cstheme="minorHAnsi"/>
          <w:color w:val="000000" w:themeColor="text1"/>
          <w:sz w:val="20"/>
          <w:szCs w:val="20"/>
          <w:lang w:val="en-US" w:eastAsia="en-US"/>
        </w:rPr>
        <w:t>.</w:t>
      </w:r>
      <w:r w:rsidR="00F42DFE" w:rsidRPr="00892CA6">
        <w:rPr>
          <w:rFonts w:ascii="Verdana" w:eastAsiaTheme="minorHAnsi" w:hAnsi="Verdana" w:cstheme="minorHAnsi"/>
          <w:color w:val="000000" w:themeColor="text1"/>
          <w:sz w:val="20"/>
          <w:szCs w:val="20"/>
          <w:lang w:val="en-US" w:eastAsia="en-US"/>
        </w:rPr>
        <w:t xml:space="preserve"> </w:t>
      </w:r>
      <w:r w:rsidRPr="00892CA6">
        <w:rPr>
          <w:rFonts w:ascii="Verdana" w:eastAsiaTheme="minorHAnsi" w:hAnsi="Verdana" w:cstheme="minorHAnsi"/>
          <w:color w:val="000000" w:themeColor="text1"/>
          <w:sz w:val="20"/>
          <w:szCs w:val="20"/>
          <w:lang w:val="en-US" w:eastAsia="en-US"/>
        </w:rPr>
        <w:t>For each of the</w:t>
      </w:r>
      <w:r w:rsidR="00A16B1B" w:rsidRPr="00892CA6">
        <w:rPr>
          <w:rFonts w:ascii="Verdana" w:eastAsiaTheme="minorHAnsi" w:hAnsi="Verdana" w:cstheme="minorHAnsi"/>
          <w:color w:val="000000" w:themeColor="text1"/>
          <w:sz w:val="20"/>
          <w:szCs w:val="20"/>
          <w:lang w:val="en-US" w:eastAsia="en-US"/>
        </w:rPr>
        <w:t xml:space="preserve"> listed </w:t>
      </w:r>
      <w:r w:rsidRPr="00892CA6">
        <w:rPr>
          <w:rFonts w:ascii="Verdana" w:eastAsiaTheme="minorHAnsi" w:hAnsi="Verdana" w:cstheme="minorHAnsi"/>
          <w:color w:val="000000" w:themeColor="text1"/>
          <w:sz w:val="20"/>
          <w:szCs w:val="20"/>
          <w:lang w:val="en-US" w:eastAsia="en-US"/>
        </w:rPr>
        <w:t xml:space="preserve">risk </w:t>
      </w:r>
      <w:r w:rsidR="00A16B1B" w:rsidRPr="00892CA6">
        <w:rPr>
          <w:rFonts w:ascii="Verdana" w:eastAsiaTheme="minorHAnsi" w:hAnsi="Verdana" w:cstheme="minorHAnsi"/>
          <w:color w:val="000000" w:themeColor="text1"/>
          <w:sz w:val="20"/>
          <w:szCs w:val="20"/>
          <w:lang w:val="en-US" w:eastAsia="en-US"/>
        </w:rPr>
        <w:t>categories</w:t>
      </w:r>
      <w:r w:rsidRPr="00892CA6">
        <w:rPr>
          <w:rFonts w:ascii="Verdana" w:eastAsiaTheme="minorHAnsi" w:hAnsi="Verdana" w:cstheme="minorHAnsi"/>
          <w:color w:val="000000" w:themeColor="text1"/>
          <w:sz w:val="20"/>
          <w:szCs w:val="20"/>
          <w:lang w:val="en-US" w:eastAsia="en-US"/>
        </w:rPr>
        <w:t xml:space="preserve">, </w:t>
      </w:r>
      <w:r w:rsidR="00A16B1B" w:rsidRPr="00892CA6">
        <w:rPr>
          <w:rFonts w:ascii="Verdana" w:eastAsiaTheme="minorHAnsi" w:hAnsi="Verdana" w:cstheme="minorHAnsi"/>
          <w:color w:val="000000" w:themeColor="text1"/>
          <w:sz w:val="20"/>
          <w:szCs w:val="20"/>
          <w:lang w:val="en-US" w:eastAsia="en-US"/>
        </w:rPr>
        <w:t xml:space="preserve">risk </w:t>
      </w:r>
      <w:r w:rsidRPr="00892CA6">
        <w:rPr>
          <w:rFonts w:ascii="Verdana" w:eastAsiaTheme="minorHAnsi" w:hAnsi="Verdana" w:cstheme="minorHAnsi"/>
          <w:color w:val="000000" w:themeColor="text1"/>
          <w:sz w:val="20"/>
          <w:szCs w:val="20"/>
          <w:lang w:val="en-US" w:eastAsia="en-US"/>
        </w:rPr>
        <w:t xml:space="preserve">increasing and decreasing </w:t>
      </w:r>
      <w:r w:rsidR="00A16B1B" w:rsidRPr="00892CA6">
        <w:rPr>
          <w:rFonts w:ascii="Verdana" w:eastAsiaTheme="minorHAnsi" w:hAnsi="Verdana" w:cstheme="minorHAnsi"/>
          <w:color w:val="000000" w:themeColor="text1"/>
          <w:sz w:val="20"/>
          <w:szCs w:val="20"/>
          <w:lang w:val="en-US" w:eastAsia="en-US"/>
        </w:rPr>
        <w:t>factors are</w:t>
      </w:r>
      <w:r w:rsidR="001C37C6" w:rsidRPr="00892CA6">
        <w:rPr>
          <w:rFonts w:ascii="Verdana" w:eastAsiaTheme="minorHAnsi" w:hAnsi="Verdana" w:cstheme="minorHAnsi"/>
          <w:color w:val="000000" w:themeColor="text1"/>
          <w:sz w:val="20"/>
          <w:szCs w:val="20"/>
          <w:lang w:val="en-US" w:eastAsia="en-US"/>
        </w:rPr>
        <w:t xml:space="preserve"> </w:t>
      </w:r>
      <w:r w:rsidRPr="00892CA6">
        <w:rPr>
          <w:rFonts w:ascii="Verdana" w:eastAsiaTheme="minorHAnsi" w:hAnsi="Verdana" w:cstheme="minorHAnsi"/>
          <w:color w:val="000000" w:themeColor="text1"/>
          <w:sz w:val="20"/>
          <w:szCs w:val="20"/>
          <w:lang w:val="en-US" w:eastAsia="en-US"/>
        </w:rPr>
        <w:t xml:space="preserve">listed in the below table </w:t>
      </w:r>
      <w:r w:rsidR="00A16B1B" w:rsidRPr="00892CA6">
        <w:rPr>
          <w:rFonts w:ascii="Verdana" w:eastAsiaTheme="minorHAnsi" w:hAnsi="Verdana" w:cstheme="minorHAnsi"/>
          <w:color w:val="000000" w:themeColor="text1"/>
          <w:sz w:val="20"/>
          <w:szCs w:val="20"/>
          <w:lang w:val="en-US" w:eastAsia="en-US"/>
        </w:rPr>
        <w:t xml:space="preserve">and </w:t>
      </w:r>
      <w:r w:rsidR="00596BD3">
        <w:rPr>
          <w:rFonts w:ascii="Verdana" w:eastAsiaTheme="minorHAnsi" w:hAnsi="Verdana" w:cstheme="minorHAnsi"/>
          <w:color w:val="000000" w:themeColor="text1"/>
          <w:sz w:val="20"/>
          <w:szCs w:val="20"/>
          <w:lang w:val="en-US" w:eastAsia="en-US"/>
        </w:rPr>
        <w:t>guided</w:t>
      </w:r>
      <w:r w:rsidRPr="00892CA6">
        <w:rPr>
          <w:rFonts w:ascii="Verdana" w:eastAsiaTheme="minorHAnsi" w:hAnsi="Verdana" w:cstheme="minorHAnsi"/>
          <w:color w:val="000000" w:themeColor="text1"/>
          <w:sz w:val="20"/>
          <w:szCs w:val="20"/>
          <w:lang w:val="en-US" w:eastAsia="en-US"/>
        </w:rPr>
        <w:t xml:space="preserve"> the assessment of </w:t>
      </w:r>
      <w:r w:rsidR="00596BD3">
        <w:rPr>
          <w:rFonts w:ascii="Verdana" w:eastAsiaTheme="minorHAnsi" w:hAnsi="Verdana" w:cstheme="minorHAnsi"/>
          <w:color w:val="000000" w:themeColor="text1"/>
          <w:sz w:val="20"/>
          <w:szCs w:val="20"/>
          <w:lang w:val="en-US" w:eastAsia="en-US"/>
        </w:rPr>
        <w:t xml:space="preserve">the </w:t>
      </w:r>
      <w:r w:rsidRPr="00892CA6">
        <w:rPr>
          <w:rFonts w:ascii="Verdana" w:eastAsiaTheme="minorHAnsi" w:hAnsi="Verdana" w:cstheme="minorHAnsi"/>
          <w:color w:val="000000" w:themeColor="text1"/>
          <w:sz w:val="20"/>
          <w:szCs w:val="20"/>
          <w:lang w:val="en-US" w:eastAsia="en-US"/>
        </w:rPr>
        <w:t xml:space="preserve">inherent ML/TF risks. </w:t>
      </w:r>
    </w:p>
    <w:p w14:paraId="3D16374C" w14:textId="59CA2B45" w:rsidR="00FC307D" w:rsidRPr="00892CA6" w:rsidRDefault="00FC307D" w:rsidP="00AC399A">
      <w:pPr>
        <w:pStyle w:val="Heading2"/>
        <w:numPr>
          <w:ilvl w:val="0"/>
          <w:numId w:val="0"/>
        </w:numPr>
        <w:spacing w:before="0" w:after="0" w:line="276" w:lineRule="auto"/>
        <w:ind w:right="-6"/>
        <w:jc w:val="both"/>
        <w:rPr>
          <w:rFonts w:ascii="Verdana" w:eastAsiaTheme="minorHAnsi" w:hAnsi="Verdana" w:cstheme="minorHAnsi"/>
          <w:color w:val="000000" w:themeColor="text1"/>
          <w:sz w:val="20"/>
          <w:szCs w:val="20"/>
          <w:lang w:val="en-US" w:eastAsia="en-US"/>
        </w:rPr>
      </w:pPr>
    </w:p>
    <w:tbl>
      <w:tblPr>
        <w:tblStyle w:val="TableGrid"/>
        <w:tblW w:w="9789" w:type="dxa"/>
        <w:tblLook w:val="04A0" w:firstRow="1" w:lastRow="0" w:firstColumn="1" w:lastColumn="0" w:noHBand="0" w:noVBand="1"/>
      </w:tblPr>
      <w:tblGrid>
        <w:gridCol w:w="2375"/>
        <w:gridCol w:w="3936"/>
        <w:gridCol w:w="3478"/>
      </w:tblGrid>
      <w:tr w:rsidR="00FC307D" w:rsidRPr="001D0A24" w14:paraId="5BA90E54" w14:textId="77777777" w:rsidTr="00AC399A">
        <w:trPr>
          <w:trHeight w:val="270"/>
        </w:trPr>
        <w:tc>
          <w:tcPr>
            <w:tcW w:w="2375" w:type="dxa"/>
          </w:tcPr>
          <w:p w14:paraId="6E858DCC"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Risk factor</w:t>
            </w:r>
          </w:p>
        </w:tc>
        <w:tc>
          <w:tcPr>
            <w:tcW w:w="3936" w:type="dxa"/>
          </w:tcPr>
          <w:p w14:paraId="149DB848"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Risk increasing aspects</w:t>
            </w:r>
          </w:p>
        </w:tc>
        <w:tc>
          <w:tcPr>
            <w:tcW w:w="3478" w:type="dxa"/>
          </w:tcPr>
          <w:p w14:paraId="01B36EAA" w14:textId="77777777" w:rsidR="00FC307D" w:rsidRPr="00892CA6" w:rsidRDefault="00FC307D" w:rsidP="00850590">
            <w:pPr>
              <w:pStyle w:val="NormalWeb"/>
              <w:jc w:val="both"/>
              <w:rPr>
                <w:rFonts w:ascii="Verdana" w:hAnsi="Verdana" w:cstheme="minorHAnsi"/>
                <w:sz w:val="20"/>
                <w:szCs w:val="20"/>
              </w:rPr>
            </w:pPr>
            <w:r w:rsidRPr="00892CA6">
              <w:rPr>
                <w:rFonts w:ascii="Verdana" w:hAnsi="Verdana" w:cstheme="minorHAnsi"/>
                <w:sz w:val="20"/>
                <w:szCs w:val="20"/>
              </w:rPr>
              <w:t>Risk decreasing aspects</w:t>
            </w:r>
          </w:p>
        </w:tc>
      </w:tr>
      <w:tr w:rsidR="00FC307D" w:rsidRPr="001D0A24" w14:paraId="72378686" w14:textId="77777777" w:rsidTr="00AC399A">
        <w:trPr>
          <w:trHeight w:val="1080"/>
        </w:trPr>
        <w:tc>
          <w:tcPr>
            <w:tcW w:w="2375" w:type="dxa"/>
          </w:tcPr>
          <w:p w14:paraId="7F978A8D" w14:textId="3C926DCC" w:rsidR="00FC307D" w:rsidRPr="00892CA6" w:rsidRDefault="00061420"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N</w:t>
            </w:r>
            <w:r w:rsidR="00FC307D" w:rsidRPr="00892CA6">
              <w:rPr>
                <w:rFonts w:ascii="Verdana" w:hAnsi="Verdana" w:cstheme="minorHAnsi"/>
                <w:color w:val="191919"/>
                <w:sz w:val="20"/>
                <w:szCs w:val="20"/>
              </w:rPr>
              <w:t>ature</w:t>
            </w:r>
            <w:r w:rsidR="005506E8" w:rsidRPr="00892CA6">
              <w:rPr>
                <w:rFonts w:ascii="Verdana" w:hAnsi="Verdana" w:cstheme="minorHAnsi"/>
                <w:color w:val="191919"/>
                <w:sz w:val="20"/>
                <w:szCs w:val="20"/>
              </w:rPr>
              <w:t>, scale, diversity</w:t>
            </w:r>
            <w:r w:rsidR="00FC307D" w:rsidRPr="00892CA6">
              <w:rPr>
                <w:rFonts w:ascii="Verdana" w:hAnsi="Verdana" w:cstheme="minorHAnsi"/>
                <w:color w:val="191919"/>
                <w:sz w:val="20"/>
                <w:szCs w:val="20"/>
              </w:rPr>
              <w:t xml:space="preserve"> and </w:t>
            </w:r>
            <w:r w:rsidR="005506E8" w:rsidRPr="00892CA6">
              <w:rPr>
                <w:rFonts w:ascii="Verdana" w:hAnsi="Verdana" w:cstheme="minorHAnsi"/>
                <w:color w:val="191919"/>
                <w:sz w:val="20"/>
                <w:szCs w:val="20"/>
              </w:rPr>
              <w:t>complexity of t</w:t>
            </w:r>
            <w:r w:rsidR="00FC307D" w:rsidRPr="00892CA6">
              <w:rPr>
                <w:rFonts w:ascii="Verdana" w:hAnsi="Verdana" w:cstheme="minorHAnsi"/>
                <w:color w:val="191919"/>
                <w:sz w:val="20"/>
                <w:szCs w:val="20"/>
              </w:rPr>
              <w:t>he sector</w:t>
            </w:r>
          </w:p>
        </w:tc>
        <w:tc>
          <w:tcPr>
            <w:tcW w:w="3936" w:type="dxa"/>
          </w:tcPr>
          <w:p w14:paraId="2135AF80" w14:textId="14325CAC" w:rsidR="00C46ADC"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Nature</w:t>
            </w:r>
            <w:r w:rsidR="00607EC2">
              <w:rPr>
                <w:rFonts w:ascii="Verdana" w:eastAsia="Times New Roman" w:hAnsi="Verdana" w:cstheme="minorHAnsi"/>
                <w:color w:val="191919"/>
                <w:sz w:val="20"/>
                <w:szCs w:val="20"/>
                <w:lang w:val="en-US" w:eastAsia="en-GB"/>
              </w:rPr>
              <w:t>,</w:t>
            </w:r>
            <w:r w:rsidRPr="00892CA6">
              <w:rPr>
                <w:rFonts w:ascii="Verdana" w:eastAsia="Times New Roman" w:hAnsi="Verdana" w:cstheme="minorHAnsi"/>
                <w:color w:val="191919"/>
                <w:sz w:val="20"/>
                <w:szCs w:val="20"/>
                <w:lang w:val="en-US" w:eastAsia="en-GB"/>
              </w:rPr>
              <w:t xml:space="preserve"> size</w:t>
            </w:r>
            <w:r w:rsidR="00607EC2">
              <w:rPr>
                <w:rFonts w:ascii="Verdana" w:eastAsia="Times New Roman" w:hAnsi="Verdana" w:cstheme="minorHAnsi"/>
                <w:color w:val="191919"/>
                <w:sz w:val="20"/>
                <w:szCs w:val="20"/>
                <w:lang w:val="en-US" w:eastAsia="en-GB"/>
              </w:rPr>
              <w:t xml:space="preserve"> and complexity</w:t>
            </w:r>
            <w:r w:rsidRPr="00892CA6">
              <w:rPr>
                <w:rFonts w:ascii="Verdana" w:eastAsia="Times New Roman" w:hAnsi="Verdana" w:cstheme="minorHAnsi"/>
                <w:color w:val="191919"/>
                <w:sz w:val="20"/>
                <w:szCs w:val="20"/>
                <w:lang w:val="en-US" w:eastAsia="en-GB"/>
              </w:rPr>
              <w:t xml:space="preserve"> of the MSBs sector. </w:t>
            </w:r>
          </w:p>
          <w:p w14:paraId="18F430AB" w14:textId="7FB31472" w:rsidR="00EC591E"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High volume of transactions within the sector.</w:t>
            </w:r>
          </w:p>
        </w:tc>
        <w:tc>
          <w:tcPr>
            <w:tcW w:w="3478" w:type="dxa"/>
          </w:tcPr>
          <w:p w14:paraId="6AFBCE62" w14:textId="74F2EFCA" w:rsidR="00FC307D"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 xml:space="preserve">Size of the </w:t>
            </w:r>
            <w:r w:rsidR="00607EC2">
              <w:rPr>
                <w:rFonts w:ascii="Verdana" w:eastAsia="Times New Roman" w:hAnsi="Verdana" w:cstheme="minorHAnsi"/>
                <w:color w:val="191919"/>
                <w:sz w:val="20"/>
                <w:szCs w:val="20"/>
                <w:lang w:val="en-US" w:eastAsia="en-GB"/>
              </w:rPr>
              <w:t xml:space="preserve">MSBs </w:t>
            </w:r>
            <w:r w:rsidRPr="00892CA6">
              <w:rPr>
                <w:rFonts w:ascii="Verdana" w:eastAsia="Times New Roman" w:hAnsi="Verdana" w:cstheme="minorHAnsi"/>
                <w:color w:val="191919"/>
                <w:sz w:val="20"/>
                <w:szCs w:val="20"/>
                <w:lang w:val="en-US" w:eastAsia="en-GB"/>
              </w:rPr>
              <w:t>sector is small</w:t>
            </w:r>
            <w:r w:rsidR="00607EC2">
              <w:rPr>
                <w:rFonts w:ascii="Verdana" w:eastAsia="Times New Roman" w:hAnsi="Verdana" w:cstheme="minorHAnsi"/>
                <w:color w:val="191919"/>
                <w:sz w:val="20"/>
                <w:szCs w:val="20"/>
                <w:lang w:val="en-US" w:eastAsia="en-GB"/>
              </w:rPr>
              <w:t xml:space="preserve"> relative to the </w:t>
            </w:r>
            <w:r w:rsidR="005D35DF">
              <w:rPr>
                <w:rFonts w:ascii="Verdana" w:eastAsia="Times New Roman" w:hAnsi="Verdana" w:cstheme="minorHAnsi"/>
                <w:color w:val="191919"/>
                <w:sz w:val="20"/>
                <w:szCs w:val="20"/>
                <w:lang w:val="en-US" w:eastAsia="en-GB"/>
              </w:rPr>
              <w:t>financial services industry</w:t>
            </w:r>
            <w:r w:rsidRPr="00892CA6">
              <w:rPr>
                <w:rFonts w:ascii="Verdana" w:eastAsia="Times New Roman" w:hAnsi="Verdana" w:cstheme="minorHAnsi"/>
                <w:color w:val="191919"/>
                <w:sz w:val="20"/>
                <w:szCs w:val="20"/>
                <w:lang w:val="en-US" w:eastAsia="en-GB"/>
              </w:rPr>
              <w:t>.</w:t>
            </w:r>
          </w:p>
          <w:p w14:paraId="5ED671D5" w14:textId="777615B4" w:rsidR="00EC591E"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 xml:space="preserve">Volume of transactions </w:t>
            </w:r>
            <w:r w:rsidR="005D35DF">
              <w:rPr>
                <w:rFonts w:ascii="Verdana" w:eastAsia="Times New Roman" w:hAnsi="Verdana" w:cstheme="minorHAnsi"/>
                <w:color w:val="191919"/>
                <w:sz w:val="20"/>
                <w:szCs w:val="20"/>
                <w:lang w:val="en-US" w:eastAsia="en-GB"/>
              </w:rPr>
              <w:t xml:space="preserve">by the sector </w:t>
            </w:r>
            <w:r w:rsidRPr="00892CA6">
              <w:rPr>
                <w:rFonts w:ascii="Verdana" w:eastAsia="Times New Roman" w:hAnsi="Verdana" w:cstheme="minorHAnsi"/>
                <w:color w:val="191919"/>
                <w:sz w:val="20"/>
                <w:szCs w:val="20"/>
                <w:lang w:val="en-US" w:eastAsia="en-GB"/>
              </w:rPr>
              <w:t>is low.</w:t>
            </w:r>
          </w:p>
          <w:p w14:paraId="5BF57287" w14:textId="12C9E865" w:rsidR="00C46ADC" w:rsidRPr="00892CA6" w:rsidRDefault="00C46ADC">
            <w:pPr>
              <w:pStyle w:val="ListParagraph"/>
              <w:spacing w:before="100" w:beforeAutospacing="1" w:after="100" w:afterAutospacing="1"/>
              <w:ind w:left="144"/>
              <w:jc w:val="both"/>
              <w:rPr>
                <w:rFonts w:ascii="Verdana" w:eastAsia="Times New Roman" w:hAnsi="Verdana" w:cstheme="minorHAnsi"/>
                <w:color w:val="191919"/>
                <w:sz w:val="20"/>
                <w:szCs w:val="20"/>
                <w:lang w:val="en-US" w:eastAsia="en-GB"/>
              </w:rPr>
            </w:pPr>
          </w:p>
        </w:tc>
      </w:tr>
      <w:tr w:rsidR="00FC307D" w:rsidRPr="001D0A24" w14:paraId="001BDE37" w14:textId="77777777" w:rsidTr="00AC399A">
        <w:trPr>
          <w:trHeight w:val="890"/>
        </w:trPr>
        <w:tc>
          <w:tcPr>
            <w:tcW w:w="2375" w:type="dxa"/>
          </w:tcPr>
          <w:p w14:paraId="5730A895" w14:textId="45B58D8D" w:rsidR="00FC307D" w:rsidRPr="00892CA6" w:rsidRDefault="00737EEC" w:rsidP="00850590">
            <w:pPr>
              <w:pStyle w:val="NormalWeb"/>
              <w:jc w:val="both"/>
              <w:rPr>
                <w:rFonts w:ascii="Verdana" w:hAnsi="Verdana" w:cstheme="minorHAnsi"/>
                <w:color w:val="009149"/>
                <w:position w:val="-6"/>
                <w:sz w:val="20"/>
                <w:szCs w:val="20"/>
              </w:rPr>
            </w:pPr>
            <w:r w:rsidRPr="00892CA6">
              <w:rPr>
                <w:rFonts w:ascii="Verdana" w:hAnsi="Verdana" w:cstheme="minorHAnsi"/>
                <w:color w:val="191919"/>
                <w:position w:val="-6"/>
                <w:sz w:val="20"/>
                <w:szCs w:val="20"/>
              </w:rPr>
              <w:t xml:space="preserve">Types of </w:t>
            </w:r>
            <w:r w:rsidR="00FC307D" w:rsidRPr="00892CA6">
              <w:rPr>
                <w:rFonts w:ascii="Verdana" w:hAnsi="Verdana" w:cstheme="minorHAnsi"/>
                <w:color w:val="191919"/>
                <w:position w:val="-6"/>
                <w:sz w:val="20"/>
                <w:szCs w:val="20"/>
              </w:rPr>
              <w:t>Customer</w:t>
            </w:r>
            <w:r w:rsidRPr="00892CA6">
              <w:rPr>
                <w:rFonts w:ascii="Verdana" w:hAnsi="Verdana" w:cstheme="minorHAnsi"/>
                <w:color w:val="191919"/>
                <w:position w:val="-6"/>
                <w:sz w:val="20"/>
                <w:szCs w:val="20"/>
              </w:rPr>
              <w:t>s</w:t>
            </w:r>
            <w:r w:rsidR="00FC307D" w:rsidRPr="00892CA6">
              <w:rPr>
                <w:rFonts w:ascii="Verdana" w:hAnsi="Verdana" w:cstheme="minorHAnsi"/>
                <w:color w:val="191919"/>
                <w:position w:val="-6"/>
                <w:sz w:val="20"/>
                <w:szCs w:val="20"/>
              </w:rPr>
              <w:t xml:space="preserve"> </w:t>
            </w:r>
          </w:p>
        </w:tc>
        <w:tc>
          <w:tcPr>
            <w:tcW w:w="3936" w:type="dxa"/>
          </w:tcPr>
          <w:p w14:paraId="12E949DD" w14:textId="057E6D45" w:rsidR="007462F0" w:rsidRPr="00892CA6" w:rsidRDefault="00D42B38"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w:t>
            </w:r>
            <w:r w:rsidR="007462F0" w:rsidRPr="00892CA6">
              <w:rPr>
                <w:rFonts w:ascii="Verdana" w:eastAsia="Times New Roman" w:hAnsi="Verdana" w:cstheme="minorHAnsi"/>
                <w:color w:val="191919"/>
                <w:sz w:val="20"/>
                <w:szCs w:val="20"/>
                <w:lang w:val="en-US" w:eastAsia="en-GB"/>
              </w:rPr>
              <w:t xml:space="preserve">ounterparties sanctioned by a competent authority for non-compliance with AML/CFT regimes.  </w:t>
            </w:r>
          </w:p>
          <w:p w14:paraId="54451827" w14:textId="56F225F2" w:rsidR="00FC307D" w:rsidRPr="00892CA6" w:rsidRDefault="00FC307D"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Politically Exposed Person</w:t>
            </w:r>
            <w:r w:rsidR="00D618A9" w:rsidRPr="00892CA6">
              <w:rPr>
                <w:rFonts w:ascii="Verdana" w:eastAsia="Times New Roman" w:hAnsi="Verdana" w:cstheme="minorHAnsi"/>
                <w:color w:val="191919"/>
                <w:sz w:val="20"/>
                <w:szCs w:val="20"/>
                <w:lang w:val="en-US" w:eastAsia="en-GB"/>
              </w:rPr>
              <w:t>s</w:t>
            </w:r>
            <w:r w:rsidRPr="00892CA6">
              <w:rPr>
                <w:rFonts w:ascii="Verdana" w:eastAsia="Times New Roman" w:hAnsi="Verdana" w:cstheme="minorHAnsi"/>
                <w:color w:val="191919"/>
                <w:sz w:val="20"/>
                <w:szCs w:val="20"/>
                <w:lang w:val="en-US" w:eastAsia="en-GB"/>
              </w:rPr>
              <w:t xml:space="preserve"> (PEPs)</w:t>
            </w:r>
            <w:r w:rsidR="00D42B38" w:rsidRPr="00892CA6">
              <w:rPr>
                <w:rFonts w:ascii="Verdana" w:eastAsia="Times New Roman" w:hAnsi="Verdana" w:cstheme="minorHAnsi"/>
                <w:color w:val="191919"/>
                <w:sz w:val="20"/>
                <w:szCs w:val="20"/>
                <w:lang w:val="en-US" w:eastAsia="en-GB"/>
              </w:rPr>
              <w:t>.</w:t>
            </w:r>
          </w:p>
          <w:p w14:paraId="25732814" w14:textId="4BBC8571" w:rsidR="00FC307D" w:rsidRPr="00892CA6" w:rsidRDefault="007462F0"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sz w:val="20"/>
                <w:szCs w:val="20"/>
                <w:lang w:val="en-US" w:eastAsia="en-GB"/>
              </w:rPr>
              <w:t>Non face-to-</w:t>
            </w:r>
            <w:r w:rsidR="00D42B38" w:rsidRPr="00892CA6">
              <w:rPr>
                <w:rFonts w:ascii="Verdana" w:eastAsia="Times New Roman" w:hAnsi="Verdana" w:cstheme="minorHAnsi"/>
                <w:sz w:val="20"/>
                <w:szCs w:val="20"/>
                <w:lang w:val="en-US" w:eastAsia="en-GB"/>
              </w:rPr>
              <w:t>f</w:t>
            </w:r>
            <w:r w:rsidRPr="00892CA6">
              <w:rPr>
                <w:rFonts w:ascii="Verdana" w:eastAsia="Times New Roman" w:hAnsi="Verdana" w:cstheme="minorHAnsi"/>
                <w:sz w:val="20"/>
                <w:szCs w:val="20"/>
                <w:lang w:val="en-US" w:eastAsia="en-GB"/>
              </w:rPr>
              <w:t>ace customers</w:t>
            </w:r>
            <w:r w:rsidR="00D42B38" w:rsidRPr="00892CA6">
              <w:rPr>
                <w:rFonts w:ascii="Verdana" w:eastAsia="Times New Roman" w:hAnsi="Verdana" w:cstheme="minorHAnsi"/>
                <w:sz w:val="20"/>
                <w:szCs w:val="20"/>
                <w:lang w:val="en-US" w:eastAsia="en-GB"/>
              </w:rPr>
              <w:t>.</w:t>
            </w:r>
          </w:p>
          <w:p w14:paraId="6BADE90C" w14:textId="42A39D74" w:rsidR="00D42B38" w:rsidRPr="00892CA6" w:rsidRDefault="00D42B38" w:rsidP="00C46ADC">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that use agents with no information to identify the beneficial owner of the funds.</w:t>
            </w:r>
          </w:p>
          <w:p w14:paraId="7F7D19DD" w14:textId="45DCAF98" w:rsidR="00D22CAD" w:rsidRPr="00892CA6" w:rsidRDefault="00D42B38" w:rsidP="00C46ADC">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sending/receiving money to countries they do not have apparent ties</w:t>
            </w:r>
            <w:r w:rsidR="005E2922">
              <w:rPr>
                <w:rFonts w:ascii="Verdana" w:eastAsia="Times New Roman" w:hAnsi="Verdana" w:cstheme="minorHAnsi"/>
                <w:color w:val="191919"/>
                <w:sz w:val="20"/>
                <w:szCs w:val="20"/>
                <w:lang w:val="en-US" w:eastAsia="en-GB"/>
              </w:rPr>
              <w:t>.</w:t>
            </w:r>
          </w:p>
          <w:p w14:paraId="5745E257" w14:textId="19DC51F2" w:rsidR="00C46ADC" w:rsidRPr="00892CA6" w:rsidRDefault="00D22CAD" w:rsidP="00C46ADC">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from countries</w:t>
            </w:r>
            <w:r w:rsidR="000334D3" w:rsidRPr="00892CA6">
              <w:rPr>
                <w:rFonts w:ascii="Verdana" w:eastAsia="Times New Roman" w:hAnsi="Verdana" w:cstheme="minorHAnsi"/>
                <w:color w:val="191919"/>
                <w:sz w:val="20"/>
                <w:szCs w:val="20"/>
                <w:lang w:val="en-US" w:eastAsia="en-GB"/>
              </w:rPr>
              <w:t>:</w:t>
            </w:r>
          </w:p>
          <w:p w14:paraId="7983C969" w14:textId="77777777" w:rsidR="00D22CAD" w:rsidRPr="00892CA6" w:rsidRDefault="00D22CAD" w:rsidP="00AC399A">
            <w:pPr>
              <w:pStyle w:val="ListParagraph"/>
              <w:numPr>
                <w:ilvl w:val="0"/>
                <w:numId w:val="15"/>
              </w:num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 xml:space="preserve">known to fund/support for terrorist activities or have terrorist organisations operating within them. </w:t>
            </w:r>
          </w:p>
          <w:p w14:paraId="4FD2BA61" w14:textId="6B9B24D5" w:rsidR="00D22CAD" w:rsidRPr="00892CA6" w:rsidRDefault="00AC399A" w:rsidP="00AC399A">
            <w:pPr>
              <w:pStyle w:val="ListParagraph"/>
              <w:numPr>
                <w:ilvl w:val="0"/>
                <w:numId w:val="15"/>
              </w:num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 xml:space="preserve">with </w:t>
            </w:r>
            <w:r w:rsidR="00D22CAD" w:rsidRPr="00892CA6">
              <w:rPr>
                <w:rFonts w:ascii="Verdana" w:hAnsi="Verdana" w:cstheme="minorHAnsi"/>
                <w:sz w:val="20"/>
                <w:szCs w:val="20"/>
              </w:rPr>
              <w:t>significant levels of organized crime, corruption, or other criminal activities.</w:t>
            </w:r>
          </w:p>
          <w:p w14:paraId="6244FC92" w14:textId="77777777" w:rsidR="00D22CAD" w:rsidRPr="00892CA6" w:rsidRDefault="00D22CAD" w:rsidP="00AC399A">
            <w:pPr>
              <w:pStyle w:val="ListParagraph"/>
              <w:numPr>
                <w:ilvl w:val="0"/>
                <w:numId w:val="15"/>
              </w:num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subject to sanctions, embargoes or similar measures issued by international organisations.</w:t>
            </w:r>
          </w:p>
          <w:p w14:paraId="79BC6848" w14:textId="5C21B6D8" w:rsidR="00D42B38" w:rsidRPr="00892CA6" w:rsidRDefault="00AC399A" w:rsidP="00AC399A">
            <w:pPr>
              <w:pStyle w:val="ListParagraph"/>
              <w:numPr>
                <w:ilvl w:val="0"/>
                <w:numId w:val="15"/>
              </w:num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 xml:space="preserve">with </w:t>
            </w:r>
            <w:r w:rsidR="00D22CAD" w:rsidRPr="00892CA6">
              <w:rPr>
                <w:rFonts w:ascii="Verdana" w:hAnsi="Verdana" w:cstheme="minorHAnsi"/>
                <w:sz w:val="20"/>
                <w:szCs w:val="20"/>
              </w:rPr>
              <w:t>weak governance, law enforcement, and regulatory regimes</w:t>
            </w:r>
          </w:p>
        </w:tc>
        <w:tc>
          <w:tcPr>
            <w:tcW w:w="3478" w:type="dxa"/>
          </w:tcPr>
          <w:p w14:paraId="50B85E6A" w14:textId="51243961" w:rsidR="00FC307D" w:rsidRPr="00892CA6" w:rsidRDefault="00D42B38"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Low risk counterparties regulated by competent authorities.</w:t>
            </w:r>
          </w:p>
          <w:p w14:paraId="137571DC" w14:textId="77777777" w:rsidR="00D42B38" w:rsidRPr="00892CA6" w:rsidRDefault="00D42B38"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Face-to-face customers.</w:t>
            </w:r>
          </w:p>
          <w:p w14:paraId="0664CBF5" w14:textId="77777777" w:rsidR="00D42B38" w:rsidRPr="00892CA6" w:rsidRDefault="00D42B38"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with readily available PAYEE/PAYER address, contact information etc.</w:t>
            </w:r>
          </w:p>
          <w:p w14:paraId="4179A433" w14:textId="77777777" w:rsidR="00D42B38" w:rsidRPr="00892CA6" w:rsidRDefault="00D42B38"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not subject to law enforcement sanctions.</w:t>
            </w:r>
          </w:p>
          <w:p w14:paraId="35CA06E5" w14:textId="77777777" w:rsidR="00D42B38" w:rsidRPr="00892CA6" w:rsidRDefault="00D42B38"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sending/receiving money from family members in their home countries.</w:t>
            </w:r>
          </w:p>
          <w:p w14:paraId="18E0B8BD" w14:textId="4C94CE55" w:rsidR="00D22CAD" w:rsidRPr="00892CA6" w:rsidRDefault="00D22CAD" w:rsidP="00850590">
            <w:pPr>
              <w:pStyle w:val="ListParagraph"/>
              <w:numPr>
                <w:ilvl w:val="0"/>
                <w:numId w:val="2"/>
              </w:numPr>
              <w:ind w:left="142"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Customers from low risk countries</w:t>
            </w:r>
          </w:p>
        </w:tc>
      </w:tr>
      <w:tr w:rsidR="00FC307D" w:rsidRPr="001D0A24" w14:paraId="29DD0C63" w14:textId="77777777" w:rsidTr="00195F06">
        <w:trPr>
          <w:trHeight w:val="3050"/>
        </w:trPr>
        <w:tc>
          <w:tcPr>
            <w:tcW w:w="2375" w:type="dxa"/>
          </w:tcPr>
          <w:p w14:paraId="48289642" w14:textId="0F20AA0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lastRenderedPageBreak/>
              <w:t>Transactions, product</w:t>
            </w:r>
            <w:r w:rsidR="00C23C53" w:rsidRPr="00892CA6">
              <w:rPr>
                <w:rFonts w:ascii="Verdana" w:hAnsi="Verdana" w:cstheme="minorHAnsi"/>
                <w:color w:val="191919"/>
                <w:sz w:val="20"/>
                <w:szCs w:val="20"/>
              </w:rPr>
              <w:t>s</w:t>
            </w:r>
            <w:r w:rsidRPr="00892CA6">
              <w:rPr>
                <w:rFonts w:ascii="Verdana" w:hAnsi="Verdana" w:cstheme="minorHAnsi"/>
                <w:color w:val="191919"/>
                <w:sz w:val="20"/>
                <w:szCs w:val="20"/>
              </w:rPr>
              <w:t xml:space="preserve"> and services </w:t>
            </w:r>
          </w:p>
        </w:tc>
        <w:tc>
          <w:tcPr>
            <w:tcW w:w="3936" w:type="dxa"/>
          </w:tcPr>
          <w:p w14:paraId="200FD795" w14:textId="6839811A" w:rsidR="00D22CAD" w:rsidRPr="00892CA6" w:rsidRDefault="00D22CAD" w:rsidP="004E5F89">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Products or services that permit the exchange of cash for a negotiable instrument, such as a stored value card or a money order.</w:t>
            </w:r>
          </w:p>
          <w:p w14:paraId="0BE26675" w14:textId="07C4B2E6" w:rsidR="00033C7C" w:rsidRPr="00892CA6" w:rsidRDefault="00D42B38" w:rsidP="004E5F89">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Products or services that may inherently favour anonymity</w:t>
            </w:r>
            <w:r w:rsidR="00033C7C" w:rsidRPr="00892CA6">
              <w:rPr>
                <w:rFonts w:ascii="Verdana" w:hAnsi="Verdana" w:cstheme="minorHAnsi"/>
                <w:sz w:val="20"/>
                <w:szCs w:val="20"/>
              </w:rPr>
              <w:t>.</w:t>
            </w:r>
          </w:p>
          <w:p w14:paraId="0E3A37CA" w14:textId="7A4F7D16" w:rsidR="00033C7C" w:rsidRPr="00892CA6" w:rsidRDefault="00033C7C" w:rsidP="004E5F89">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P</w:t>
            </w:r>
            <w:r w:rsidR="00D42B38" w:rsidRPr="00892CA6">
              <w:rPr>
                <w:rFonts w:ascii="Verdana" w:hAnsi="Verdana" w:cstheme="minorHAnsi"/>
                <w:sz w:val="20"/>
                <w:szCs w:val="20"/>
              </w:rPr>
              <w:t>roducts that can readily cross international borders</w:t>
            </w:r>
            <w:r w:rsidR="006A6ABA">
              <w:rPr>
                <w:rFonts w:ascii="Verdana" w:hAnsi="Verdana" w:cstheme="minorHAnsi"/>
                <w:sz w:val="20"/>
                <w:szCs w:val="20"/>
              </w:rPr>
              <w:t>, such as cash, online money transfers, international transfers by mobile phone</w:t>
            </w:r>
            <w:r w:rsidR="00D42B38" w:rsidRPr="00892CA6">
              <w:rPr>
                <w:rFonts w:ascii="Verdana" w:hAnsi="Verdana" w:cstheme="minorHAnsi"/>
                <w:sz w:val="20"/>
                <w:szCs w:val="20"/>
              </w:rPr>
              <w:t>.</w:t>
            </w:r>
          </w:p>
          <w:p w14:paraId="505C2717" w14:textId="77777777" w:rsidR="00033C7C" w:rsidRPr="00892CA6" w:rsidRDefault="00D42B38" w:rsidP="004E5F89">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The global reach of the product or service offered.</w:t>
            </w:r>
          </w:p>
          <w:p w14:paraId="30C7B47F" w14:textId="77777777" w:rsidR="00033C7C" w:rsidRPr="00892CA6" w:rsidRDefault="00D42B38" w:rsidP="004E5F89">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The complexity of the product or service offered.</w:t>
            </w:r>
          </w:p>
          <w:p w14:paraId="5F391445" w14:textId="62A3B462" w:rsidR="00FC307D" w:rsidRPr="00892CA6" w:rsidRDefault="00FC307D" w:rsidP="00AC399A">
            <w:pPr>
              <w:pStyle w:val="ListParagraph"/>
              <w:spacing w:before="100" w:beforeAutospacing="1" w:after="100" w:afterAutospacing="1"/>
              <w:ind w:left="144"/>
              <w:jc w:val="both"/>
              <w:rPr>
                <w:rFonts w:ascii="Verdana" w:eastAsia="Times New Roman" w:hAnsi="Verdana" w:cstheme="minorHAnsi"/>
                <w:color w:val="191919"/>
                <w:sz w:val="20"/>
                <w:szCs w:val="20"/>
                <w:lang w:val="en-US" w:eastAsia="en-GB"/>
              </w:rPr>
            </w:pPr>
          </w:p>
        </w:tc>
        <w:tc>
          <w:tcPr>
            <w:tcW w:w="3478" w:type="dxa"/>
          </w:tcPr>
          <w:p w14:paraId="625A9DEB" w14:textId="2108CD63" w:rsidR="00033C7C" w:rsidRPr="00892CA6" w:rsidRDefault="00033C7C"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Less complex products or services offered.</w:t>
            </w:r>
          </w:p>
          <w:p w14:paraId="6EB6B687" w14:textId="7106490F" w:rsidR="00AC399A" w:rsidRPr="00892CA6" w:rsidRDefault="00033C7C">
            <w:pPr>
              <w:pStyle w:val="ListParagraph"/>
              <w:numPr>
                <w:ilvl w:val="0"/>
                <w:numId w:val="2"/>
              </w:numPr>
              <w:spacing w:before="100" w:beforeAutospacing="1" w:after="100" w:afterAutospacing="1"/>
              <w:ind w:left="144" w:hanging="142"/>
              <w:jc w:val="both"/>
              <w:rPr>
                <w:rFonts w:ascii="Verdana" w:hAnsi="Verdana" w:cstheme="minorHAnsi"/>
                <w:color w:val="191919"/>
                <w:sz w:val="20"/>
                <w:szCs w:val="20"/>
                <w:lang w:val="en-US"/>
              </w:rPr>
            </w:pPr>
            <w:r w:rsidRPr="00892CA6">
              <w:rPr>
                <w:rFonts w:ascii="Verdana" w:hAnsi="Verdana" w:cstheme="minorHAnsi"/>
                <w:sz w:val="20"/>
                <w:szCs w:val="20"/>
              </w:rPr>
              <w:t xml:space="preserve">Products or services that do not permit the exchange of cash for a negotiable instrument, such as a stored value card or a money order. </w:t>
            </w:r>
          </w:p>
          <w:p w14:paraId="762B602C" w14:textId="40F55521" w:rsidR="00AC399A" w:rsidRPr="00892CA6" w:rsidRDefault="00AC399A" w:rsidP="00850590">
            <w:pPr>
              <w:pStyle w:val="ListParagraph"/>
              <w:numPr>
                <w:ilvl w:val="0"/>
                <w:numId w:val="2"/>
              </w:numPr>
              <w:spacing w:before="100" w:beforeAutospacing="1" w:after="100" w:afterAutospacing="1"/>
              <w:ind w:left="144" w:hanging="142"/>
              <w:jc w:val="both"/>
              <w:rPr>
                <w:rFonts w:ascii="Verdana" w:hAnsi="Verdana" w:cstheme="minorHAnsi"/>
                <w:color w:val="191919"/>
                <w:sz w:val="20"/>
                <w:szCs w:val="20"/>
                <w:lang w:val="en-US"/>
              </w:rPr>
            </w:pPr>
            <w:r w:rsidRPr="00892CA6">
              <w:rPr>
                <w:rFonts w:ascii="Verdana" w:eastAsia="Times New Roman" w:hAnsi="Verdana" w:cstheme="minorHAnsi"/>
                <w:color w:val="191919"/>
                <w:sz w:val="20"/>
                <w:szCs w:val="20"/>
                <w:lang w:val="en-US" w:eastAsia="en-GB"/>
              </w:rPr>
              <w:t>Low transaction limits.</w:t>
            </w:r>
          </w:p>
          <w:p w14:paraId="6B795C76" w14:textId="5C545A70" w:rsidR="00C46ADC" w:rsidRPr="00892CA6" w:rsidRDefault="00C46ADC" w:rsidP="00AC399A">
            <w:pPr>
              <w:pStyle w:val="ListParagraph"/>
              <w:spacing w:before="100" w:beforeAutospacing="1" w:after="100" w:afterAutospacing="1"/>
              <w:ind w:left="144"/>
              <w:jc w:val="both"/>
              <w:rPr>
                <w:rFonts w:ascii="Verdana" w:hAnsi="Verdana" w:cstheme="minorHAnsi"/>
                <w:color w:val="191919"/>
                <w:sz w:val="20"/>
                <w:szCs w:val="20"/>
                <w:lang w:val="en-US"/>
              </w:rPr>
            </w:pPr>
          </w:p>
        </w:tc>
      </w:tr>
      <w:tr w:rsidR="00FC307D" w:rsidRPr="001D0A24" w14:paraId="72824F1B" w14:textId="77777777" w:rsidTr="00AC399A">
        <w:trPr>
          <w:trHeight w:val="2168"/>
        </w:trPr>
        <w:tc>
          <w:tcPr>
            <w:tcW w:w="2375" w:type="dxa"/>
          </w:tcPr>
          <w:p w14:paraId="2030ECA3" w14:textId="7A23A5F1"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position w:val="-6"/>
                <w:sz w:val="20"/>
                <w:szCs w:val="20"/>
              </w:rPr>
              <w:t>Delivery channel</w:t>
            </w:r>
            <w:r w:rsidR="00737EEC" w:rsidRPr="00892CA6">
              <w:rPr>
                <w:rFonts w:ascii="Verdana" w:hAnsi="Verdana" w:cstheme="minorHAnsi"/>
                <w:color w:val="191919"/>
                <w:position w:val="-6"/>
                <w:sz w:val="20"/>
                <w:szCs w:val="20"/>
              </w:rPr>
              <w:t>s</w:t>
            </w:r>
            <w:r w:rsidR="005506E8" w:rsidRPr="00892CA6">
              <w:rPr>
                <w:rFonts w:ascii="Verdana" w:hAnsi="Verdana" w:cstheme="minorHAnsi"/>
                <w:color w:val="191919"/>
                <w:position w:val="-6"/>
                <w:sz w:val="20"/>
                <w:szCs w:val="20"/>
              </w:rPr>
              <w:t>/ agent risk</w:t>
            </w:r>
            <w:r w:rsidRPr="00892CA6">
              <w:rPr>
                <w:rFonts w:ascii="Verdana" w:hAnsi="Verdana" w:cstheme="minorHAnsi"/>
                <w:color w:val="191919"/>
                <w:position w:val="-6"/>
                <w:sz w:val="20"/>
                <w:szCs w:val="20"/>
              </w:rPr>
              <w:t xml:space="preserve"> </w:t>
            </w:r>
          </w:p>
        </w:tc>
        <w:tc>
          <w:tcPr>
            <w:tcW w:w="3936" w:type="dxa"/>
          </w:tcPr>
          <w:p w14:paraId="5A0572C5" w14:textId="7BF1AD07" w:rsidR="00831885" w:rsidRPr="00892CA6" w:rsidRDefault="00831885"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Agents representing multiple MSBs.</w:t>
            </w:r>
          </w:p>
          <w:p w14:paraId="6F193733" w14:textId="5C55936C" w:rsidR="00033C7C" w:rsidRPr="00892CA6" w:rsidRDefault="00033C7C"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Agents in higher-risk jurisdiction or serving high-risk.</w:t>
            </w:r>
          </w:p>
          <w:p w14:paraId="2F0CA1D8" w14:textId="77777777" w:rsidR="00033C7C" w:rsidRPr="00892CA6" w:rsidRDefault="00033C7C"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Agents with PEP status.</w:t>
            </w:r>
          </w:p>
          <w:p w14:paraId="764C05DF" w14:textId="77777777" w:rsidR="00033C7C" w:rsidRPr="00892CA6" w:rsidRDefault="00033C7C"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hAnsi="Verdana" w:cstheme="minorHAnsi"/>
                <w:sz w:val="20"/>
                <w:szCs w:val="20"/>
              </w:rPr>
              <w:t>Agents subject to negative attention or law enforcement sanctions.</w:t>
            </w:r>
          </w:p>
          <w:p w14:paraId="0F80DA61" w14:textId="033EBD8B" w:rsidR="00FC307D" w:rsidRPr="00892CA6" w:rsidRDefault="00033C7C" w:rsidP="00850590">
            <w:pPr>
              <w:pStyle w:val="ListParagraph"/>
              <w:numPr>
                <w:ilvl w:val="0"/>
                <w:numId w:val="2"/>
              </w:numPr>
              <w:spacing w:before="100" w:beforeAutospacing="1" w:after="100" w:afterAutospacing="1"/>
              <w:ind w:left="144" w:hanging="142"/>
              <w:jc w:val="both"/>
              <w:rPr>
                <w:rFonts w:ascii="Verdana" w:hAnsi="Verdana" w:cstheme="minorHAnsi"/>
                <w:color w:val="191919"/>
                <w:sz w:val="20"/>
                <w:szCs w:val="20"/>
                <w:lang w:val="en-US"/>
              </w:rPr>
            </w:pPr>
            <w:r w:rsidRPr="00892CA6">
              <w:rPr>
                <w:rFonts w:ascii="Verdana" w:hAnsi="Verdana" w:cstheme="minorHAnsi"/>
                <w:sz w:val="20"/>
                <w:szCs w:val="20"/>
              </w:rPr>
              <w:t xml:space="preserve">Agents with weak compliance functions. </w:t>
            </w:r>
          </w:p>
        </w:tc>
        <w:tc>
          <w:tcPr>
            <w:tcW w:w="3478" w:type="dxa"/>
          </w:tcPr>
          <w:p w14:paraId="3CF6ACE4" w14:textId="18FA402F" w:rsidR="00FC307D"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Limited use of agents as a business model.</w:t>
            </w:r>
          </w:p>
          <w:p w14:paraId="0A5CAF7B" w14:textId="77777777" w:rsidR="00EC591E"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Agents representing only one MSB.</w:t>
            </w:r>
          </w:p>
          <w:p w14:paraId="04451AC4" w14:textId="77777777" w:rsidR="00EC591E"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Agents in low risk countries.</w:t>
            </w:r>
          </w:p>
          <w:p w14:paraId="5D4671A2" w14:textId="0343AD4B" w:rsidR="00EC591E" w:rsidRPr="00892CA6" w:rsidRDefault="00EC591E" w:rsidP="00850590">
            <w:pPr>
              <w:pStyle w:val="ListParagraph"/>
              <w:numPr>
                <w:ilvl w:val="0"/>
                <w:numId w:val="2"/>
              </w:numPr>
              <w:spacing w:before="100" w:beforeAutospacing="1" w:after="100" w:afterAutospacing="1"/>
              <w:ind w:left="144" w:hanging="142"/>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Agents’ transaction volumes are consistent with their typical past volume.</w:t>
            </w:r>
          </w:p>
        </w:tc>
      </w:tr>
    </w:tbl>
    <w:p w14:paraId="542572EB" w14:textId="165D4ED5" w:rsidR="00FC307D" w:rsidRPr="00892CA6" w:rsidRDefault="00915ACE" w:rsidP="00A16B1B">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Pr>
          <w:rFonts w:ascii="Verdana" w:eastAsiaTheme="minorHAnsi" w:hAnsi="Verdana" w:cstheme="minorHAnsi"/>
          <w:color w:val="000000" w:themeColor="text1"/>
          <w:sz w:val="20"/>
          <w:szCs w:val="20"/>
          <w:lang w:val="en-US" w:eastAsia="en-US"/>
        </w:rPr>
        <w:t>In accordance with</w:t>
      </w:r>
      <w:r w:rsidRPr="00892CA6">
        <w:rPr>
          <w:rFonts w:ascii="Verdana" w:eastAsiaTheme="minorHAnsi" w:hAnsi="Verdana" w:cstheme="minorHAnsi"/>
          <w:color w:val="000000" w:themeColor="text1"/>
          <w:sz w:val="20"/>
          <w:szCs w:val="20"/>
          <w:lang w:val="en-US" w:eastAsia="en-US"/>
        </w:rPr>
        <w:t xml:space="preserve"> </w:t>
      </w:r>
      <w:r w:rsidR="00FC307D" w:rsidRPr="00892CA6">
        <w:rPr>
          <w:rFonts w:ascii="Verdana" w:eastAsiaTheme="minorHAnsi" w:hAnsi="Verdana" w:cstheme="minorHAnsi"/>
          <w:color w:val="000000" w:themeColor="text1"/>
          <w:sz w:val="20"/>
          <w:szCs w:val="20"/>
          <w:lang w:val="en-US" w:eastAsia="en-US"/>
        </w:rPr>
        <w:t>the above</w:t>
      </w:r>
      <w:r w:rsidR="00080B1A">
        <w:rPr>
          <w:rFonts w:ascii="Verdana" w:eastAsiaTheme="minorHAnsi" w:hAnsi="Verdana" w:cstheme="minorHAnsi"/>
          <w:color w:val="000000" w:themeColor="text1"/>
          <w:sz w:val="20"/>
          <w:szCs w:val="20"/>
          <w:lang w:val="en-US" w:eastAsia="en-US"/>
        </w:rPr>
        <w:t xml:space="preserve"> </w:t>
      </w:r>
      <w:r w:rsidR="00FC307D" w:rsidRPr="00892CA6">
        <w:rPr>
          <w:rFonts w:ascii="Verdana" w:eastAsiaTheme="minorHAnsi" w:hAnsi="Verdana" w:cstheme="minorHAnsi"/>
          <w:color w:val="000000" w:themeColor="text1"/>
          <w:sz w:val="20"/>
          <w:szCs w:val="20"/>
          <w:lang w:val="en-US" w:eastAsia="en-US"/>
        </w:rPr>
        <w:t xml:space="preserve">risk factors, each subsector of the </w:t>
      </w:r>
      <w:r w:rsidR="00851F2A" w:rsidRPr="00892CA6">
        <w:rPr>
          <w:rFonts w:ascii="Verdana" w:eastAsiaTheme="minorHAnsi" w:hAnsi="Verdana" w:cstheme="minorHAnsi"/>
          <w:color w:val="000000" w:themeColor="text1"/>
          <w:sz w:val="20"/>
          <w:szCs w:val="20"/>
          <w:lang w:val="en-US" w:eastAsia="en-US"/>
        </w:rPr>
        <w:t xml:space="preserve">MSB </w:t>
      </w:r>
      <w:r w:rsidR="00FC307D" w:rsidRPr="00892CA6">
        <w:rPr>
          <w:rFonts w:ascii="Verdana" w:eastAsiaTheme="minorHAnsi" w:hAnsi="Verdana" w:cstheme="minorHAnsi"/>
          <w:color w:val="000000" w:themeColor="text1"/>
          <w:sz w:val="20"/>
          <w:szCs w:val="20"/>
          <w:lang w:val="en-US" w:eastAsia="en-US"/>
        </w:rPr>
        <w:t xml:space="preserve">sector has been given one of the four risk ratings </w:t>
      </w:r>
      <w:r w:rsidR="00FC307D" w:rsidRPr="00892CA6">
        <w:rPr>
          <w:rFonts w:ascii="Verdana" w:eastAsiaTheme="minorHAnsi" w:hAnsi="Verdana" w:cstheme="minorHAnsi"/>
          <w:b/>
          <w:i/>
          <w:color w:val="000000" w:themeColor="text1"/>
          <w:sz w:val="20"/>
          <w:szCs w:val="20"/>
          <w:lang w:val="en-US" w:eastAsia="en-US"/>
        </w:rPr>
        <w:t>low, medium-low, medium-high, high</w:t>
      </w:r>
      <w:r w:rsidR="00FC307D" w:rsidRPr="00892CA6">
        <w:rPr>
          <w:rFonts w:ascii="Verdana" w:eastAsiaTheme="minorHAnsi" w:hAnsi="Verdana" w:cstheme="minorHAnsi"/>
          <w:color w:val="000000" w:themeColor="text1"/>
          <w:sz w:val="20"/>
          <w:szCs w:val="20"/>
          <w:lang w:val="en-US" w:eastAsia="en-US"/>
        </w:rPr>
        <w:t xml:space="preserve">. This approach is in line with the </w:t>
      </w:r>
      <w:r w:rsidR="00A16B1B" w:rsidRPr="00892CA6">
        <w:rPr>
          <w:rFonts w:ascii="Verdana" w:eastAsiaTheme="minorHAnsi" w:hAnsi="Verdana" w:cstheme="minorHAnsi"/>
          <w:color w:val="000000" w:themeColor="text1"/>
          <w:sz w:val="20"/>
          <w:szCs w:val="20"/>
          <w:lang w:val="en-US" w:eastAsia="en-US"/>
        </w:rPr>
        <w:t>CIMA</w:t>
      </w:r>
      <w:r w:rsidR="00FC307D" w:rsidRPr="00892CA6">
        <w:rPr>
          <w:rFonts w:ascii="Verdana" w:eastAsiaTheme="minorHAnsi" w:hAnsi="Verdana" w:cstheme="minorHAnsi"/>
          <w:color w:val="000000" w:themeColor="text1"/>
          <w:sz w:val="20"/>
          <w:szCs w:val="20"/>
          <w:lang w:val="en-US" w:eastAsia="en-US"/>
        </w:rPr>
        <w:t xml:space="preserve"> 2017 AML/CFT Sector Specific Risk Assessments. </w:t>
      </w:r>
      <w:r w:rsidR="00FC307D" w:rsidRPr="00892CA6">
        <w:rPr>
          <w:rFonts w:ascii="Verdana" w:eastAsiaTheme="minorHAnsi" w:hAnsi="Verdana" w:cstheme="minorHAnsi"/>
          <w:color w:val="000000" w:themeColor="text1"/>
          <w:sz w:val="20"/>
          <w:szCs w:val="20"/>
          <w:lang w:eastAsia="en-US"/>
        </w:rPr>
        <w:t xml:space="preserve">The rating scale used to determine inherent risks for the purpose of this exercise </w:t>
      </w:r>
      <w:r w:rsidR="00732A42" w:rsidRPr="00892CA6">
        <w:rPr>
          <w:rFonts w:ascii="Verdana" w:eastAsiaTheme="minorHAnsi" w:hAnsi="Verdana" w:cstheme="minorHAnsi"/>
          <w:color w:val="000000" w:themeColor="text1"/>
          <w:sz w:val="20"/>
          <w:szCs w:val="20"/>
          <w:lang w:eastAsia="en-US"/>
        </w:rPr>
        <w:t>is based on professional judgement and experience and is shown</w:t>
      </w:r>
      <w:r w:rsidR="004F5203" w:rsidRPr="00892CA6">
        <w:rPr>
          <w:rFonts w:ascii="Verdana" w:eastAsiaTheme="minorHAnsi" w:hAnsi="Verdana" w:cstheme="minorHAnsi"/>
          <w:color w:val="000000" w:themeColor="text1"/>
          <w:sz w:val="20"/>
          <w:szCs w:val="20"/>
          <w:lang w:eastAsia="en-US"/>
        </w:rPr>
        <w:t xml:space="preserve"> below</w:t>
      </w:r>
      <w:r w:rsidR="00FC307D" w:rsidRPr="00892CA6">
        <w:rPr>
          <w:rFonts w:ascii="Verdana" w:eastAsiaTheme="minorHAnsi" w:hAnsi="Verdana" w:cstheme="minorHAnsi"/>
          <w:color w:val="000000" w:themeColor="text1"/>
          <w:sz w:val="20"/>
          <w:szCs w:val="20"/>
          <w:lang w:eastAsia="en-US"/>
        </w:rPr>
        <w:t>:</w:t>
      </w:r>
    </w:p>
    <w:tbl>
      <w:tblPr>
        <w:tblStyle w:val="TableGrid"/>
        <w:tblW w:w="0" w:type="auto"/>
        <w:jc w:val="center"/>
        <w:tblLook w:val="04A0" w:firstRow="1" w:lastRow="0" w:firstColumn="1" w:lastColumn="0" w:noHBand="0" w:noVBand="1"/>
      </w:tblPr>
      <w:tblGrid>
        <w:gridCol w:w="2263"/>
        <w:gridCol w:w="2977"/>
      </w:tblGrid>
      <w:tr w:rsidR="00FC307D" w:rsidRPr="001D0A24" w14:paraId="1932ABB5" w14:textId="77777777" w:rsidTr="00850590">
        <w:trPr>
          <w:jc w:val="center"/>
        </w:trPr>
        <w:tc>
          <w:tcPr>
            <w:tcW w:w="2263" w:type="dxa"/>
            <w:shd w:val="clear" w:color="auto" w:fill="00B050"/>
          </w:tcPr>
          <w:p w14:paraId="3BB68D6B"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low</w:t>
            </w:r>
          </w:p>
        </w:tc>
        <w:tc>
          <w:tcPr>
            <w:tcW w:w="2977" w:type="dxa"/>
          </w:tcPr>
          <w:p w14:paraId="655C18DC" w14:textId="40896662"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unlikely</w:t>
            </w:r>
          </w:p>
        </w:tc>
      </w:tr>
      <w:tr w:rsidR="00FC307D" w:rsidRPr="001D0A24" w14:paraId="558D3043" w14:textId="77777777" w:rsidTr="00850590">
        <w:trPr>
          <w:jc w:val="center"/>
        </w:trPr>
        <w:tc>
          <w:tcPr>
            <w:tcW w:w="2263" w:type="dxa"/>
            <w:shd w:val="clear" w:color="auto" w:fill="FFFF00"/>
          </w:tcPr>
          <w:p w14:paraId="47F1F4ED"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medium-low</w:t>
            </w:r>
          </w:p>
        </w:tc>
        <w:tc>
          <w:tcPr>
            <w:tcW w:w="2977" w:type="dxa"/>
          </w:tcPr>
          <w:p w14:paraId="284E0E74" w14:textId="72298C0C"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possible</w:t>
            </w:r>
          </w:p>
        </w:tc>
      </w:tr>
      <w:tr w:rsidR="00FC307D" w:rsidRPr="001D0A24" w14:paraId="73B7F241" w14:textId="77777777" w:rsidTr="00850590">
        <w:trPr>
          <w:jc w:val="center"/>
        </w:trPr>
        <w:tc>
          <w:tcPr>
            <w:tcW w:w="2263" w:type="dxa"/>
            <w:shd w:val="clear" w:color="auto" w:fill="FFC000"/>
          </w:tcPr>
          <w:p w14:paraId="2481560E"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medium-high</w:t>
            </w:r>
          </w:p>
        </w:tc>
        <w:tc>
          <w:tcPr>
            <w:tcW w:w="2977" w:type="dxa"/>
          </w:tcPr>
          <w:p w14:paraId="10CF1727" w14:textId="3EEEAF61"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likely</w:t>
            </w:r>
          </w:p>
        </w:tc>
      </w:tr>
      <w:tr w:rsidR="00FC307D" w:rsidRPr="001D0A24" w14:paraId="1A2C1433" w14:textId="77777777" w:rsidTr="00850590">
        <w:trPr>
          <w:jc w:val="center"/>
        </w:trPr>
        <w:tc>
          <w:tcPr>
            <w:tcW w:w="2263" w:type="dxa"/>
            <w:shd w:val="clear" w:color="auto" w:fill="FF0000"/>
          </w:tcPr>
          <w:p w14:paraId="72D5A591" w14:textId="77777777"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high</w:t>
            </w:r>
          </w:p>
        </w:tc>
        <w:tc>
          <w:tcPr>
            <w:tcW w:w="2977" w:type="dxa"/>
          </w:tcPr>
          <w:p w14:paraId="093D928E" w14:textId="4F93398A" w:rsidR="00FC307D" w:rsidRPr="00892CA6" w:rsidRDefault="00FC307D" w:rsidP="00850590">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very likely</w:t>
            </w:r>
          </w:p>
        </w:tc>
      </w:tr>
    </w:tbl>
    <w:p w14:paraId="43651DDF" w14:textId="77777777" w:rsidR="00FC307D" w:rsidRPr="00892CA6" w:rsidRDefault="00FC307D" w:rsidP="00FC307D">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val="en-GB"/>
        </w:rPr>
      </w:pPr>
    </w:p>
    <w:p w14:paraId="65147DF1" w14:textId="7A15C04B" w:rsidR="00FC307D" w:rsidRDefault="00FC307D" w:rsidP="00FC307D">
      <w:pPr>
        <w:pStyle w:val="NormalWeb"/>
        <w:numPr>
          <w:ilvl w:val="0"/>
          <w:numId w:val="3"/>
        </w:numPr>
        <w:spacing w:before="0" w:beforeAutospacing="0" w:after="0" w:afterAutospacing="0" w:line="276" w:lineRule="auto"/>
        <w:ind w:left="0" w:firstLine="0"/>
        <w:contextualSpacing/>
        <w:jc w:val="both"/>
        <w:rPr>
          <w:rFonts w:ascii="Verdana" w:eastAsiaTheme="minorHAnsi" w:hAnsi="Verdana" w:cstheme="minorHAnsi"/>
          <w:color w:val="000000" w:themeColor="text1"/>
          <w:sz w:val="20"/>
          <w:szCs w:val="20"/>
          <w:lang w:eastAsia="en-US"/>
        </w:rPr>
      </w:pPr>
      <w:r w:rsidRPr="00892CA6">
        <w:rPr>
          <w:rFonts w:ascii="Verdana" w:eastAsiaTheme="minorHAnsi" w:hAnsi="Verdana" w:cstheme="minorHAnsi"/>
          <w:color w:val="000000" w:themeColor="text1"/>
          <w:sz w:val="20"/>
          <w:szCs w:val="20"/>
          <w:lang w:eastAsia="en-US"/>
        </w:rPr>
        <w:t xml:space="preserve">To allow for a structured analysis of </w:t>
      </w:r>
      <w:r w:rsidR="00E647E4" w:rsidRPr="00892CA6">
        <w:rPr>
          <w:rFonts w:ascii="Verdana" w:eastAsiaTheme="minorHAnsi" w:hAnsi="Verdana" w:cstheme="minorHAnsi"/>
          <w:color w:val="000000" w:themeColor="text1"/>
          <w:sz w:val="20"/>
          <w:szCs w:val="20"/>
          <w:lang w:eastAsia="en-US"/>
        </w:rPr>
        <w:t>available</w:t>
      </w:r>
      <w:r w:rsidRPr="00892CA6">
        <w:rPr>
          <w:rFonts w:ascii="Verdana" w:eastAsiaTheme="minorHAnsi" w:hAnsi="Verdana" w:cstheme="minorHAnsi"/>
          <w:color w:val="000000" w:themeColor="text1"/>
          <w:sz w:val="20"/>
          <w:szCs w:val="20"/>
          <w:lang w:eastAsia="en-US"/>
        </w:rPr>
        <w:t xml:space="preserve"> data, it was necessary to define the term “high risk jurisdiction.” Countries with weak or insufficient AML/CFT measures present a higher ML/TF risk as do countries associated with high degrees of bribery and corruption, tax evasion, terrorism, conflict zones and organized crime. </w:t>
      </w:r>
      <w:r w:rsidR="008F0D68">
        <w:rPr>
          <w:rFonts w:ascii="Verdana" w:eastAsiaTheme="minorHAnsi" w:hAnsi="Verdana" w:cstheme="minorHAnsi"/>
          <w:color w:val="000000" w:themeColor="text1"/>
          <w:sz w:val="20"/>
          <w:szCs w:val="20"/>
          <w:lang w:eastAsia="en-US"/>
        </w:rPr>
        <w:t>For the purpose of this analysis, c</w:t>
      </w:r>
      <w:r w:rsidRPr="00892CA6">
        <w:rPr>
          <w:rFonts w:ascii="Verdana" w:eastAsiaTheme="minorHAnsi" w:hAnsi="Verdana" w:cstheme="minorHAnsi"/>
          <w:color w:val="000000" w:themeColor="text1"/>
          <w:sz w:val="20"/>
          <w:szCs w:val="20"/>
          <w:lang w:eastAsia="en-US"/>
        </w:rPr>
        <w:t xml:space="preserve">ountries focused on were those on the </w:t>
      </w:r>
      <w:r w:rsidR="008F0348">
        <w:rPr>
          <w:rFonts w:ascii="Verdana" w:eastAsiaTheme="minorHAnsi" w:hAnsi="Verdana" w:cstheme="minorHAnsi"/>
          <w:color w:val="000000" w:themeColor="text1"/>
          <w:sz w:val="20"/>
          <w:szCs w:val="20"/>
          <w:lang w:eastAsia="en-US"/>
        </w:rPr>
        <w:t xml:space="preserve">most recent </w:t>
      </w:r>
      <w:r w:rsidRPr="00892CA6">
        <w:rPr>
          <w:rFonts w:ascii="Verdana" w:eastAsiaTheme="minorHAnsi" w:hAnsi="Verdana" w:cstheme="minorHAnsi"/>
          <w:color w:val="000000" w:themeColor="text1"/>
          <w:sz w:val="20"/>
          <w:szCs w:val="20"/>
          <w:lang w:eastAsia="en-US"/>
        </w:rPr>
        <w:t>FATF list of high-risk and other monitored jurisdictions</w:t>
      </w:r>
      <w:r w:rsidR="00E94DDF">
        <w:rPr>
          <w:rFonts w:ascii="Verdana" w:eastAsiaTheme="minorHAnsi" w:hAnsi="Verdana" w:cstheme="minorHAnsi"/>
          <w:color w:val="000000" w:themeColor="text1"/>
          <w:sz w:val="20"/>
          <w:szCs w:val="20"/>
          <w:lang w:eastAsia="en-US"/>
        </w:rPr>
        <w:t>;</w:t>
      </w:r>
      <w:r w:rsidRPr="00892CA6">
        <w:rPr>
          <w:rFonts w:ascii="Verdana" w:eastAsiaTheme="minorHAnsi" w:hAnsi="Verdana" w:cstheme="minorHAnsi"/>
          <w:sz w:val="16"/>
          <w:szCs w:val="16"/>
          <w:vertAlign w:val="superscript"/>
          <w:lang w:eastAsia="en-US"/>
        </w:rPr>
        <w:footnoteReference w:id="3"/>
      </w:r>
      <w:r w:rsidRPr="00892CA6">
        <w:rPr>
          <w:rFonts w:ascii="Verdana" w:eastAsiaTheme="minorHAnsi" w:hAnsi="Verdana" w:cstheme="minorHAnsi"/>
          <w:color w:val="000000" w:themeColor="text1"/>
          <w:sz w:val="16"/>
          <w:szCs w:val="16"/>
          <w:lang w:eastAsia="en-US"/>
        </w:rPr>
        <w:t xml:space="preserve"> </w:t>
      </w:r>
      <w:r w:rsidRPr="00892CA6">
        <w:rPr>
          <w:rFonts w:ascii="Verdana" w:eastAsiaTheme="minorHAnsi" w:hAnsi="Verdana" w:cstheme="minorHAnsi"/>
          <w:color w:val="000000" w:themeColor="text1"/>
          <w:sz w:val="20"/>
          <w:szCs w:val="20"/>
          <w:lang w:eastAsia="en-US"/>
        </w:rPr>
        <w:t xml:space="preserve">countries </w:t>
      </w:r>
      <w:r w:rsidR="00A0438C">
        <w:rPr>
          <w:rFonts w:ascii="Verdana" w:eastAsiaTheme="minorHAnsi" w:hAnsi="Verdana" w:cstheme="minorHAnsi"/>
          <w:color w:val="000000" w:themeColor="text1"/>
          <w:sz w:val="20"/>
          <w:szCs w:val="20"/>
          <w:lang w:eastAsia="en-US"/>
        </w:rPr>
        <w:t>on</w:t>
      </w:r>
      <w:r w:rsidRPr="00892CA6">
        <w:rPr>
          <w:rFonts w:ascii="Verdana" w:eastAsiaTheme="minorHAnsi" w:hAnsi="Verdana" w:cstheme="minorHAnsi"/>
          <w:color w:val="000000" w:themeColor="text1"/>
          <w:sz w:val="20"/>
          <w:szCs w:val="20"/>
          <w:lang w:eastAsia="en-US"/>
        </w:rPr>
        <w:t xml:space="preserve"> </w:t>
      </w:r>
      <w:r w:rsidR="00170996" w:rsidRPr="00892CA6">
        <w:rPr>
          <w:rFonts w:ascii="Verdana" w:eastAsiaTheme="minorHAnsi" w:hAnsi="Verdana" w:cstheme="minorHAnsi"/>
          <w:color w:val="000000" w:themeColor="text1"/>
          <w:sz w:val="20"/>
          <w:szCs w:val="20"/>
          <w:lang w:eastAsia="en-US"/>
        </w:rPr>
        <w:t>the UK Her Majesty Treasury list</w:t>
      </w:r>
      <w:r w:rsidR="00A0438C" w:rsidRPr="000333A2">
        <w:rPr>
          <w:rFonts w:ascii="Verdana" w:eastAsiaTheme="minorHAnsi" w:hAnsi="Verdana" w:cstheme="minorHAnsi"/>
          <w:sz w:val="16"/>
          <w:szCs w:val="16"/>
          <w:vertAlign w:val="superscript"/>
          <w:lang w:eastAsia="en-US"/>
        </w:rPr>
        <w:footnoteReference w:id="4"/>
      </w:r>
      <w:r w:rsidR="00A0438C">
        <w:rPr>
          <w:rFonts w:ascii="Verdana" w:eastAsiaTheme="minorHAnsi" w:hAnsi="Verdana" w:cstheme="minorHAnsi"/>
          <w:color w:val="000000" w:themeColor="text1"/>
          <w:sz w:val="20"/>
          <w:szCs w:val="20"/>
          <w:lang w:eastAsia="en-US"/>
        </w:rPr>
        <w:t xml:space="preserve"> </w:t>
      </w:r>
      <w:r w:rsidR="008F0348">
        <w:rPr>
          <w:rFonts w:ascii="Verdana" w:eastAsiaTheme="minorHAnsi" w:hAnsi="Verdana" w:cstheme="minorHAnsi"/>
          <w:color w:val="000000" w:themeColor="text1"/>
          <w:sz w:val="20"/>
          <w:szCs w:val="20"/>
          <w:lang w:eastAsia="en-US"/>
        </w:rPr>
        <w:t>updated in 2019</w:t>
      </w:r>
      <w:r w:rsidRPr="00892CA6">
        <w:rPr>
          <w:rFonts w:ascii="Verdana" w:eastAsiaTheme="minorHAnsi" w:hAnsi="Verdana" w:cstheme="minorHAnsi"/>
          <w:color w:val="000000" w:themeColor="text1"/>
          <w:sz w:val="20"/>
          <w:szCs w:val="20"/>
          <w:lang w:eastAsia="en-US"/>
        </w:rPr>
        <w:t>, the first 20 countries on the Basel AML Index issued by the Basel Institute on Governance</w:t>
      </w:r>
      <w:r w:rsidRPr="00892CA6">
        <w:rPr>
          <w:rFonts w:ascii="Verdana" w:eastAsiaTheme="minorHAnsi" w:hAnsi="Verdana" w:cstheme="minorHAnsi"/>
          <w:sz w:val="16"/>
          <w:szCs w:val="16"/>
          <w:vertAlign w:val="superscript"/>
          <w:lang w:eastAsia="en-US"/>
        </w:rPr>
        <w:footnoteReference w:id="5"/>
      </w:r>
      <w:r w:rsidR="007E3E58" w:rsidRPr="00892CA6">
        <w:rPr>
          <w:rFonts w:ascii="Verdana" w:eastAsiaTheme="minorHAnsi" w:hAnsi="Verdana" w:cstheme="minorHAnsi"/>
          <w:color w:val="000000" w:themeColor="text1"/>
          <w:sz w:val="20"/>
          <w:szCs w:val="20"/>
          <w:lang w:eastAsia="en-US"/>
        </w:rPr>
        <w:t xml:space="preserve"> </w:t>
      </w:r>
      <w:r w:rsidR="008F0348">
        <w:rPr>
          <w:rFonts w:ascii="Verdana" w:eastAsiaTheme="minorHAnsi" w:hAnsi="Verdana" w:cstheme="minorHAnsi"/>
          <w:color w:val="000000" w:themeColor="text1"/>
          <w:sz w:val="20"/>
          <w:szCs w:val="20"/>
          <w:lang w:eastAsia="en-US"/>
        </w:rPr>
        <w:t xml:space="preserve">in 2019 </w:t>
      </w:r>
      <w:r w:rsidR="007E3E58" w:rsidRPr="00892CA6">
        <w:rPr>
          <w:rFonts w:ascii="Verdana" w:eastAsiaTheme="minorHAnsi" w:hAnsi="Verdana" w:cstheme="minorHAnsi"/>
          <w:color w:val="000000" w:themeColor="text1"/>
          <w:sz w:val="20"/>
          <w:szCs w:val="20"/>
          <w:lang w:eastAsia="en-US"/>
        </w:rPr>
        <w:t>and the first 19 countries on the Global Terrorism Index for 2018</w:t>
      </w:r>
      <w:r w:rsidR="007E3E58" w:rsidRPr="00892CA6">
        <w:rPr>
          <w:rStyle w:val="FootnoteReference"/>
          <w:rFonts w:ascii="Verdana" w:eastAsiaTheme="minorHAnsi" w:hAnsi="Verdana" w:cstheme="minorHAnsi"/>
          <w:color w:val="000000" w:themeColor="text1"/>
          <w:sz w:val="16"/>
          <w:szCs w:val="16"/>
          <w:lang w:eastAsia="en-US"/>
        </w:rPr>
        <w:footnoteReference w:id="6"/>
      </w:r>
      <w:r w:rsidRPr="00892CA6">
        <w:rPr>
          <w:rFonts w:ascii="Verdana" w:eastAsiaTheme="minorHAnsi" w:hAnsi="Verdana" w:cstheme="minorHAnsi"/>
          <w:color w:val="000000" w:themeColor="text1"/>
          <w:sz w:val="20"/>
          <w:szCs w:val="20"/>
          <w:lang w:eastAsia="en-US"/>
        </w:rPr>
        <w:t xml:space="preserve">. </w:t>
      </w:r>
    </w:p>
    <w:p w14:paraId="11976DE6" w14:textId="68C1D9D7" w:rsidR="00A0438C" w:rsidRDefault="00A0438C" w:rsidP="00892CA6">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eastAsia="en-US"/>
        </w:rPr>
      </w:pPr>
    </w:p>
    <w:p w14:paraId="6FCEEB5D" w14:textId="70283BF4" w:rsidR="00892CA6" w:rsidRDefault="00892CA6" w:rsidP="00892CA6">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eastAsia="en-US"/>
        </w:rPr>
      </w:pPr>
    </w:p>
    <w:p w14:paraId="5290F281" w14:textId="1DB42A3D" w:rsidR="00892CA6" w:rsidRDefault="00892CA6" w:rsidP="00892CA6">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eastAsia="en-US"/>
        </w:rPr>
      </w:pPr>
    </w:p>
    <w:p w14:paraId="23C524CD" w14:textId="77777777" w:rsidR="00892CA6" w:rsidRPr="00892CA6" w:rsidRDefault="00892CA6" w:rsidP="00892CA6">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eastAsia="en-US"/>
        </w:rPr>
      </w:pPr>
    </w:p>
    <w:p w14:paraId="1D3E9C04" w14:textId="21E63D53" w:rsidR="009E354B" w:rsidRPr="00892CA6" w:rsidRDefault="009E354B" w:rsidP="004E5F89">
      <w:pPr>
        <w:pStyle w:val="Heading2"/>
        <w:rPr>
          <w:rFonts w:ascii="Verdana" w:hAnsi="Verdana" w:cstheme="minorHAnsi"/>
          <w:b/>
          <w:bCs/>
          <w:sz w:val="20"/>
          <w:szCs w:val="20"/>
          <w:lang w:val="en-US"/>
        </w:rPr>
      </w:pPr>
      <w:r w:rsidRPr="00892CA6">
        <w:rPr>
          <w:rFonts w:ascii="Verdana" w:hAnsi="Verdana" w:cstheme="minorHAnsi"/>
          <w:b/>
          <w:bCs/>
          <w:sz w:val="20"/>
          <w:szCs w:val="20"/>
          <w:lang w:val="en-US"/>
        </w:rPr>
        <w:t xml:space="preserve">Description of </w:t>
      </w:r>
      <w:r w:rsidR="004F5203" w:rsidRPr="00892CA6">
        <w:rPr>
          <w:rFonts w:ascii="Verdana" w:hAnsi="Verdana" w:cstheme="minorHAnsi"/>
          <w:b/>
          <w:bCs/>
          <w:sz w:val="20"/>
          <w:szCs w:val="20"/>
          <w:lang w:val="en-US"/>
        </w:rPr>
        <w:t xml:space="preserve">the </w:t>
      </w:r>
      <w:r w:rsidR="00851F2A" w:rsidRPr="00892CA6">
        <w:rPr>
          <w:rFonts w:ascii="Verdana" w:hAnsi="Verdana" w:cstheme="minorHAnsi"/>
          <w:b/>
          <w:bCs/>
          <w:sz w:val="20"/>
          <w:szCs w:val="20"/>
          <w:lang w:val="en-US"/>
        </w:rPr>
        <w:t xml:space="preserve">MSB </w:t>
      </w:r>
      <w:r w:rsidR="004F5203" w:rsidRPr="00892CA6">
        <w:rPr>
          <w:rFonts w:ascii="Verdana" w:hAnsi="Verdana" w:cstheme="minorHAnsi"/>
          <w:b/>
          <w:bCs/>
          <w:sz w:val="20"/>
          <w:szCs w:val="20"/>
          <w:lang w:val="en-US"/>
        </w:rPr>
        <w:t>Sector</w:t>
      </w:r>
    </w:p>
    <w:p w14:paraId="4CDA1328" w14:textId="4BCE0C88" w:rsidR="00B9191C" w:rsidRPr="00892CA6" w:rsidRDefault="009E354B" w:rsidP="000D0F62">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All </w:t>
      </w:r>
      <w:r w:rsidR="009D3703" w:rsidRPr="00892CA6">
        <w:rPr>
          <w:rFonts w:ascii="Verdana" w:eastAsiaTheme="minorHAnsi" w:hAnsi="Verdana" w:cstheme="minorHAnsi"/>
          <w:color w:val="000000" w:themeColor="text1"/>
          <w:sz w:val="20"/>
          <w:szCs w:val="20"/>
          <w:lang w:val="en-US" w:eastAsia="en-US"/>
        </w:rPr>
        <w:t xml:space="preserve">MSBs </w:t>
      </w:r>
      <w:r w:rsidRPr="00892CA6">
        <w:rPr>
          <w:rFonts w:ascii="Verdana" w:eastAsiaTheme="minorHAnsi" w:hAnsi="Verdana" w:cstheme="minorHAnsi"/>
          <w:color w:val="000000" w:themeColor="text1"/>
          <w:sz w:val="20"/>
          <w:szCs w:val="20"/>
          <w:lang w:val="en-US" w:eastAsia="en-US"/>
        </w:rPr>
        <w:t xml:space="preserve">in </w:t>
      </w:r>
      <w:r w:rsidR="00B427B8" w:rsidRPr="00892CA6">
        <w:rPr>
          <w:rFonts w:ascii="Verdana" w:eastAsiaTheme="minorHAnsi" w:hAnsi="Verdana" w:cstheme="minorHAnsi"/>
          <w:color w:val="000000" w:themeColor="text1"/>
          <w:sz w:val="20"/>
          <w:szCs w:val="20"/>
          <w:lang w:val="en-US" w:eastAsia="en-US"/>
        </w:rPr>
        <w:t xml:space="preserve">the </w:t>
      </w:r>
      <w:r w:rsidRPr="00892CA6">
        <w:rPr>
          <w:rFonts w:ascii="Verdana" w:eastAsiaTheme="minorHAnsi" w:hAnsi="Verdana" w:cstheme="minorHAnsi"/>
          <w:color w:val="000000" w:themeColor="text1"/>
          <w:sz w:val="20"/>
          <w:szCs w:val="20"/>
          <w:lang w:val="en-US" w:eastAsia="en-US"/>
        </w:rPr>
        <w:t xml:space="preserve">Cayman Islands are licensed and regulated by CIMA in accordance with the </w:t>
      </w:r>
      <w:r w:rsidR="009D3703" w:rsidRPr="00892CA6">
        <w:rPr>
          <w:rFonts w:ascii="Verdana" w:eastAsiaTheme="minorHAnsi" w:hAnsi="Verdana" w:cstheme="minorHAnsi"/>
          <w:color w:val="000000" w:themeColor="text1"/>
          <w:sz w:val="20"/>
          <w:szCs w:val="20"/>
          <w:lang w:val="en-US" w:eastAsia="en-US"/>
        </w:rPr>
        <w:t>Money Services Law (the “MSL”)</w:t>
      </w:r>
      <w:r w:rsidRPr="00892CA6">
        <w:rPr>
          <w:rFonts w:ascii="Verdana" w:eastAsiaTheme="minorHAnsi" w:hAnsi="Verdana" w:cstheme="minorHAnsi"/>
          <w:color w:val="000000" w:themeColor="text1"/>
          <w:sz w:val="20"/>
          <w:szCs w:val="20"/>
          <w:lang w:val="en-US" w:eastAsia="en-US"/>
        </w:rPr>
        <w:t>.</w:t>
      </w:r>
      <w:r w:rsidR="00B9191C" w:rsidRPr="00892CA6">
        <w:rPr>
          <w:rFonts w:ascii="Verdana" w:eastAsiaTheme="minorHAnsi" w:hAnsi="Verdana" w:cstheme="minorHAnsi"/>
          <w:color w:val="000000" w:themeColor="text1"/>
          <w:sz w:val="20"/>
          <w:szCs w:val="20"/>
          <w:lang w:val="en-US" w:eastAsia="en-US"/>
        </w:rPr>
        <w:t xml:space="preserve"> The MSL defines a money services business as  </w:t>
      </w:r>
      <w:r w:rsidR="00530FB5">
        <w:rPr>
          <w:rFonts w:ascii="Verdana" w:eastAsiaTheme="minorHAnsi" w:hAnsi="Verdana" w:cstheme="minorHAnsi"/>
          <w:color w:val="000000" w:themeColor="text1"/>
          <w:sz w:val="20"/>
          <w:szCs w:val="20"/>
          <w:lang w:val="en-US" w:eastAsia="en-US"/>
        </w:rPr>
        <w:t xml:space="preserve">(a) </w:t>
      </w:r>
      <w:r w:rsidR="00B9191C" w:rsidRPr="00892CA6">
        <w:rPr>
          <w:rFonts w:ascii="Verdana" w:eastAsiaTheme="minorHAnsi" w:hAnsi="Verdana" w:cstheme="minorHAnsi"/>
          <w:color w:val="000000" w:themeColor="text1"/>
          <w:sz w:val="20"/>
          <w:szCs w:val="20"/>
          <w:lang w:val="en-US" w:eastAsia="en-US"/>
        </w:rPr>
        <w:t xml:space="preserve">the business of providing </w:t>
      </w:r>
      <w:r w:rsidR="00783AFD">
        <w:rPr>
          <w:rFonts w:ascii="Verdana" w:eastAsiaTheme="minorHAnsi" w:hAnsi="Verdana" w:cstheme="minorHAnsi"/>
          <w:color w:val="000000" w:themeColor="text1"/>
          <w:sz w:val="20"/>
          <w:szCs w:val="20"/>
          <w:lang w:val="en-US" w:eastAsia="en-US"/>
        </w:rPr>
        <w:t xml:space="preserve">in or from within the Islands </w:t>
      </w:r>
      <w:r w:rsidR="00B9191C" w:rsidRPr="00892CA6">
        <w:rPr>
          <w:rFonts w:ascii="Verdana" w:eastAsiaTheme="minorHAnsi" w:hAnsi="Verdana" w:cstheme="minorHAnsi"/>
          <w:color w:val="000000" w:themeColor="text1"/>
          <w:sz w:val="20"/>
          <w:szCs w:val="20"/>
          <w:lang w:val="en-US" w:eastAsia="en-US"/>
        </w:rPr>
        <w:t xml:space="preserve"> any  of the following services; </w:t>
      </w:r>
      <w:r w:rsidRPr="00892CA6">
        <w:rPr>
          <w:rFonts w:ascii="Verdana" w:eastAsiaTheme="minorHAnsi" w:hAnsi="Verdana" w:cstheme="minorHAnsi"/>
          <w:color w:val="000000" w:themeColor="text1"/>
          <w:sz w:val="20"/>
          <w:szCs w:val="20"/>
          <w:lang w:val="en-US" w:eastAsia="en-US"/>
        </w:rPr>
        <w:t xml:space="preserve"> </w:t>
      </w:r>
      <w:r w:rsidR="00B9191C" w:rsidRPr="00892CA6">
        <w:rPr>
          <w:rFonts w:ascii="Verdana" w:eastAsiaTheme="minorHAnsi" w:hAnsi="Verdana" w:cstheme="minorHAnsi"/>
          <w:color w:val="000000" w:themeColor="text1"/>
          <w:sz w:val="20"/>
          <w:szCs w:val="20"/>
          <w:lang w:val="en-US" w:eastAsia="en-US"/>
        </w:rPr>
        <w:t xml:space="preserve">money transmission, cheque cashing, currency exchange, the issuance, sale or redemption of money orders or traveler’s cheques and such other services as the Governor in Cabinet may specify by notice in the Gazette or (b) </w:t>
      </w:r>
      <w:r w:rsidR="00B9191C" w:rsidRPr="00892CA6">
        <w:rPr>
          <w:rFonts w:ascii="Verdana" w:hAnsi="Verdana" w:cstheme="minorHAnsi"/>
          <w:sz w:val="20"/>
          <w:szCs w:val="20"/>
        </w:rPr>
        <w:t>the business of operating as an agent or franchise holder of a business mentioned in (a).</w:t>
      </w:r>
      <w:r w:rsidR="00B9191C" w:rsidRPr="00892CA6">
        <w:rPr>
          <w:rFonts w:ascii="Verdana" w:eastAsiaTheme="minorHAnsi" w:hAnsi="Verdana" w:cstheme="minorHAnsi"/>
          <w:color w:val="000000" w:themeColor="text1"/>
          <w:sz w:val="20"/>
          <w:szCs w:val="20"/>
          <w:lang w:val="en-US" w:eastAsia="en-US"/>
        </w:rPr>
        <w:t xml:space="preserve"> </w:t>
      </w:r>
    </w:p>
    <w:p w14:paraId="7B34CD94" w14:textId="1A92C5B1" w:rsidR="00BB43B6" w:rsidRPr="00892CA6" w:rsidRDefault="009A36BC" w:rsidP="000D0F62">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As of September 2019, </w:t>
      </w:r>
      <w:r w:rsidR="00B427B8" w:rsidRPr="00892CA6">
        <w:rPr>
          <w:rFonts w:ascii="Verdana" w:eastAsiaTheme="minorHAnsi" w:hAnsi="Verdana" w:cstheme="minorHAnsi"/>
          <w:color w:val="000000" w:themeColor="text1"/>
          <w:sz w:val="20"/>
          <w:szCs w:val="20"/>
          <w:lang w:val="en-US" w:eastAsia="en-US"/>
        </w:rPr>
        <w:t xml:space="preserve">the </w:t>
      </w:r>
      <w:r w:rsidRPr="00892CA6">
        <w:rPr>
          <w:rFonts w:ascii="Verdana" w:eastAsiaTheme="minorHAnsi" w:hAnsi="Verdana" w:cstheme="minorHAnsi"/>
          <w:color w:val="000000" w:themeColor="text1"/>
          <w:sz w:val="20"/>
          <w:szCs w:val="20"/>
          <w:lang w:val="en-US" w:eastAsia="en-US"/>
        </w:rPr>
        <w:t xml:space="preserve">Cayman Islands had a total of </w:t>
      </w:r>
      <w:r w:rsidR="00950E58" w:rsidRPr="00892CA6">
        <w:rPr>
          <w:rFonts w:ascii="Verdana" w:eastAsiaTheme="minorHAnsi" w:hAnsi="Verdana" w:cstheme="minorHAnsi"/>
          <w:color w:val="000000" w:themeColor="text1"/>
          <w:sz w:val="20"/>
          <w:szCs w:val="20"/>
          <w:lang w:val="en-US" w:eastAsia="en-US"/>
        </w:rPr>
        <w:t xml:space="preserve">five (5) </w:t>
      </w:r>
      <w:r w:rsidR="00BB43B6" w:rsidRPr="00892CA6">
        <w:rPr>
          <w:rFonts w:ascii="Verdana" w:eastAsiaTheme="minorHAnsi" w:hAnsi="Verdana" w:cstheme="minorHAnsi"/>
          <w:color w:val="000000" w:themeColor="text1"/>
          <w:sz w:val="20"/>
          <w:szCs w:val="20"/>
          <w:lang w:val="en-US" w:eastAsia="en-US"/>
        </w:rPr>
        <w:t xml:space="preserve">licensed </w:t>
      </w:r>
      <w:r w:rsidR="00950E58" w:rsidRPr="00892CA6">
        <w:rPr>
          <w:rFonts w:ascii="Verdana" w:eastAsiaTheme="minorHAnsi" w:hAnsi="Verdana" w:cstheme="minorHAnsi"/>
          <w:color w:val="000000" w:themeColor="text1"/>
          <w:sz w:val="20"/>
          <w:szCs w:val="20"/>
          <w:lang w:val="en-US" w:eastAsia="en-US"/>
        </w:rPr>
        <w:t>MSBs</w:t>
      </w:r>
      <w:r w:rsidR="00BB43B6" w:rsidRPr="00892CA6">
        <w:rPr>
          <w:rFonts w:ascii="Verdana" w:eastAsiaTheme="minorHAnsi" w:hAnsi="Verdana" w:cstheme="minorHAnsi"/>
          <w:color w:val="000000" w:themeColor="text1"/>
          <w:sz w:val="20"/>
          <w:szCs w:val="20"/>
          <w:lang w:val="en-US" w:eastAsia="en-US"/>
        </w:rPr>
        <w:t xml:space="preserve">, of which </w:t>
      </w:r>
      <w:r w:rsidR="00950E58" w:rsidRPr="00892CA6">
        <w:rPr>
          <w:rFonts w:ascii="Verdana" w:eastAsiaTheme="minorHAnsi" w:hAnsi="Verdana" w:cstheme="minorHAnsi"/>
          <w:color w:val="000000" w:themeColor="text1"/>
          <w:sz w:val="20"/>
          <w:szCs w:val="20"/>
          <w:lang w:val="en-US" w:eastAsia="en-US"/>
        </w:rPr>
        <w:t>only three (3) were active in the provision of money services business.</w:t>
      </w:r>
      <w:r w:rsidR="00573BD8" w:rsidRPr="00892CA6">
        <w:rPr>
          <w:rFonts w:ascii="Verdana" w:eastAsiaTheme="minorHAnsi" w:hAnsi="Verdana" w:cstheme="minorHAnsi"/>
          <w:color w:val="000000" w:themeColor="text1"/>
          <w:sz w:val="20"/>
          <w:szCs w:val="20"/>
          <w:lang w:val="en-US" w:eastAsia="en-US"/>
        </w:rPr>
        <w:t xml:space="preserve"> The MSBs cater primarily to the resident domestic market. </w:t>
      </w:r>
    </w:p>
    <w:p w14:paraId="4442C134" w14:textId="06A57735" w:rsidR="00C46ADC" w:rsidRPr="00892CA6" w:rsidRDefault="005263EA" w:rsidP="00C46ADC">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T</w:t>
      </w:r>
      <w:r w:rsidR="006E5BDA" w:rsidRPr="00892CA6">
        <w:rPr>
          <w:rFonts w:ascii="Verdana" w:eastAsiaTheme="minorHAnsi" w:hAnsi="Verdana" w:cstheme="minorHAnsi"/>
          <w:color w:val="000000" w:themeColor="text1"/>
          <w:sz w:val="20"/>
          <w:szCs w:val="20"/>
          <w:lang w:val="en-US" w:eastAsia="en-US"/>
        </w:rPr>
        <w:t xml:space="preserve">he analysis conducted in the </w:t>
      </w:r>
      <w:r w:rsidRPr="00892CA6">
        <w:rPr>
          <w:rFonts w:ascii="Verdana" w:eastAsiaTheme="minorHAnsi" w:hAnsi="Verdana" w:cstheme="minorHAnsi"/>
          <w:color w:val="000000" w:themeColor="text1"/>
          <w:sz w:val="20"/>
          <w:szCs w:val="20"/>
          <w:lang w:val="en-US" w:eastAsia="en-US"/>
        </w:rPr>
        <w:t xml:space="preserve">MSBs </w:t>
      </w:r>
      <w:r w:rsidR="006E5BDA" w:rsidRPr="00892CA6">
        <w:rPr>
          <w:rFonts w:ascii="Verdana" w:eastAsiaTheme="minorHAnsi" w:hAnsi="Verdana" w:cstheme="minorHAnsi"/>
          <w:color w:val="000000" w:themeColor="text1"/>
          <w:sz w:val="20"/>
          <w:szCs w:val="20"/>
          <w:lang w:val="en-US" w:eastAsia="en-US"/>
        </w:rPr>
        <w:t>Risk Assessment results in an allocation of a</w:t>
      </w:r>
      <w:r w:rsidR="00D07DB1" w:rsidRPr="00892CA6">
        <w:rPr>
          <w:rFonts w:ascii="Verdana" w:eastAsiaTheme="minorHAnsi" w:hAnsi="Verdana" w:cstheme="minorHAnsi"/>
          <w:color w:val="000000" w:themeColor="text1"/>
          <w:sz w:val="20"/>
          <w:szCs w:val="20"/>
          <w:lang w:val="en-US" w:eastAsia="en-US"/>
        </w:rPr>
        <w:t xml:space="preserve"> medium-low risk rating for </w:t>
      </w:r>
      <w:r w:rsidRPr="00892CA6">
        <w:rPr>
          <w:rFonts w:ascii="Verdana" w:eastAsiaTheme="minorHAnsi" w:hAnsi="Verdana" w:cstheme="minorHAnsi"/>
          <w:color w:val="000000" w:themeColor="text1"/>
          <w:sz w:val="20"/>
          <w:szCs w:val="20"/>
          <w:lang w:val="en-US" w:eastAsia="en-US"/>
        </w:rPr>
        <w:t xml:space="preserve">the </w:t>
      </w:r>
      <w:r w:rsidR="009C6B47" w:rsidRPr="00892CA6">
        <w:rPr>
          <w:rFonts w:ascii="Verdana" w:eastAsiaTheme="minorHAnsi" w:hAnsi="Verdana" w:cstheme="minorHAnsi"/>
          <w:color w:val="000000" w:themeColor="text1"/>
          <w:sz w:val="20"/>
          <w:szCs w:val="20"/>
          <w:lang w:val="en-US" w:eastAsia="en-US"/>
        </w:rPr>
        <w:t>s</w:t>
      </w:r>
      <w:r w:rsidRPr="00892CA6">
        <w:rPr>
          <w:rFonts w:ascii="Verdana" w:eastAsiaTheme="minorHAnsi" w:hAnsi="Verdana" w:cstheme="minorHAnsi"/>
          <w:color w:val="000000" w:themeColor="text1"/>
          <w:sz w:val="20"/>
          <w:szCs w:val="20"/>
          <w:lang w:val="en-US" w:eastAsia="en-US"/>
        </w:rPr>
        <w:t>ector</w:t>
      </w:r>
      <w:r w:rsidR="006E5BDA" w:rsidRPr="00892CA6">
        <w:rPr>
          <w:rFonts w:ascii="Verdana" w:eastAsiaTheme="minorHAnsi" w:hAnsi="Verdana" w:cstheme="minorHAnsi"/>
          <w:color w:val="000000" w:themeColor="text1"/>
          <w:sz w:val="20"/>
          <w:szCs w:val="20"/>
          <w:lang w:val="en-US" w:eastAsia="en-US"/>
        </w:rPr>
        <w:t>.</w:t>
      </w:r>
      <w:r w:rsidR="00C46ADC" w:rsidRPr="00892CA6">
        <w:rPr>
          <w:rFonts w:ascii="Verdana" w:eastAsiaTheme="minorHAnsi" w:hAnsi="Verdana" w:cstheme="minorHAnsi"/>
          <w:color w:val="000000" w:themeColor="text1"/>
          <w:sz w:val="20"/>
          <w:szCs w:val="20"/>
          <w:lang w:val="en-US" w:eastAsia="en-US"/>
        </w:rPr>
        <w:t xml:space="preserve"> </w:t>
      </w:r>
    </w:p>
    <w:tbl>
      <w:tblPr>
        <w:tblStyle w:val="TableGrid"/>
        <w:tblW w:w="0" w:type="auto"/>
        <w:jc w:val="center"/>
        <w:tblLook w:val="04A0" w:firstRow="1" w:lastRow="0" w:firstColumn="1" w:lastColumn="0" w:noHBand="0" w:noVBand="1"/>
      </w:tblPr>
      <w:tblGrid>
        <w:gridCol w:w="3550"/>
        <w:gridCol w:w="3539"/>
      </w:tblGrid>
      <w:tr w:rsidR="00C46ADC" w:rsidRPr="001D0A24" w14:paraId="684DE1FC" w14:textId="77777777" w:rsidTr="00850590">
        <w:trPr>
          <w:jc w:val="center"/>
        </w:trPr>
        <w:tc>
          <w:tcPr>
            <w:tcW w:w="3550" w:type="dxa"/>
          </w:tcPr>
          <w:p w14:paraId="56C271E2" w14:textId="14DAD2C5" w:rsidR="00C46ADC" w:rsidRPr="00892CA6" w:rsidRDefault="005F690E" w:rsidP="00850590">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factors</w:t>
            </w:r>
          </w:p>
        </w:tc>
        <w:tc>
          <w:tcPr>
            <w:tcW w:w="3539" w:type="dxa"/>
          </w:tcPr>
          <w:p w14:paraId="7C97D832" w14:textId="29D490FB" w:rsidR="00C46ADC" w:rsidRPr="00892CA6" w:rsidRDefault="005F690E" w:rsidP="00850590">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 xml:space="preserve">Risk rating </w:t>
            </w:r>
          </w:p>
        </w:tc>
      </w:tr>
      <w:tr w:rsidR="00C46ADC" w:rsidRPr="001D0A24" w14:paraId="2CD7AE2D" w14:textId="77777777" w:rsidTr="00AC399A">
        <w:trPr>
          <w:jc w:val="center"/>
        </w:trPr>
        <w:tc>
          <w:tcPr>
            <w:tcW w:w="3550" w:type="dxa"/>
            <w:shd w:val="clear" w:color="auto" w:fill="auto"/>
          </w:tcPr>
          <w:p w14:paraId="0EE36913" w14:textId="1937A888" w:rsidR="00C46ADC" w:rsidRPr="00892CA6" w:rsidRDefault="005F690E"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color w:val="191919"/>
                <w:sz w:val="20"/>
                <w:szCs w:val="20"/>
              </w:rPr>
              <w:t>Nature, scale, diversity and complexity of the sector</w:t>
            </w:r>
          </w:p>
        </w:tc>
        <w:tc>
          <w:tcPr>
            <w:tcW w:w="3539" w:type="dxa"/>
            <w:shd w:val="clear" w:color="auto" w:fill="00B050"/>
          </w:tcPr>
          <w:p w14:paraId="4542C04A" w14:textId="2EB2F602" w:rsidR="00C46ADC" w:rsidRPr="00892CA6" w:rsidRDefault="003F0B11"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 xml:space="preserve">Low </w:t>
            </w:r>
          </w:p>
        </w:tc>
      </w:tr>
      <w:tr w:rsidR="00C46ADC" w:rsidRPr="001D0A24" w14:paraId="1CCC9052" w14:textId="77777777" w:rsidTr="00AC399A">
        <w:trPr>
          <w:jc w:val="center"/>
        </w:trPr>
        <w:tc>
          <w:tcPr>
            <w:tcW w:w="3550" w:type="dxa"/>
            <w:shd w:val="clear" w:color="auto" w:fill="auto"/>
          </w:tcPr>
          <w:p w14:paraId="6941BF46" w14:textId="22946CBE" w:rsidR="00C46ADC" w:rsidRPr="00892CA6" w:rsidRDefault="005F690E"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hAnsi="Verdana" w:cstheme="minorHAnsi"/>
                <w:color w:val="191919"/>
                <w:position w:val="-6"/>
                <w:sz w:val="20"/>
                <w:szCs w:val="20"/>
              </w:rPr>
              <w:t>Types of Customers</w:t>
            </w:r>
          </w:p>
        </w:tc>
        <w:tc>
          <w:tcPr>
            <w:tcW w:w="3539" w:type="dxa"/>
            <w:shd w:val="clear" w:color="auto" w:fill="FFC000"/>
          </w:tcPr>
          <w:p w14:paraId="1A53D2D9" w14:textId="331C6979" w:rsidR="00C46ADC" w:rsidRPr="00892CA6" w:rsidRDefault="00222C22"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shd w:val="clear" w:color="auto" w:fill="FFC000"/>
                <w:lang w:val="en-US" w:eastAsia="en-GB"/>
              </w:rPr>
              <w:t>Medium - high</w:t>
            </w:r>
          </w:p>
        </w:tc>
      </w:tr>
      <w:tr w:rsidR="00C46ADC" w:rsidRPr="001D0A24" w14:paraId="2FD51510" w14:textId="77777777" w:rsidTr="00AC399A">
        <w:trPr>
          <w:jc w:val="center"/>
        </w:trPr>
        <w:tc>
          <w:tcPr>
            <w:tcW w:w="3550" w:type="dxa"/>
            <w:shd w:val="clear" w:color="auto" w:fill="auto"/>
          </w:tcPr>
          <w:p w14:paraId="6EC96A2F" w14:textId="015C79F5" w:rsidR="00C46ADC" w:rsidRPr="00892CA6" w:rsidRDefault="0036213E"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 xml:space="preserve">Transactions, products and service </w:t>
            </w:r>
          </w:p>
        </w:tc>
        <w:tc>
          <w:tcPr>
            <w:tcW w:w="3539" w:type="dxa"/>
            <w:shd w:val="clear" w:color="auto" w:fill="FFFF00"/>
          </w:tcPr>
          <w:p w14:paraId="3FFB8975" w14:textId="6EBC0EFE" w:rsidR="00C46ADC" w:rsidRPr="00892CA6" w:rsidRDefault="00222C22"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Medium - low</w:t>
            </w:r>
            <w:r w:rsidRPr="00892CA6" w:rsidDel="005F690E">
              <w:rPr>
                <w:rFonts w:ascii="Verdana" w:eastAsia="Times New Roman" w:hAnsi="Verdana" w:cstheme="minorHAnsi"/>
                <w:color w:val="191919"/>
                <w:sz w:val="20"/>
                <w:szCs w:val="20"/>
                <w:highlight w:val="red"/>
                <w:lang w:val="en-US" w:eastAsia="en-GB"/>
              </w:rPr>
              <w:t xml:space="preserve"> </w:t>
            </w:r>
          </w:p>
        </w:tc>
      </w:tr>
      <w:tr w:rsidR="00C46ADC" w:rsidRPr="001D0A24" w14:paraId="0EC5C92F" w14:textId="77777777" w:rsidTr="00AC399A">
        <w:trPr>
          <w:jc w:val="center"/>
        </w:trPr>
        <w:tc>
          <w:tcPr>
            <w:tcW w:w="3550" w:type="dxa"/>
            <w:shd w:val="clear" w:color="auto" w:fill="auto"/>
          </w:tcPr>
          <w:p w14:paraId="43F9CF2B" w14:textId="3F9824C1" w:rsidR="00C46ADC" w:rsidRPr="00892CA6" w:rsidRDefault="00C46ADC"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Delivery channel</w:t>
            </w:r>
            <w:r w:rsidR="005F690E" w:rsidRPr="00892CA6">
              <w:rPr>
                <w:rFonts w:ascii="Verdana" w:eastAsia="Times New Roman" w:hAnsi="Verdana" w:cstheme="minorHAnsi"/>
                <w:color w:val="191919"/>
                <w:sz w:val="20"/>
                <w:szCs w:val="20"/>
                <w:lang w:val="en-US" w:eastAsia="en-GB"/>
              </w:rPr>
              <w:t>/agent risk</w:t>
            </w:r>
          </w:p>
        </w:tc>
        <w:tc>
          <w:tcPr>
            <w:tcW w:w="3539" w:type="dxa"/>
            <w:shd w:val="clear" w:color="auto" w:fill="00B050"/>
          </w:tcPr>
          <w:p w14:paraId="618D8F78" w14:textId="4765512D" w:rsidR="00C46ADC" w:rsidRPr="00892CA6" w:rsidRDefault="00222C22" w:rsidP="00850590">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shd w:val="clear" w:color="auto" w:fill="00B050"/>
                <w:lang w:val="en-US" w:eastAsia="en-GB"/>
              </w:rPr>
              <w:t xml:space="preserve">Low </w:t>
            </w:r>
          </w:p>
        </w:tc>
      </w:tr>
      <w:tr w:rsidR="00C46ADC" w:rsidRPr="001D0A24" w14:paraId="2D18FFCC" w14:textId="77777777" w:rsidTr="00AC399A">
        <w:trPr>
          <w:jc w:val="center"/>
        </w:trPr>
        <w:tc>
          <w:tcPr>
            <w:tcW w:w="3550" w:type="dxa"/>
            <w:shd w:val="clear" w:color="auto" w:fill="auto"/>
          </w:tcPr>
          <w:p w14:paraId="54C3DAB4" w14:textId="14E81753" w:rsidR="00C46ADC" w:rsidRPr="00892CA6" w:rsidRDefault="00C46ADC" w:rsidP="00850590">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Overal</w:t>
            </w:r>
            <w:r w:rsidR="005F690E" w:rsidRPr="00892CA6">
              <w:rPr>
                <w:rFonts w:ascii="Verdana" w:eastAsia="Times New Roman" w:hAnsi="Verdana" w:cstheme="minorHAnsi"/>
                <w:b/>
                <w:bCs/>
                <w:color w:val="191919"/>
                <w:sz w:val="20"/>
                <w:szCs w:val="20"/>
                <w:lang w:val="en-US" w:eastAsia="en-GB"/>
              </w:rPr>
              <w:t>l</w:t>
            </w:r>
          </w:p>
        </w:tc>
        <w:tc>
          <w:tcPr>
            <w:tcW w:w="3539" w:type="dxa"/>
            <w:shd w:val="clear" w:color="auto" w:fill="FFFF00"/>
          </w:tcPr>
          <w:p w14:paraId="78AA01EE" w14:textId="6572D588" w:rsidR="00C46ADC" w:rsidRPr="00892CA6" w:rsidRDefault="00C46ADC" w:rsidP="00850590">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highlight w:val="yellow"/>
                <w:lang w:val="en-US" w:eastAsia="en-GB"/>
              </w:rPr>
              <w:t>medium-</w:t>
            </w:r>
            <w:r w:rsidR="003F0B11" w:rsidRPr="00892CA6">
              <w:rPr>
                <w:rFonts w:ascii="Verdana" w:eastAsia="Times New Roman" w:hAnsi="Verdana" w:cstheme="minorHAnsi"/>
                <w:b/>
                <w:bCs/>
                <w:color w:val="191919"/>
                <w:sz w:val="20"/>
                <w:szCs w:val="20"/>
                <w:highlight w:val="yellow"/>
                <w:lang w:val="en-US" w:eastAsia="en-GB"/>
              </w:rPr>
              <w:t>low</w:t>
            </w:r>
          </w:p>
        </w:tc>
      </w:tr>
    </w:tbl>
    <w:p w14:paraId="678F56E7" w14:textId="3AC3A70E" w:rsidR="00F25A48" w:rsidRDefault="00C53996" w:rsidP="00195F06">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195F06">
        <w:rPr>
          <w:rFonts w:ascii="Verdana" w:eastAsiaTheme="minorHAnsi" w:hAnsi="Verdana" w:cstheme="minorHAnsi"/>
          <w:color w:val="000000" w:themeColor="text1"/>
          <w:sz w:val="20"/>
          <w:szCs w:val="20"/>
          <w:lang w:val="en-US" w:eastAsia="en-US"/>
        </w:rPr>
        <w:t xml:space="preserve">In 2017, CIMA conducted </w:t>
      </w:r>
      <w:r w:rsidRPr="003B6CBA">
        <w:rPr>
          <w:rFonts w:ascii="Verdana" w:eastAsiaTheme="minorHAnsi" w:hAnsi="Verdana" w:cstheme="minorHAnsi"/>
          <w:color w:val="000000" w:themeColor="text1"/>
          <w:sz w:val="20"/>
          <w:szCs w:val="20"/>
          <w:lang w:val="en-US" w:eastAsia="en-US"/>
        </w:rPr>
        <w:t xml:space="preserve">sectorial risk assessments and concluded that the MSBs sector was </w:t>
      </w:r>
      <w:r w:rsidR="00F25A48" w:rsidRPr="00195F06">
        <w:rPr>
          <w:rFonts w:ascii="Verdana" w:eastAsiaTheme="minorHAnsi" w:hAnsi="Verdana" w:cstheme="minorHAnsi"/>
          <w:color w:val="000000" w:themeColor="text1"/>
          <w:sz w:val="20"/>
          <w:szCs w:val="20"/>
          <w:lang w:val="en-US" w:eastAsia="en-US"/>
        </w:rPr>
        <w:t>h</w:t>
      </w:r>
      <w:r w:rsidRPr="003B6CBA">
        <w:rPr>
          <w:rFonts w:ascii="Verdana" w:eastAsiaTheme="minorHAnsi" w:hAnsi="Verdana" w:cstheme="minorHAnsi"/>
          <w:color w:val="000000" w:themeColor="text1"/>
          <w:sz w:val="20"/>
          <w:szCs w:val="20"/>
          <w:lang w:val="en-US" w:eastAsia="en-US"/>
        </w:rPr>
        <w:t xml:space="preserve">igh risk. </w:t>
      </w:r>
      <w:r w:rsidR="00EB2088" w:rsidRPr="003B6CBA">
        <w:rPr>
          <w:rFonts w:ascii="Verdana" w:eastAsiaTheme="minorHAnsi" w:hAnsi="Verdana" w:cstheme="minorHAnsi"/>
          <w:color w:val="000000" w:themeColor="text1"/>
          <w:sz w:val="20"/>
          <w:szCs w:val="20"/>
          <w:lang w:val="en-US" w:eastAsia="en-US"/>
        </w:rPr>
        <w:t xml:space="preserve">The FATF Guidance for a Risk-Based Approach for Money or Value Transfer Services </w:t>
      </w:r>
      <w:r w:rsidR="003B6CBA">
        <w:rPr>
          <w:rFonts w:ascii="Verdana" w:eastAsiaTheme="minorHAnsi" w:hAnsi="Verdana" w:cstheme="minorHAnsi"/>
          <w:color w:val="000000" w:themeColor="text1"/>
          <w:sz w:val="20"/>
          <w:szCs w:val="20"/>
          <w:lang w:val="en-US" w:eastAsia="en-US"/>
        </w:rPr>
        <w:t xml:space="preserve">(“MVTS”) </w:t>
      </w:r>
      <w:r w:rsidR="00EB2088" w:rsidRPr="00195F06">
        <w:rPr>
          <w:rFonts w:ascii="Verdana" w:eastAsiaTheme="minorHAnsi" w:hAnsi="Verdana" w:cstheme="minorHAnsi"/>
          <w:color w:val="000000" w:themeColor="text1"/>
          <w:sz w:val="20"/>
          <w:szCs w:val="20"/>
          <w:lang w:val="en-US" w:eastAsia="en-US"/>
        </w:rPr>
        <w:t xml:space="preserve">clarifies that while the MSB providers may act as a conduit </w:t>
      </w:r>
      <w:r w:rsidR="00530FB5">
        <w:rPr>
          <w:rFonts w:ascii="Verdana" w:eastAsiaTheme="minorHAnsi" w:hAnsi="Verdana" w:cstheme="minorHAnsi"/>
          <w:color w:val="000000" w:themeColor="text1"/>
          <w:sz w:val="20"/>
          <w:szCs w:val="20"/>
          <w:lang w:val="en-US" w:eastAsia="en-US"/>
        </w:rPr>
        <w:t>for</w:t>
      </w:r>
      <w:r w:rsidR="00EB2088" w:rsidRPr="00195F06">
        <w:rPr>
          <w:rFonts w:ascii="Verdana" w:eastAsiaTheme="minorHAnsi" w:hAnsi="Verdana" w:cstheme="minorHAnsi"/>
          <w:color w:val="000000" w:themeColor="text1"/>
          <w:sz w:val="20"/>
          <w:szCs w:val="20"/>
          <w:lang w:val="en-US" w:eastAsia="en-US"/>
        </w:rPr>
        <w:t xml:space="preserve"> illegal funds transfers, this should not necessarily result into categorisation of all MSB providers as inherently high ML/TF risk. The same can be said of the sector in general. Per the FATF guidance, “the overall risks and threats are influenced by the extent and quality of regulatory and supervisory framework as well as the implementation of risk-based controls and mitigating measures by each MVTS provider”. </w:t>
      </w:r>
      <w:r w:rsidR="003B6CBA">
        <w:rPr>
          <w:rFonts w:ascii="Verdana" w:eastAsiaTheme="minorHAnsi" w:hAnsi="Verdana" w:cstheme="minorHAnsi"/>
          <w:color w:val="000000" w:themeColor="text1"/>
          <w:sz w:val="20"/>
          <w:szCs w:val="20"/>
          <w:lang w:val="en-US" w:eastAsia="en-US"/>
        </w:rPr>
        <w:t>T</w:t>
      </w:r>
      <w:r w:rsidR="00F25A48" w:rsidRPr="003B6CBA">
        <w:rPr>
          <w:rFonts w:ascii="Verdana" w:eastAsiaTheme="minorHAnsi" w:hAnsi="Verdana" w:cstheme="minorHAnsi"/>
          <w:color w:val="000000" w:themeColor="text1"/>
          <w:sz w:val="20"/>
          <w:szCs w:val="20"/>
          <w:lang w:val="en-US" w:eastAsia="en-US"/>
        </w:rPr>
        <w:t xml:space="preserve">he </w:t>
      </w:r>
      <w:r w:rsidR="00EB2088" w:rsidRPr="00195F06">
        <w:rPr>
          <w:rFonts w:ascii="Verdana" w:eastAsiaTheme="minorHAnsi" w:hAnsi="Verdana" w:cstheme="minorHAnsi"/>
          <w:color w:val="000000" w:themeColor="text1"/>
          <w:sz w:val="20"/>
          <w:szCs w:val="20"/>
          <w:lang w:val="en-US" w:eastAsia="en-US"/>
        </w:rPr>
        <w:t xml:space="preserve">Cayman Islands </w:t>
      </w:r>
      <w:r w:rsidR="00F25A48" w:rsidRPr="003B6CBA">
        <w:rPr>
          <w:rFonts w:ascii="Verdana" w:eastAsiaTheme="minorHAnsi" w:hAnsi="Verdana" w:cstheme="minorHAnsi"/>
          <w:color w:val="000000" w:themeColor="text1"/>
          <w:sz w:val="20"/>
          <w:szCs w:val="20"/>
          <w:lang w:val="en-US" w:eastAsia="en-US"/>
        </w:rPr>
        <w:t xml:space="preserve">MSB sector is </w:t>
      </w:r>
      <w:r w:rsidR="00EB2088" w:rsidRPr="00195F06">
        <w:rPr>
          <w:rFonts w:ascii="Verdana" w:eastAsiaTheme="minorHAnsi" w:hAnsi="Verdana" w:cstheme="minorHAnsi"/>
          <w:color w:val="000000" w:themeColor="text1"/>
          <w:sz w:val="20"/>
          <w:szCs w:val="20"/>
          <w:lang w:val="en-US" w:eastAsia="en-US"/>
        </w:rPr>
        <w:t xml:space="preserve">relatively </w:t>
      </w:r>
      <w:r w:rsidR="00F25A48" w:rsidRPr="003B6CBA">
        <w:rPr>
          <w:rFonts w:ascii="Verdana" w:eastAsiaTheme="minorHAnsi" w:hAnsi="Verdana" w:cstheme="minorHAnsi"/>
          <w:color w:val="000000" w:themeColor="text1"/>
          <w:sz w:val="20"/>
          <w:szCs w:val="20"/>
          <w:lang w:val="en-US" w:eastAsia="en-US"/>
        </w:rPr>
        <w:t xml:space="preserve">small compared to the </w:t>
      </w:r>
      <w:r w:rsidR="00EB2088" w:rsidRPr="00195F06">
        <w:rPr>
          <w:rFonts w:ascii="Verdana" w:eastAsiaTheme="minorHAnsi" w:hAnsi="Verdana" w:cstheme="minorHAnsi"/>
          <w:color w:val="000000" w:themeColor="text1"/>
          <w:sz w:val="20"/>
          <w:szCs w:val="20"/>
          <w:lang w:val="en-US" w:eastAsia="en-US"/>
        </w:rPr>
        <w:t xml:space="preserve">other </w:t>
      </w:r>
      <w:r w:rsidR="00F25A48" w:rsidRPr="003B6CBA">
        <w:rPr>
          <w:rFonts w:ascii="Verdana" w:eastAsiaTheme="minorHAnsi" w:hAnsi="Verdana" w:cstheme="minorHAnsi"/>
          <w:color w:val="000000" w:themeColor="text1"/>
          <w:sz w:val="20"/>
          <w:szCs w:val="20"/>
          <w:lang w:val="en-US" w:eastAsia="en-US"/>
        </w:rPr>
        <w:t>financial services industry</w:t>
      </w:r>
      <w:r w:rsidR="00EB2088" w:rsidRPr="00195F06">
        <w:rPr>
          <w:rFonts w:ascii="Verdana" w:eastAsiaTheme="minorHAnsi" w:hAnsi="Verdana" w:cstheme="minorHAnsi"/>
          <w:color w:val="000000" w:themeColor="text1"/>
          <w:sz w:val="20"/>
          <w:szCs w:val="20"/>
          <w:lang w:val="en-US" w:eastAsia="en-US"/>
        </w:rPr>
        <w:t xml:space="preserve"> sectors</w:t>
      </w:r>
      <w:r w:rsidR="00F25A48" w:rsidRPr="003B6CBA">
        <w:rPr>
          <w:rFonts w:ascii="Verdana" w:eastAsiaTheme="minorHAnsi" w:hAnsi="Verdana" w:cstheme="minorHAnsi"/>
          <w:color w:val="000000" w:themeColor="text1"/>
          <w:sz w:val="20"/>
          <w:szCs w:val="20"/>
          <w:lang w:val="en-US" w:eastAsia="en-US"/>
        </w:rPr>
        <w:t xml:space="preserve">. The sector is composed of very few players that offer products </w:t>
      </w:r>
      <w:r w:rsidR="00EB2088" w:rsidRPr="003B6CBA">
        <w:rPr>
          <w:rFonts w:ascii="Verdana" w:eastAsiaTheme="minorHAnsi" w:hAnsi="Verdana" w:cstheme="minorHAnsi"/>
          <w:color w:val="000000" w:themeColor="text1"/>
          <w:sz w:val="20"/>
          <w:szCs w:val="20"/>
          <w:lang w:val="en-US" w:eastAsia="en-US"/>
        </w:rPr>
        <w:t xml:space="preserve">and services </w:t>
      </w:r>
      <w:r w:rsidR="00F25A48" w:rsidRPr="003B6CBA">
        <w:rPr>
          <w:rFonts w:ascii="Verdana" w:eastAsiaTheme="minorHAnsi" w:hAnsi="Verdana" w:cstheme="minorHAnsi"/>
          <w:color w:val="000000" w:themeColor="text1"/>
          <w:sz w:val="20"/>
          <w:szCs w:val="20"/>
          <w:lang w:val="en-US" w:eastAsia="en-US"/>
        </w:rPr>
        <w:t>that are not considered complex</w:t>
      </w:r>
      <w:r w:rsidR="00EB2088" w:rsidRPr="003B6CBA">
        <w:rPr>
          <w:rFonts w:ascii="Verdana" w:eastAsiaTheme="minorHAnsi" w:hAnsi="Verdana" w:cstheme="minorHAnsi"/>
          <w:color w:val="000000" w:themeColor="text1"/>
          <w:sz w:val="20"/>
          <w:szCs w:val="20"/>
          <w:lang w:val="en-US" w:eastAsia="en-US"/>
        </w:rPr>
        <w:t>, although cash intensive</w:t>
      </w:r>
      <w:r w:rsidR="00F25A48" w:rsidRPr="003B6CBA">
        <w:rPr>
          <w:rFonts w:ascii="Verdana" w:eastAsiaTheme="minorHAnsi" w:hAnsi="Verdana" w:cstheme="minorHAnsi"/>
          <w:color w:val="000000" w:themeColor="text1"/>
          <w:sz w:val="20"/>
          <w:szCs w:val="20"/>
          <w:lang w:val="en-US" w:eastAsia="en-US"/>
        </w:rPr>
        <w:t xml:space="preserve">.  </w:t>
      </w:r>
      <w:r w:rsidR="00EB2088" w:rsidRPr="003B6CBA">
        <w:rPr>
          <w:rFonts w:ascii="Verdana" w:eastAsiaTheme="minorHAnsi" w:hAnsi="Verdana" w:cstheme="minorHAnsi"/>
          <w:color w:val="000000" w:themeColor="text1"/>
          <w:sz w:val="20"/>
          <w:szCs w:val="20"/>
          <w:lang w:val="en-US" w:eastAsia="en-US"/>
        </w:rPr>
        <w:t xml:space="preserve">Transactions are undertaken face-to-face, </w:t>
      </w:r>
      <w:r w:rsidR="003B6CBA">
        <w:rPr>
          <w:rFonts w:ascii="Verdana" w:eastAsiaTheme="minorHAnsi" w:hAnsi="Verdana" w:cstheme="minorHAnsi"/>
          <w:color w:val="000000" w:themeColor="text1"/>
          <w:sz w:val="20"/>
          <w:szCs w:val="20"/>
          <w:lang w:val="en-US" w:eastAsia="en-US"/>
        </w:rPr>
        <w:t xml:space="preserve">although </w:t>
      </w:r>
      <w:r w:rsidR="00EB2088" w:rsidRPr="003B6CBA">
        <w:rPr>
          <w:rFonts w:ascii="Verdana" w:eastAsiaTheme="minorHAnsi" w:hAnsi="Verdana" w:cstheme="minorHAnsi"/>
          <w:color w:val="000000" w:themeColor="text1"/>
          <w:sz w:val="20"/>
          <w:szCs w:val="20"/>
          <w:lang w:val="en-US" w:eastAsia="en-US"/>
        </w:rPr>
        <w:t>agents are utilized to a lesser extent. Very few customers are PEPs</w:t>
      </w:r>
      <w:r w:rsidR="003B6CBA" w:rsidRPr="003B6CBA">
        <w:rPr>
          <w:rFonts w:ascii="Verdana" w:eastAsiaTheme="minorHAnsi" w:hAnsi="Verdana" w:cstheme="minorHAnsi"/>
          <w:color w:val="000000" w:themeColor="text1"/>
          <w:sz w:val="20"/>
          <w:szCs w:val="20"/>
          <w:lang w:val="en-US" w:eastAsia="en-US"/>
        </w:rPr>
        <w:t xml:space="preserve"> and remittances to high risk countries are not significant. In fact, remittances are </w:t>
      </w:r>
      <w:r w:rsidR="003B6CBA">
        <w:rPr>
          <w:rFonts w:ascii="Verdana" w:eastAsiaTheme="minorHAnsi" w:hAnsi="Verdana" w:cstheme="minorHAnsi"/>
          <w:color w:val="000000" w:themeColor="text1"/>
          <w:sz w:val="20"/>
          <w:szCs w:val="20"/>
          <w:lang w:val="en-US" w:eastAsia="en-US"/>
        </w:rPr>
        <w:t xml:space="preserve">predominantly </w:t>
      </w:r>
      <w:r w:rsidR="003B6CBA" w:rsidRPr="003B6CBA">
        <w:rPr>
          <w:rFonts w:ascii="Verdana" w:eastAsiaTheme="minorHAnsi" w:hAnsi="Verdana" w:cstheme="minorHAnsi"/>
          <w:color w:val="000000" w:themeColor="text1"/>
          <w:sz w:val="20"/>
          <w:szCs w:val="20"/>
          <w:lang w:val="en-US" w:eastAsia="en-US"/>
        </w:rPr>
        <w:t xml:space="preserve">consistent with the </w:t>
      </w:r>
      <w:r w:rsidR="003B6CBA">
        <w:rPr>
          <w:rFonts w:ascii="Verdana" w:eastAsiaTheme="minorHAnsi" w:hAnsi="Verdana" w:cstheme="minorHAnsi"/>
          <w:color w:val="000000" w:themeColor="text1"/>
          <w:sz w:val="20"/>
          <w:szCs w:val="20"/>
          <w:lang w:val="en-US" w:eastAsia="en-US"/>
        </w:rPr>
        <w:t>countries of origin of the expatriate residents</w:t>
      </w:r>
      <w:r w:rsidR="003B6CBA" w:rsidRPr="003B6CBA">
        <w:rPr>
          <w:rFonts w:ascii="Verdana" w:eastAsiaTheme="minorHAnsi" w:hAnsi="Verdana" w:cstheme="minorHAnsi"/>
          <w:color w:val="000000" w:themeColor="text1"/>
          <w:sz w:val="20"/>
          <w:szCs w:val="20"/>
          <w:lang w:val="en-US" w:eastAsia="en-US"/>
        </w:rPr>
        <w:t>.</w:t>
      </w:r>
      <w:r w:rsidR="003B6CBA">
        <w:rPr>
          <w:rFonts w:ascii="Verdana" w:eastAsiaTheme="minorHAnsi" w:hAnsi="Verdana" w:cstheme="minorHAnsi"/>
          <w:color w:val="000000" w:themeColor="text1"/>
          <w:sz w:val="20"/>
          <w:szCs w:val="20"/>
          <w:lang w:val="en-US" w:eastAsia="en-US"/>
        </w:rPr>
        <w:t xml:space="preserve"> This assessment will demonstrate how CIMA concluded that the sector’s overall risk is now assessed to be medium-low. </w:t>
      </w:r>
    </w:p>
    <w:p w14:paraId="19E13CC8" w14:textId="5388374D" w:rsidR="002F5A8C" w:rsidRPr="00892CA6" w:rsidRDefault="00904BF8" w:rsidP="004E5F89">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 xml:space="preserve">Risk Category </w:t>
      </w:r>
      <w:r w:rsidR="005F690E" w:rsidRPr="00892CA6">
        <w:rPr>
          <w:rFonts w:ascii="Verdana" w:hAnsi="Verdana" w:cstheme="minorHAnsi"/>
          <w:b/>
          <w:bCs/>
          <w:sz w:val="20"/>
          <w:szCs w:val="20"/>
          <w:lang w:val="en-US"/>
        </w:rPr>
        <w:t>–</w:t>
      </w:r>
      <w:r w:rsidRPr="00892CA6">
        <w:rPr>
          <w:rFonts w:ascii="Verdana" w:hAnsi="Verdana" w:cstheme="minorHAnsi"/>
          <w:b/>
          <w:bCs/>
          <w:sz w:val="20"/>
          <w:szCs w:val="20"/>
          <w:lang w:val="en-US"/>
        </w:rPr>
        <w:t xml:space="preserve"> Nature</w:t>
      </w:r>
      <w:r w:rsidR="005F690E" w:rsidRPr="00892CA6">
        <w:rPr>
          <w:rFonts w:ascii="Verdana" w:hAnsi="Verdana" w:cstheme="minorHAnsi"/>
          <w:b/>
          <w:bCs/>
          <w:sz w:val="20"/>
          <w:szCs w:val="20"/>
          <w:lang w:val="en-US"/>
        </w:rPr>
        <w:t>, scale, diversity and complexity of the s</w:t>
      </w:r>
      <w:r w:rsidR="00695A97" w:rsidRPr="00892CA6">
        <w:rPr>
          <w:rFonts w:ascii="Verdana" w:hAnsi="Verdana" w:cstheme="minorHAnsi"/>
          <w:b/>
          <w:bCs/>
          <w:sz w:val="20"/>
          <w:szCs w:val="20"/>
          <w:lang w:val="en-US"/>
        </w:rPr>
        <w:t>ector</w:t>
      </w:r>
    </w:p>
    <w:p w14:paraId="253098A4" w14:textId="1EFB829E" w:rsidR="00133EBB" w:rsidRPr="00892CA6" w:rsidRDefault="00A62C30" w:rsidP="00133EBB">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domestic market is </w:t>
      </w:r>
      <w:r w:rsidR="00133EBB" w:rsidRPr="00892CA6">
        <w:rPr>
          <w:rFonts w:ascii="Verdana" w:eastAsiaTheme="minorHAnsi" w:hAnsi="Verdana" w:cstheme="minorHAnsi"/>
          <w:color w:val="000000" w:themeColor="text1"/>
          <w:sz w:val="20"/>
          <w:szCs w:val="20"/>
          <w:lang w:val="en-US" w:eastAsia="en-US"/>
        </w:rPr>
        <w:t xml:space="preserve">presently </w:t>
      </w:r>
      <w:r w:rsidRPr="00892CA6">
        <w:rPr>
          <w:rFonts w:ascii="Verdana" w:eastAsiaTheme="minorHAnsi" w:hAnsi="Verdana" w:cstheme="minorHAnsi"/>
          <w:color w:val="000000" w:themeColor="text1"/>
          <w:sz w:val="20"/>
          <w:szCs w:val="20"/>
          <w:lang w:val="en-US" w:eastAsia="en-US"/>
        </w:rPr>
        <w:t>serviced by</w:t>
      </w:r>
      <w:r w:rsidR="00646B96" w:rsidRPr="00892CA6">
        <w:rPr>
          <w:rFonts w:ascii="Verdana" w:eastAsiaTheme="minorHAnsi" w:hAnsi="Verdana" w:cstheme="minorHAnsi"/>
          <w:color w:val="000000" w:themeColor="text1"/>
          <w:sz w:val="20"/>
          <w:szCs w:val="20"/>
          <w:lang w:val="en-US" w:eastAsia="en-US"/>
        </w:rPr>
        <w:t xml:space="preserve"> only three (3) MSB licensees, two (2) of which service 99% of the customers</w:t>
      </w:r>
      <w:r w:rsidRPr="00892CA6">
        <w:rPr>
          <w:rFonts w:ascii="Verdana" w:eastAsiaTheme="minorHAnsi" w:hAnsi="Verdana" w:cstheme="minorHAnsi"/>
          <w:color w:val="000000" w:themeColor="text1"/>
          <w:sz w:val="20"/>
          <w:szCs w:val="20"/>
          <w:lang w:val="en-US" w:eastAsia="en-US"/>
        </w:rPr>
        <w:t xml:space="preserve">. </w:t>
      </w:r>
      <w:r w:rsidR="00133EBB" w:rsidRPr="00892CA6">
        <w:rPr>
          <w:rFonts w:ascii="Verdana" w:hAnsi="Verdana" w:cstheme="minorHAnsi"/>
          <w:sz w:val="20"/>
          <w:szCs w:val="20"/>
          <w:lang w:val="en-US"/>
        </w:rPr>
        <w:t xml:space="preserve">Two (2) of the licensees have their parent companies located in Jamaica whilst for one (1), the parent company </w:t>
      </w:r>
      <w:r w:rsidR="009602A1" w:rsidRPr="00892CA6">
        <w:rPr>
          <w:rFonts w:ascii="Verdana" w:hAnsi="Verdana" w:cstheme="minorHAnsi"/>
          <w:sz w:val="20"/>
          <w:szCs w:val="20"/>
          <w:lang w:val="en-US"/>
        </w:rPr>
        <w:t>is in</w:t>
      </w:r>
      <w:r w:rsidR="00133EBB" w:rsidRPr="00892CA6">
        <w:rPr>
          <w:rFonts w:ascii="Verdana" w:hAnsi="Verdana" w:cstheme="minorHAnsi"/>
          <w:sz w:val="20"/>
          <w:szCs w:val="20"/>
          <w:lang w:val="en-US"/>
        </w:rPr>
        <w:t xml:space="preserve"> the Cayman Islands. </w:t>
      </w:r>
      <w:r w:rsidR="00DC5B82">
        <w:rPr>
          <w:rFonts w:ascii="Verdana" w:hAnsi="Verdana" w:cstheme="minorHAnsi"/>
          <w:sz w:val="20"/>
          <w:szCs w:val="20"/>
          <w:lang w:val="en-US"/>
        </w:rPr>
        <w:t xml:space="preserve">One </w:t>
      </w:r>
      <w:r w:rsidR="00297514">
        <w:rPr>
          <w:rFonts w:ascii="Verdana" w:hAnsi="Verdana" w:cstheme="minorHAnsi"/>
          <w:sz w:val="20"/>
          <w:szCs w:val="20"/>
          <w:lang w:val="en-US"/>
        </w:rPr>
        <w:t xml:space="preserve">of the two (2) licensees with parent companies in Jamaica has an ultimate </w:t>
      </w:r>
      <w:r w:rsidR="00DC5B82">
        <w:rPr>
          <w:rFonts w:ascii="Verdana" w:hAnsi="Verdana" w:cstheme="minorHAnsi"/>
          <w:sz w:val="20"/>
          <w:szCs w:val="20"/>
          <w:lang w:val="en-US"/>
        </w:rPr>
        <w:t xml:space="preserve"> parent </w:t>
      </w:r>
      <w:r w:rsidR="00297514">
        <w:rPr>
          <w:rFonts w:ascii="Verdana" w:hAnsi="Verdana" w:cstheme="minorHAnsi"/>
          <w:sz w:val="20"/>
          <w:szCs w:val="20"/>
          <w:lang w:val="en-US"/>
        </w:rPr>
        <w:t xml:space="preserve">that </w:t>
      </w:r>
      <w:r w:rsidR="00DC5B82">
        <w:rPr>
          <w:rFonts w:ascii="Verdana" w:hAnsi="Verdana" w:cstheme="minorHAnsi"/>
          <w:sz w:val="20"/>
          <w:szCs w:val="20"/>
          <w:lang w:val="en-US"/>
        </w:rPr>
        <w:t>is incorporated in Trinidad and Tobago</w:t>
      </w:r>
      <w:r w:rsidR="00297514">
        <w:rPr>
          <w:rFonts w:ascii="Verdana" w:hAnsi="Verdana" w:cstheme="minorHAnsi"/>
          <w:sz w:val="20"/>
          <w:szCs w:val="20"/>
          <w:lang w:val="en-US"/>
        </w:rPr>
        <w:t>,</w:t>
      </w:r>
      <w:r w:rsidR="00DC5B82">
        <w:rPr>
          <w:rFonts w:ascii="Verdana" w:hAnsi="Verdana" w:cstheme="minorHAnsi"/>
          <w:sz w:val="20"/>
          <w:szCs w:val="20"/>
          <w:lang w:val="en-US"/>
        </w:rPr>
        <w:t xml:space="preserve">  a high-risk jurisdiction per the FATF. </w:t>
      </w:r>
      <w:r w:rsidR="00530FB5">
        <w:rPr>
          <w:rFonts w:ascii="Verdana" w:hAnsi="Verdana" w:cstheme="minorHAnsi"/>
          <w:sz w:val="20"/>
          <w:szCs w:val="20"/>
          <w:lang w:val="en-US"/>
        </w:rPr>
        <w:t xml:space="preserve">All other </w:t>
      </w:r>
      <w:r w:rsidR="00133EBB" w:rsidRPr="00892CA6">
        <w:rPr>
          <w:rFonts w:ascii="Verdana" w:hAnsi="Verdana" w:cstheme="minorHAnsi"/>
          <w:sz w:val="20"/>
          <w:szCs w:val="20"/>
          <w:lang w:val="en-US"/>
        </w:rPr>
        <w:t xml:space="preserve">licensees’ </w:t>
      </w:r>
      <w:r w:rsidR="008F0348">
        <w:rPr>
          <w:rFonts w:ascii="Verdana" w:hAnsi="Verdana" w:cstheme="minorHAnsi"/>
          <w:sz w:val="20"/>
          <w:szCs w:val="20"/>
          <w:lang w:val="en-US"/>
        </w:rPr>
        <w:t xml:space="preserve">parent companies and their ultimate parent entities’ </w:t>
      </w:r>
      <w:r w:rsidR="00133EBB" w:rsidRPr="00892CA6">
        <w:rPr>
          <w:rFonts w:ascii="Verdana" w:hAnsi="Verdana" w:cstheme="minorHAnsi"/>
          <w:sz w:val="20"/>
          <w:szCs w:val="20"/>
          <w:lang w:val="en-US"/>
        </w:rPr>
        <w:t xml:space="preserve">subsidiaries and or branches </w:t>
      </w:r>
      <w:r w:rsidR="009602A1" w:rsidRPr="00892CA6">
        <w:rPr>
          <w:rFonts w:ascii="Verdana" w:hAnsi="Verdana" w:cstheme="minorHAnsi"/>
          <w:sz w:val="20"/>
          <w:szCs w:val="20"/>
          <w:lang w:val="en-US"/>
        </w:rPr>
        <w:t>are in</w:t>
      </w:r>
      <w:r w:rsidR="00133EBB" w:rsidRPr="00892CA6">
        <w:rPr>
          <w:rFonts w:ascii="Verdana" w:hAnsi="Verdana" w:cstheme="minorHAnsi"/>
          <w:sz w:val="20"/>
          <w:szCs w:val="20"/>
          <w:lang w:val="en-US"/>
        </w:rPr>
        <w:t xml:space="preserve"> low risk jurisdictions, mainly in the Caribbean region</w:t>
      </w:r>
      <w:r w:rsidR="00DC5B82">
        <w:rPr>
          <w:rFonts w:ascii="Verdana" w:hAnsi="Verdana" w:cstheme="minorHAnsi"/>
          <w:sz w:val="20"/>
          <w:szCs w:val="20"/>
          <w:lang w:val="en-US"/>
        </w:rPr>
        <w:t xml:space="preserve">. </w:t>
      </w:r>
      <w:r w:rsidR="00133EBB" w:rsidRPr="00892CA6">
        <w:rPr>
          <w:rFonts w:ascii="Verdana" w:hAnsi="Verdana" w:cstheme="minorHAnsi"/>
          <w:sz w:val="20"/>
          <w:szCs w:val="20"/>
          <w:lang w:val="en-US"/>
        </w:rPr>
        <w:t xml:space="preserve"> In total, the three (3) MSB licensees operate their businesses through twelve (12) domestic agents. The total number of domestic branches is seven (7).</w:t>
      </w:r>
    </w:p>
    <w:p w14:paraId="248F3D8F" w14:textId="0F645E73" w:rsidR="00090444" w:rsidRPr="00892CA6" w:rsidRDefault="00955962" w:rsidP="004E5F89">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Conclusion</w:t>
      </w:r>
      <w:r w:rsidR="00A62C30" w:rsidRPr="00892CA6">
        <w:rPr>
          <w:rFonts w:ascii="Verdana" w:hAnsi="Verdana" w:cstheme="minorHAnsi"/>
          <w:b/>
          <w:bCs/>
          <w:sz w:val="20"/>
          <w:szCs w:val="20"/>
          <w:lang w:val="en-US"/>
        </w:rPr>
        <w:t xml:space="preserve"> for Risk Category</w:t>
      </w:r>
      <w:r w:rsidR="000A791B">
        <w:rPr>
          <w:rFonts w:ascii="Verdana" w:hAnsi="Verdana" w:cstheme="minorHAnsi"/>
          <w:b/>
          <w:bCs/>
          <w:sz w:val="20"/>
          <w:szCs w:val="20"/>
          <w:lang w:val="en-US"/>
        </w:rPr>
        <w:t xml:space="preserve"> -</w:t>
      </w:r>
      <w:r w:rsidR="00A62C30" w:rsidRPr="00892CA6">
        <w:rPr>
          <w:rFonts w:ascii="Verdana" w:hAnsi="Verdana" w:cstheme="minorHAnsi"/>
          <w:b/>
          <w:bCs/>
          <w:sz w:val="20"/>
          <w:szCs w:val="20"/>
          <w:lang w:val="en-US"/>
        </w:rPr>
        <w:t xml:space="preserve"> </w:t>
      </w:r>
      <w:r w:rsidR="005F690E" w:rsidRPr="00892CA6">
        <w:rPr>
          <w:rFonts w:ascii="Verdana" w:hAnsi="Verdana" w:cstheme="minorHAnsi"/>
          <w:b/>
          <w:bCs/>
          <w:sz w:val="20"/>
          <w:szCs w:val="20"/>
          <w:lang w:val="en-US"/>
        </w:rPr>
        <w:t>Nature, scale, diversity and complexity of the sector</w:t>
      </w:r>
    </w:p>
    <w:p w14:paraId="43A2C4C3" w14:textId="058B1EC1" w:rsidR="00AC399A" w:rsidRDefault="00CC01F8" w:rsidP="00AC399A">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w:t>
      </w:r>
      <w:r w:rsidR="00F30884" w:rsidRPr="00892CA6">
        <w:rPr>
          <w:rFonts w:ascii="Verdana" w:eastAsiaTheme="minorHAnsi" w:hAnsi="Verdana" w:cstheme="minorHAnsi"/>
          <w:color w:val="000000" w:themeColor="text1"/>
          <w:sz w:val="20"/>
          <w:szCs w:val="20"/>
          <w:lang w:val="en-US" w:eastAsia="en-US"/>
        </w:rPr>
        <w:t xml:space="preserve">Cayman Islands </w:t>
      </w:r>
      <w:r w:rsidR="000F12CB" w:rsidRPr="00892CA6">
        <w:rPr>
          <w:rFonts w:ascii="Verdana" w:eastAsiaTheme="minorHAnsi" w:hAnsi="Verdana" w:cstheme="minorHAnsi"/>
          <w:color w:val="000000" w:themeColor="text1"/>
          <w:sz w:val="20"/>
          <w:szCs w:val="20"/>
          <w:lang w:val="en-US" w:eastAsia="en-US"/>
        </w:rPr>
        <w:t>is</w:t>
      </w:r>
      <w:r w:rsidR="00F30884" w:rsidRPr="00892CA6">
        <w:rPr>
          <w:rFonts w:ascii="Verdana" w:eastAsiaTheme="minorHAnsi" w:hAnsi="Verdana" w:cstheme="minorHAnsi"/>
          <w:color w:val="000000" w:themeColor="text1"/>
          <w:sz w:val="20"/>
          <w:szCs w:val="20"/>
          <w:lang w:val="en-US" w:eastAsia="en-US"/>
        </w:rPr>
        <w:t xml:space="preserve"> a developed and sophisticated international financial center, with </w:t>
      </w:r>
      <w:r w:rsidR="003F0B11" w:rsidRPr="00892CA6">
        <w:rPr>
          <w:rFonts w:ascii="Verdana" w:eastAsiaTheme="minorHAnsi" w:hAnsi="Verdana" w:cstheme="minorHAnsi"/>
          <w:color w:val="000000" w:themeColor="text1"/>
          <w:sz w:val="20"/>
          <w:szCs w:val="20"/>
          <w:lang w:val="en-US" w:eastAsia="en-US"/>
        </w:rPr>
        <w:t>several</w:t>
      </w:r>
      <w:r w:rsidR="00133EBB" w:rsidRPr="00892CA6">
        <w:rPr>
          <w:rFonts w:ascii="Verdana" w:hAnsi="Verdana" w:cstheme="minorHAnsi"/>
          <w:color w:val="000000" w:themeColor="text1"/>
          <w:sz w:val="20"/>
          <w:szCs w:val="20"/>
          <w:lang w:val="en-US"/>
        </w:rPr>
        <w:t xml:space="preserve"> countries being represented in the local populace, as described in </w:t>
      </w:r>
      <w:r w:rsidR="003F0B11" w:rsidRPr="00892CA6">
        <w:rPr>
          <w:rFonts w:ascii="Verdana" w:eastAsiaTheme="minorHAnsi" w:hAnsi="Verdana" w:cstheme="minorHAnsi"/>
          <w:color w:val="000000" w:themeColor="text1"/>
          <w:sz w:val="20"/>
          <w:szCs w:val="20"/>
          <w:lang w:val="en-US" w:eastAsia="en-US"/>
        </w:rPr>
        <w:t xml:space="preserve">more </w:t>
      </w:r>
      <w:r w:rsidR="00133EBB" w:rsidRPr="00892CA6">
        <w:rPr>
          <w:rFonts w:ascii="Verdana" w:hAnsi="Verdana" w:cstheme="minorHAnsi"/>
          <w:color w:val="000000" w:themeColor="text1"/>
          <w:sz w:val="20"/>
          <w:szCs w:val="20"/>
          <w:lang w:val="en-US"/>
        </w:rPr>
        <w:t xml:space="preserve">detail under the </w:t>
      </w:r>
      <w:r w:rsidR="00133EBB" w:rsidRPr="00892CA6">
        <w:rPr>
          <w:rFonts w:ascii="Verdana" w:eastAsiaTheme="minorHAnsi" w:hAnsi="Verdana" w:cstheme="minorHAnsi"/>
          <w:color w:val="000000" w:themeColor="text1"/>
          <w:sz w:val="20"/>
          <w:szCs w:val="20"/>
          <w:lang w:val="en-US" w:eastAsia="en-US"/>
        </w:rPr>
        <w:t>“Risk Category – Types of Customers</w:t>
      </w:r>
      <w:r w:rsidR="00133EBB" w:rsidRPr="00892CA6">
        <w:rPr>
          <w:rFonts w:ascii="Verdana" w:hAnsi="Verdana" w:cstheme="minorHAnsi"/>
          <w:color w:val="000000" w:themeColor="text1"/>
          <w:sz w:val="20"/>
          <w:szCs w:val="20"/>
          <w:lang w:val="en-US"/>
        </w:rPr>
        <w:t>”</w:t>
      </w:r>
      <w:r w:rsidR="003F0B11" w:rsidRPr="00892CA6">
        <w:rPr>
          <w:rFonts w:ascii="Verdana" w:eastAsiaTheme="minorHAnsi" w:hAnsi="Verdana" w:cstheme="minorHAnsi"/>
          <w:color w:val="000000" w:themeColor="text1"/>
          <w:sz w:val="20"/>
          <w:szCs w:val="20"/>
          <w:lang w:val="en-US" w:eastAsia="en-US"/>
        </w:rPr>
        <w:t xml:space="preserve"> section</w:t>
      </w:r>
      <w:r w:rsidR="00133EBB" w:rsidRPr="00892CA6">
        <w:rPr>
          <w:rFonts w:ascii="Verdana" w:hAnsi="Verdana" w:cstheme="minorHAnsi"/>
          <w:color w:val="000000" w:themeColor="text1"/>
          <w:sz w:val="20"/>
          <w:szCs w:val="20"/>
          <w:lang w:val="en-US"/>
        </w:rPr>
        <w:t xml:space="preserve">. </w:t>
      </w:r>
      <w:r w:rsidR="000551B9" w:rsidRPr="00892CA6">
        <w:rPr>
          <w:rFonts w:ascii="Verdana" w:hAnsi="Verdana" w:cstheme="minorHAnsi"/>
          <w:color w:val="000000" w:themeColor="text1"/>
          <w:sz w:val="20"/>
          <w:szCs w:val="20"/>
          <w:lang w:val="en-US"/>
        </w:rPr>
        <w:t>MSBs play</w:t>
      </w:r>
      <w:r w:rsidR="00133EBB" w:rsidRPr="00892CA6">
        <w:rPr>
          <w:rFonts w:ascii="Verdana" w:hAnsi="Verdana" w:cstheme="minorHAnsi"/>
          <w:color w:val="000000" w:themeColor="text1"/>
          <w:sz w:val="20"/>
          <w:szCs w:val="20"/>
          <w:lang w:val="en-US"/>
        </w:rPr>
        <w:t xml:space="preserve"> a</w:t>
      </w:r>
      <w:r w:rsidR="00F30884" w:rsidRPr="00892CA6">
        <w:rPr>
          <w:rFonts w:ascii="Verdana" w:eastAsiaTheme="minorHAnsi" w:hAnsi="Verdana" w:cstheme="minorHAnsi"/>
          <w:color w:val="000000" w:themeColor="text1"/>
          <w:sz w:val="20"/>
          <w:szCs w:val="20"/>
          <w:lang w:val="en-US" w:eastAsia="en-US"/>
        </w:rPr>
        <w:t xml:space="preserve"> vital role </w:t>
      </w:r>
      <w:r w:rsidR="003F0B11" w:rsidRPr="00892CA6">
        <w:rPr>
          <w:rFonts w:ascii="Verdana" w:eastAsiaTheme="minorHAnsi" w:hAnsi="Verdana" w:cstheme="minorHAnsi"/>
          <w:color w:val="000000" w:themeColor="text1"/>
          <w:sz w:val="20"/>
          <w:szCs w:val="20"/>
          <w:lang w:val="en-US" w:eastAsia="en-US"/>
        </w:rPr>
        <w:t xml:space="preserve">to the </w:t>
      </w:r>
      <w:r w:rsidR="00133EBB" w:rsidRPr="00892CA6">
        <w:rPr>
          <w:rFonts w:ascii="Verdana" w:hAnsi="Verdana" w:cstheme="minorHAnsi"/>
          <w:color w:val="000000" w:themeColor="text1"/>
          <w:sz w:val="20"/>
          <w:szCs w:val="20"/>
          <w:lang w:val="en-US"/>
        </w:rPr>
        <w:t>expatriate community</w:t>
      </w:r>
      <w:r w:rsidR="003F0B11" w:rsidRPr="00892CA6">
        <w:rPr>
          <w:rFonts w:ascii="Verdana" w:eastAsiaTheme="minorHAnsi" w:hAnsi="Verdana" w:cstheme="minorHAnsi"/>
          <w:color w:val="000000" w:themeColor="text1"/>
          <w:sz w:val="20"/>
          <w:szCs w:val="20"/>
          <w:lang w:val="en-US" w:eastAsia="en-US"/>
        </w:rPr>
        <w:t xml:space="preserve"> through the provision of a platform for the remittance of financial support to their families especially to those countries where the population of the unbanked is still high</w:t>
      </w:r>
      <w:r w:rsidR="00133EBB" w:rsidRPr="00892CA6">
        <w:rPr>
          <w:rFonts w:ascii="Verdana" w:hAnsi="Verdana" w:cstheme="minorHAnsi"/>
          <w:color w:val="000000" w:themeColor="text1"/>
          <w:sz w:val="20"/>
          <w:szCs w:val="20"/>
          <w:lang w:val="en-US"/>
        </w:rPr>
        <w:t xml:space="preserve">. </w:t>
      </w:r>
      <w:r w:rsidR="003F0B11" w:rsidRPr="00892CA6">
        <w:rPr>
          <w:rFonts w:ascii="Verdana" w:eastAsiaTheme="minorHAnsi" w:hAnsi="Verdana" w:cstheme="minorHAnsi"/>
          <w:color w:val="000000" w:themeColor="text1"/>
          <w:sz w:val="20"/>
          <w:szCs w:val="20"/>
          <w:lang w:val="en-US" w:eastAsia="en-US"/>
        </w:rPr>
        <w:t>However, the MSBs sector is by far small</w:t>
      </w:r>
      <w:r w:rsidR="00530FB5">
        <w:rPr>
          <w:rFonts w:ascii="Verdana" w:eastAsiaTheme="minorHAnsi" w:hAnsi="Verdana" w:cstheme="minorHAnsi"/>
          <w:color w:val="000000" w:themeColor="text1"/>
          <w:sz w:val="20"/>
          <w:szCs w:val="20"/>
          <w:lang w:val="en-US" w:eastAsia="en-US"/>
        </w:rPr>
        <w:t>er</w:t>
      </w:r>
      <w:r w:rsidR="003F0B11" w:rsidRPr="00892CA6">
        <w:rPr>
          <w:rFonts w:ascii="Verdana" w:eastAsiaTheme="minorHAnsi" w:hAnsi="Verdana" w:cstheme="minorHAnsi"/>
          <w:color w:val="000000" w:themeColor="text1"/>
          <w:sz w:val="20"/>
          <w:szCs w:val="20"/>
          <w:lang w:val="en-US" w:eastAsia="en-US"/>
        </w:rPr>
        <w:t xml:space="preserve"> </w:t>
      </w:r>
      <w:r w:rsidR="00530FB5">
        <w:rPr>
          <w:rFonts w:ascii="Verdana" w:eastAsiaTheme="minorHAnsi" w:hAnsi="Verdana" w:cstheme="minorHAnsi"/>
          <w:color w:val="000000" w:themeColor="text1"/>
          <w:sz w:val="20"/>
          <w:szCs w:val="20"/>
          <w:lang w:val="en-US" w:eastAsia="en-US"/>
        </w:rPr>
        <w:t>than</w:t>
      </w:r>
      <w:r w:rsidR="00530FB5" w:rsidRPr="00892CA6">
        <w:rPr>
          <w:rFonts w:ascii="Verdana" w:eastAsiaTheme="minorHAnsi" w:hAnsi="Verdana" w:cstheme="minorHAnsi"/>
          <w:color w:val="000000" w:themeColor="text1"/>
          <w:sz w:val="20"/>
          <w:szCs w:val="20"/>
          <w:lang w:val="en-US" w:eastAsia="en-US"/>
        </w:rPr>
        <w:t xml:space="preserve"> </w:t>
      </w:r>
      <w:r w:rsidR="003F0B11" w:rsidRPr="00892CA6">
        <w:rPr>
          <w:rFonts w:ascii="Verdana" w:eastAsiaTheme="minorHAnsi" w:hAnsi="Verdana" w:cstheme="minorHAnsi"/>
          <w:color w:val="000000" w:themeColor="text1"/>
          <w:sz w:val="20"/>
          <w:szCs w:val="20"/>
          <w:lang w:val="en-US" w:eastAsia="en-US"/>
        </w:rPr>
        <w:t xml:space="preserve">the banking sector as far as the volume of transactions, complexity of operations, global interconnectedness and the number of licensed </w:t>
      </w:r>
      <w:r w:rsidR="006B604A" w:rsidRPr="006B604A">
        <w:rPr>
          <w:rFonts w:ascii="Verdana" w:eastAsiaTheme="minorHAnsi" w:hAnsi="Verdana" w:cstheme="minorHAnsi"/>
          <w:color w:val="000000" w:themeColor="text1"/>
          <w:sz w:val="20"/>
          <w:szCs w:val="20"/>
          <w:lang w:val="en-US" w:eastAsia="en-US"/>
        </w:rPr>
        <w:t>operators</w:t>
      </w:r>
      <w:r w:rsidR="003F0B11" w:rsidRPr="00892CA6">
        <w:rPr>
          <w:rFonts w:ascii="Verdana" w:eastAsiaTheme="minorHAnsi" w:hAnsi="Verdana" w:cstheme="minorHAnsi"/>
          <w:color w:val="000000" w:themeColor="text1"/>
          <w:sz w:val="20"/>
          <w:szCs w:val="20"/>
          <w:lang w:val="en-US" w:eastAsia="en-US"/>
        </w:rPr>
        <w:t xml:space="preserve"> are concerned. </w:t>
      </w:r>
      <w:r w:rsidR="00AC399A" w:rsidRPr="00892CA6">
        <w:rPr>
          <w:rFonts w:ascii="Verdana" w:hAnsi="Verdana" w:cstheme="minorHAnsi"/>
          <w:sz w:val="20"/>
          <w:szCs w:val="20"/>
        </w:rPr>
        <w:t>The small number of the MSBs operating in the Cayman Islands with a narrow array of products and services coupled with the simple business models</w:t>
      </w:r>
      <w:r w:rsidR="00AC399A" w:rsidRPr="00892CA6">
        <w:rPr>
          <w:rFonts w:ascii="Verdana" w:eastAsiaTheme="minorHAnsi" w:hAnsi="Verdana" w:cstheme="minorHAnsi"/>
          <w:color w:val="000000" w:themeColor="text1"/>
          <w:sz w:val="20"/>
          <w:szCs w:val="20"/>
          <w:lang w:val="en-US" w:eastAsia="en-US"/>
        </w:rPr>
        <w:t xml:space="preserve"> reduces </w:t>
      </w:r>
      <w:r w:rsidR="003C058F">
        <w:rPr>
          <w:rFonts w:ascii="Verdana" w:eastAsiaTheme="minorHAnsi" w:hAnsi="Verdana" w:cstheme="minorHAnsi"/>
          <w:color w:val="000000" w:themeColor="text1"/>
          <w:sz w:val="20"/>
          <w:szCs w:val="20"/>
          <w:lang w:val="en-US" w:eastAsia="en-US"/>
        </w:rPr>
        <w:t xml:space="preserve">vulnerabilities in </w:t>
      </w:r>
      <w:r w:rsidR="00AC399A" w:rsidRPr="00892CA6">
        <w:rPr>
          <w:rFonts w:ascii="Verdana" w:eastAsiaTheme="minorHAnsi" w:hAnsi="Verdana" w:cstheme="minorHAnsi"/>
          <w:color w:val="000000" w:themeColor="text1"/>
          <w:sz w:val="20"/>
          <w:szCs w:val="20"/>
          <w:lang w:val="en-US" w:eastAsia="en-US"/>
        </w:rPr>
        <w:t xml:space="preserve"> </w:t>
      </w:r>
      <w:r w:rsidR="000A791B">
        <w:rPr>
          <w:rFonts w:ascii="Verdana" w:eastAsiaTheme="minorHAnsi" w:hAnsi="Verdana" w:cstheme="minorHAnsi"/>
          <w:color w:val="000000" w:themeColor="text1"/>
          <w:sz w:val="20"/>
          <w:szCs w:val="20"/>
          <w:lang w:val="en-US" w:eastAsia="en-US"/>
        </w:rPr>
        <w:t xml:space="preserve">the </w:t>
      </w:r>
      <w:r w:rsidR="00AC399A" w:rsidRPr="00892CA6">
        <w:rPr>
          <w:rFonts w:ascii="Verdana" w:eastAsiaTheme="minorHAnsi" w:hAnsi="Verdana" w:cstheme="minorHAnsi"/>
          <w:color w:val="000000" w:themeColor="text1"/>
          <w:sz w:val="20"/>
          <w:szCs w:val="20"/>
          <w:lang w:val="en-US" w:eastAsia="en-US"/>
        </w:rPr>
        <w:t xml:space="preserve">MSBs sector.  </w:t>
      </w:r>
    </w:p>
    <w:p w14:paraId="0A4FE3DF" w14:textId="35E59A95" w:rsidR="00892CA6" w:rsidRDefault="00892CA6" w:rsidP="00892CA6">
      <w:pPr>
        <w:pStyle w:val="Heading2"/>
        <w:numPr>
          <w:ilvl w:val="0"/>
          <w:numId w:val="0"/>
        </w:numPr>
        <w:spacing w:line="276" w:lineRule="auto"/>
        <w:ind w:left="1440" w:right="-6" w:hanging="360"/>
        <w:jc w:val="both"/>
        <w:rPr>
          <w:rFonts w:ascii="Verdana" w:eastAsiaTheme="minorHAnsi" w:hAnsi="Verdana" w:cstheme="minorHAnsi"/>
          <w:color w:val="000000" w:themeColor="text1"/>
          <w:sz w:val="20"/>
          <w:szCs w:val="20"/>
          <w:lang w:val="en-US" w:eastAsia="en-US"/>
        </w:rPr>
      </w:pPr>
    </w:p>
    <w:p w14:paraId="39635DB5" w14:textId="73FA34D2" w:rsidR="005342E5" w:rsidRPr="00892CA6" w:rsidRDefault="00133EBB" w:rsidP="00133EBB">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C</w:t>
      </w:r>
      <w:r w:rsidR="00F53EE5" w:rsidRPr="00892CA6">
        <w:rPr>
          <w:rFonts w:ascii="Verdana" w:eastAsiaTheme="minorHAnsi" w:hAnsi="Verdana" w:cstheme="minorHAnsi"/>
          <w:color w:val="000000" w:themeColor="text1"/>
          <w:sz w:val="20"/>
          <w:szCs w:val="20"/>
          <w:lang w:val="en-US" w:eastAsia="en-US"/>
        </w:rPr>
        <w:t>onsider</w:t>
      </w:r>
      <w:r w:rsidRPr="00892CA6">
        <w:rPr>
          <w:rFonts w:ascii="Verdana" w:eastAsiaTheme="minorHAnsi" w:hAnsi="Verdana" w:cstheme="minorHAnsi"/>
          <w:color w:val="000000" w:themeColor="text1"/>
          <w:sz w:val="20"/>
          <w:szCs w:val="20"/>
          <w:lang w:val="en-US" w:eastAsia="en-US"/>
        </w:rPr>
        <w:t xml:space="preserve">ing </w:t>
      </w:r>
      <w:r w:rsidR="00F53EE5" w:rsidRPr="00892CA6">
        <w:rPr>
          <w:rFonts w:ascii="Verdana" w:eastAsiaTheme="minorHAnsi" w:hAnsi="Verdana" w:cstheme="minorHAnsi"/>
          <w:color w:val="000000" w:themeColor="text1"/>
          <w:sz w:val="20"/>
          <w:szCs w:val="20"/>
          <w:lang w:val="en-US" w:eastAsia="en-US"/>
        </w:rPr>
        <w:t>the</w:t>
      </w:r>
      <w:r w:rsidR="003F0B11" w:rsidRPr="00892CA6">
        <w:rPr>
          <w:rFonts w:ascii="Verdana" w:eastAsiaTheme="minorHAnsi" w:hAnsi="Verdana" w:cstheme="minorHAnsi"/>
          <w:color w:val="000000" w:themeColor="text1"/>
          <w:sz w:val="20"/>
          <w:szCs w:val="20"/>
          <w:lang w:val="en-US" w:eastAsia="en-US"/>
        </w:rPr>
        <w:t>se factors,</w:t>
      </w:r>
      <w:r w:rsidR="00F53EE5" w:rsidRPr="00892CA6">
        <w:rPr>
          <w:rFonts w:ascii="Verdana" w:eastAsiaTheme="minorHAnsi" w:hAnsi="Verdana" w:cstheme="minorHAnsi"/>
          <w:color w:val="000000" w:themeColor="text1"/>
          <w:sz w:val="20"/>
          <w:szCs w:val="20"/>
          <w:lang w:val="en-US" w:eastAsia="en-US"/>
        </w:rPr>
        <w:t xml:space="preserve"> t</w:t>
      </w:r>
      <w:r w:rsidR="005342E5" w:rsidRPr="00892CA6">
        <w:rPr>
          <w:rFonts w:ascii="Verdana" w:eastAsiaTheme="minorHAnsi" w:hAnsi="Verdana" w:cstheme="minorHAnsi"/>
          <w:color w:val="000000" w:themeColor="text1"/>
          <w:sz w:val="20"/>
          <w:szCs w:val="20"/>
          <w:lang w:val="en-US" w:eastAsia="en-US"/>
        </w:rPr>
        <w:t xml:space="preserve">he risk associated with </w:t>
      </w:r>
      <w:r w:rsidRPr="00892CA6">
        <w:rPr>
          <w:rFonts w:ascii="Verdana" w:eastAsiaTheme="minorHAnsi" w:hAnsi="Verdana" w:cstheme="minorHAnsi"/>
          <w:color w:val="000000" w:themeColor="text1"/>
          <w:sz w:val="20"/>
          <w:szCs w:val="20"/>
          <w:lang w:val="en-US" w:eastAsia="en-US"/>
        </w:rPr>
        <w:t xml:space="preserve">MSBs </w:t>
      </w:r>
      <w:r w:rsidR="005342E5" w:rsidRPr="00892CA6">
        <w:rPr>
          <w:rFonts w:ascii="Verdana" w:eastAsiaTheme="minorHAnsi" w:hAnsi="Verdana" w:cstheme="minorHAnsi"/>
          <w:color w:val="000000" w:themeColor="text1"/>
          <w:sz w:val="20"/>
          <w:szCs w:val="20"/>
          <w:lang w:val="en-US" w:eastAsia="en-US"/>
        </w:rPr>
        <w:t>is low.</w:t>
      </w:r>
    </w:p>
    <w:p w14:paraId="5A517066" w14:textId="0151CF4D" w:rsidR="00BF121D" w:rsidRPr="00892CA6" w:rsidRDefault="00BF121D" w:rsidP="009A5938">
      <w:pPr>
        <w:jc w:val="both"/>
        <w:rPr>
          <w:rFonts w:ascii="Verdana" w:hAnsi="Verdana" w:cstheme="minorHAnsi"/>
          <w:sz w:val="20"/>
          <w:szCs w:val="20"/>
          <w:lang w:val="en-US"/>
        </w:rPr>
      </w:pPr>
    </w:p>
    <w:tbl>
      <w:tblPr>
        <w:tblStyle w:val="TableGrid"/>
        <w:tblW w:w="0" w:type="auto"/>
        <w:jc w:val="center"/>
        <w:tblLook w:val="04A0" w:firstRow="1" w:lastRow="0" w:firstColumn="1" w:lastColumn="0" w:noHBand="0" w:noVBand="1"/>
      </w:tblPr>
      <w:tblGrid>
        <w:gridCol w:w="2547"/>
        <w:gridCol w:w="2835"/>
      </w:tblGrid>
      <w:tr w:rsidR="00BF121D" w:rsidRPr="001D0A24" w14:paraId="2AAB093C" w14:textId="77777777" w:rsidTr="001F794B">
        <w:trPr>
          <w:jc w:val="center"/>
        </w:trPr>
        <w:tc>
          <w:tcPr>
            <w:tcW w:w="2547" w:type="dxa"/>
          </w:tcPr>
          <w:p w14:paraId="6C6D58EC" w14:textId="779B16F0" w:rsidR="00BF121D" w:rsidRPr="00892CA6" w:rsidRDefault="00133EBB" w:rsidP="009A5938">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factor</w:t>
            </w:r>
          </w:p>
        </w:tc>
        <w:tc>
          <w:tcPr>
            <w:tcW w:w="2835" w:type="dxa"/>
          </w:tcPr>
          <w:p w14:paraId="39F943CE" w14:textId="13CC001C" w:rsidR="00BF121D" w:rsidRPr="00892CA6" w:rsidRDefault="00133EBB" w:rsidP="009A5938">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score</w:t>
            </w:r>
          </w:p>
        </w:tc>
      </w:tr>
      <w:tr w:rsidR="00BF121D" w:rsidRPr="001D0A24" w14:paraId="3BB7C09E" w14:textId="77777777" w:rsidTr="00AC399A">
        <w:trPr>
          <w:jc w:val="center"/>
        </w:trPr>
        <w:tc>
          <w:tcPr>
            <w:tcW w:w="2547" w:type="dxa"/>
            <w:shd w:val="clear" w:color="auto" w:fill="auto"/>
          </w:tcPr>
          <w:p w14:paraId="7E8DFCA3" w14:textId="5283CF82" w:rsidR="00BF121D" w:rsidRPr="00892CA6" w:rsidRDefault="00133EBB" w:rsidP="009A593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Nature, scale, diversity and complexity of the sector</w:t>
            </w:r>
          </w:p>
        </w:tc>
        <w:tc>
          <w:tcPr>
            <w:tcW w:w="2835" w:type="dxa"/>
            <w:shd w:val="clear" w:color="auto" w:fill="00B050"/>
          </w:tcPr>
          <w:p w14:paraId="2822021C" w14:textId="05358A16" w:rsidR="00BF121D" w:rsidRPr="00892CA6" w:rsidRDefault="00133EBB" w:rsidP="009A593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low</w:t>
            </w:r>
          </w:p>
        </w:tc>
      </w:tr>
    </w:tbl>
    <w:p w14:paraId="538EC379" w14:textId="77777777" w:rsidR="006A4F84" w:rsidRPr="00892CA6" w:rsidRDefault="006A4F84" w:rsidP="009A5938">
      <w:pPr>
        <w:jc w:val="both"/>
        <w:rPr>
          <w:rFonts w:ascii="Verdana" w:hAnsi="Verdana" w:cstheme="minorHAnsi"/>
          <w:sz w:val="20"/>
          <w:szCs w:val="20"/>
          <w:lang w:val="en-US"/>
        </w:rPr>
      </w:pPr>
    </w:p>
    <w:p w14:paraId="745FF9BB" w14:textId="71FF2DAE" w:rsidR="004231F2" w:rsidRPr="00892CA6" w:rsidRDefault="004231F2" w:rsidP="004231F2">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 xml:space="preserve">Risk Category </w:t>
      </w:r>
      <w:r w:rsidR="005F690E" w:rsidRPr="00892CA6">
        <w:rPr>
          <w:rFonts w:ascii="Verdana" w:hAnsi="Verdana" w:cstheme="minorHAnsi"/>
          <w:b/>
          <w:bCs/>
          <w:sz w:val="20"/>
          <w:szCs w:val="20"/>
          <w:lang w:val="en-US"/>
        </w:rPr>
        <w:t>–</w:t>
      </w:r>
      <w:r w:rsidRPr="00892CA6">
        <w:rPr>
          <w:rFonts w:ascii="Verdana" w:hAnsi="Verdana" w:cstheme="minorHAnsi"/>
          <w:b/>
          <w:bCs/>
          <w:sz w:val="20"/>
          <w:szCs w:val="20"/>
          <w:lang w:val="en-US"/>
        </w:rPr>
        <w:t xml:space="preserve"> </w:t>
      </w:r>
      <w:r w:rsidR="005F690E" w:rsidRPr="00892CA6">
        <w:rPr>
          <w:rFonts w:ascii="Verdana" w:hAnsi="Verdana" w:cstheme="minorHAnsi"/>
          <w:b/>
          <w:bCs/>
          <w:sz w:val="20"/>
          <w:szCs w:val="20"/>
          <w:lang w:val="en-US"/>
        </w:rPr>
        <w:t xml:space="preserve">Types of </w:t>
      </w:r>
      <w:r w:rsidRPr="00892CA6">
        <w:rPr>
          <w:rFonts w:ascii="Verdana" w:hAnsi="Verdana" w:cstheme="minorHAnsi"/>
          <w:b/>
          <w:bCs/>
          <w:sz w:val="20"/>
          <w:szCs w:val="20"/>
          <w:lang w:val="en-US"/>
        </w:rPr>
        <w:t>Customers</w:t>
      </w:r>
    </w:p>
    <w:p w14:paraId="60EA3B93" w14:textId="45277CF9" w:rsidR="00384027" w:rsidRPr="00892CA6" w:rsidRDefault="0061570B"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All MSBs customers are natural persons who reside in the Cayman Islands. </w:t>
      </w:r>
      <w:r w:rsidR="00F0357D" w:rsidRPr="00892CA6">
        <w:rPr>
          <w:rFonts w:ascii="Verdana" w:hAnsi="Verdana" w:cstheme="minorHAnsi"/>
          <w:color w:val="000000" w:themeColor="text1"/>
          <w:sz w:val="20"/>
          <w:szCs w:val="20"/>
          <w:lang w:val="en-US"/>
        </w:rPr>
        <w:t xml:space="preserve">Other than the Caymanian populace, the </w:t>
      </w:r>
      <w:r w:rsidR="00603251" w:rsidRPr="00892CA6">
        <w:rPr>
          <w:rFonts w:ascii="Verdana" w:eastAsiaTheme="minorHAnsi" w:hAnsi="Verdana" w:cstheme="minorHAnsi"/>
          <w:color w:val="000000" w:themeColor="text1"/>
          <w:sz w:val="20"/>
          <w:szCs w:val="20"/>
          <w:lang w:val="en-US" w:eastAsia="en-US"/>
        </w:rPr>
        <w:t xml:space="preserve">Cayman </w:t>
      </w:r>
      <w:r w:rsidR="000F12CB" w:rsidRPr="00892CA6">
        <w:rPr>
          <w:rFonts w:ascii="Verdana" w:eastAsiaTheme="minorHAnsi" w:hAnsi="Verdana" w:cstheme="minorHAnsi"/>
          <w:color w:val="000000" w:themeColor="text1"/>
          <w:sz w:val="20"/>
          <w:szCs w:val="20"/>
          <w:lang w:val="en-US" w:eastAsia="en-US"/>
        </w:rPr>
        <w:t xml:space="preserve">Islands </w:t>
      </w:r>
      <w:r w:rsidR="00F0357D" w:rsidRPr="00892CA6">
        <w:rPr>
          <w:rFonts w:ascii="Verdana" w:hAnsi="Verdana" w:cstheme="minorHAnsi"/>
          <w:color w:val="000000" w:themeColor="text1"/>
          <w:sz w:val="20"/>
          <w:szCs w:val="20"/>
          <w:lang w:val="en-US"/>
        </w:rPr>
        <w:t xml:space="preserve">MSBs mainly </w:t>
      </w:r>
      <w:r w:rsidR="00603251" w:rsidRPr="00892CA6">
        <w:rPr>
          <w:rFonts w:ascii="Verdana" w:eastAsiaTheme="minorHAnsi" w:hAnsi="Verdana" w:cstheme="minorHAnsi"/>
          <w:color w:val="000000" w:themeColor="text1"/>
          <w:sz w:val="20"/>
          <w:szCs w:val="20"/>
          <w:lang w:val="en-US" w:eastAsia="en-US"/>
        </w:rPr>
        <w:t xml:space="preserve">serve </w:t>
      </w:r>
      <w:r w:rsidR="00F0357D" w:rsidRPr="00892CA6">
        <w:rPr>
          <w:rFonts w:ascii="Verdana" w:hAnsi="Verdana" w:cstheme="minorHAnsi"/>
          <w:color w:val="000000" w:themeColor="text1"/>
          <w:sz w:val="20"/>
          <w:szCs w:val="20"/>
          <w:lang w:val="en-US"/>
        </w:rPr>
        <w:t xml:space="preserve">the expatriate community, which is made up of nationals from other countries, some of which acquire Caymanian status over time via permanent residency. Individuals that acquire Caymanian status </w:t>
      </w:r>
      <w:r w:rsidR="00530FB5">
        <w:rPr>
          <w:rFonts w:ascii="Verdana" w:hAnsi="Verdana" w:cstheme="minorHAnsi"/>
          <w:color w:val="000000" w:themeColor="text1"/>
          <w:sz w:val="20"/>
          <w:szCs w:val="20"/>
          <w:lang w:val="en-US"/>
        </w:rPr>
        <w:t>generally</w:t>
      </w:r>
      <w:r w:rsidR="00F0357D" w:rsidRPr="00892CA6">
        <w:rPr>
          <w:rFonts w:ascii="Verdana" w:hAnsi="Verdana" w:cstheme="minorHAnsi"/>
          <w:color w:val="000000" w:themeColor="text1"/>
          <w:sz w:val="20"/>
          <w:szCs w:val="20"/>
          <w:lang w:val="en-US"/>
        </w:rPr>
        <w:t xml:space="preserve"> maintain strong connections with their countries of origin. </w:t>
      </w:r>
    </w:p>
    <w:p w14:paraId="4A663915" w14:textId="72EF7605" w:rsidR="0043558E" w:rsidRDefault="00F0357D" w:rsidP="0043558E">
      <w:pPr>
        <w:pStyle w:val="Heading2"/>
        <w:numPr>
          <w:ilvl w:val="0"/>
          <w:numId w:val="3"/>
        </w:numPr>
        <w:spacing w:line="276" w:lineRule="auto"/>
        <w:ind w:left="0" w:right="-6" w:firstLine="0"/>
        <w:jc w:val="both"/>
        <w:rPr>
          <w:rFonts w:ascii="Verdana" w:hAnsi="Verdana" w:cstheme="minorHAnsi"/>
          <w:color w:val="000000" w:themeColor="text1"/>
          <w:sz w:val="20"/>
          <w:szCs w:val="20"/>
          <w:lang w:val="en-US"/>
        </w:rPr>
      </w:pPr>
      <w:r w:rsidRPr="00892CA6">
        <w:rPr>
          <w:rFonts w:ascii="Verdana" w:eastAsiaTheme="minorHAnsi" w:hAnsi="Verdana" w:cstheme="minorHAnsi"/>
          <w:color w:val="000000" w:themeColor="text1"/>
          <w:sz w:val="20"/>
          <w:szCs w:val="20"/>
          <w:lang w:val="en-US" w:eastAsia="en-US"/>
        </w:rPr>
        <w:t xml:space="preserve">Statistics collected from the MSBs by </w:t>
      </w:r>
      <w:r w:rsidR="00D22529" w:rsidRPr="00892CA6">
        <w:rPr>
          <w:rFonts w:ascii="Verdana" w:eastAsiaTheme="minorHAnsi" w:hAnsi="Verdana" w:cstheme="minorHAnsi"/>
          <w:color w:val="000000" w:themeColor="text1"/>
          <w:sz w:val="20"/>
          <w:szCs w:val="20"/>
          <w:lang w:val="en-US" w:eastAsia="en-US"/>
        </w:rPr>
        <w:t>CIMA show</w:t>
      </w:r>
      <w:r w:rsidRPr="00892CA6">
        <w:rPr>
          <w:rFonts w:ascii="Verdana" w:eastAsiaTheme="minorHAnsi" w:hAnsi="Verdana" w:cstheme="minorHAnsi"/>
          <w:color w:val="000000" w:themeColor="text1"/>
          <w:sz w:val="20"/>
          <w:szCs w:val="20"/>
          <w:lang w:val="en-US" w:eastAsia="en-US"/>
        </w:rPr>
        <w:t xml:space="preserve"> that for the period between July 2018 to June 201</w:t>
      </w:r>
      <w:r w:rsidR="00D73CBB" w:rsidRPr="00892CA6">
        <w:rPr>
          <w:rFonts w:ascii="Verdana" w:eastAsiaTheme="minorHAnsi" w:hAnsi="Verdana" w:cstheme="minorHAnsi"/>
          <w:color w:val="000000" w:themeColor="text1"/>
          <w:sz w:val="20"/>
          <w:szCs w:val="20"/>
          <w:lang w:val="en-US" w:eastAsia="en-US"/>
        </w:rPr>
        <w:t>9</w:t>
      </w:r>
      <w:r w:rsidRPr="00892CA6">
        <w:rPr>
          <w:rFonts w:ascii="Verdana" w:eastAsiaTheme="minorHAnsi" w:hAnsi="Verdana" w:cstheme="minorHAnsi"/>
          <w:color w:val="000000" w:themeColor="text1"/>
          <w:sz w:val="20"/>
          <w:szCs w:val="20"/>
          <w:lang w:val="en-US" w:eastAsia="en-US"/>
        </w:rPr>
        <w:t xml:space="preserve">, MSBs served a total of 67,367 customers. Because of the nature of the MSBs industry, customers </w:t>
      </w:r>
      <w:r w:rsidR="00D22529" w:rsidRPr="00892CA6">
        <w:rPr>
          <w:rFonts w:ascii="Verdana" w:eastAsiaTheme="minorHAnsi" w:hAnsi="Verdana" w:cstheme="minorHAnsi"/>
          <w:color w:val="000000" w:themeColor="text1"/>
          <w:sz w:val="20"/>
          <w:szCs w:val="20"/>
          <w:lang w:val="en-US" w:eastAsia="en-US"/>
        </w:rPr>
        <w:t xml:space="preserve">often </w:t>
      </w:r>
      <w:r w:rsidRPr="00892CA6">
        <w:rPr>
          <w:rFonts w:ascii="Verdana" w:eastAsiaTheme="minorHAnsi" w:hAnsi="Verdana" w:cstheme="minorHAnsi"/>
          <w:color w:val="000000" w:themeColor="text1"/>
          <w:sz w:val="20"/>
          <w:szCs w:val="20"/>
          <w:lang w:val="en-US" w:eastAsia="en-US"/>
        </w:rPr>
        <w:t>use more than one (1) MSB and the total customers population of 67,367 includes duplicate</w:t>
      </w:r>
      <w:r w:rsidR="00072DD7" w:rsidRPr="00892CA6">
        <w:rPr>
          <w:rFonts w:ascii="Verdana" w:eastAsiaTheme="minorHAnsi" w:hAnsi="Verdana" w:cstheme="minorHAnsi"/>
          <w:color w:val="000000" w:themeColor="text1"/>
          <w:sz w:val="20"/>
          <w:szCs w:val="20"/>
          <w:lang w:val="en-US" w:eastAsia="en-US"/>
        </w:rPr>
        <w:t>s</w:t>
      </w:r>
      <w:r w:rsidRPr="00892CA6">
        <w:rPr>
          <w:rFonts w:ascii="Verdana" w:eastAsiaTheme="minorHAnsi" w:hAnsi="Verdana" w:cstheme="minorHAnsi"/>
          <w:color w:val="000000" w:themeColor="text1"/>
          <w:sz w:val="20"/>
          <w:szCs w:val="20"/>
          <w:lang w:val="en-US" w:eastAsia="en-US"/>
        </w:rPr>
        <w:t xml:space="preserve"> of such customers registered </w:t>
      </w:r>
      <w:r w:rsidR="00AC399A" w:rsidRPr="00892CA6">
        <w:rPr>
          <w:rFonts w:ascii="Verdana" w:eastAsiaTheme="minorHAnsi" w:hAnsi="Verdana" w:cstheme="minorHAnsi"/>
          <w:color w:val="000000" w:themeColor="text1"/>
          <w:sz w:val="20"/>
          <w:szCs w:val="20"/>
          <w:lang w:val="en-US" w:eastAsia="en-US"/>
        </w:rPr>
        <w:t>with</w:t>
      </w:r>
      <w:r w:rsidRPr="00892CA6">
        <w:rPr>
          <w:rFonts w:ascii="Verdana" w:eastAsiaTheme="minorHAnsi" w:hAnsi="Verdana" w:cstheme="minorHAnsi"/>
          <w:color w:val="000000" w:themeColor="text1"/>
          <w:sz w:val="20"/>
          <w:szCs w:val="20"/>
          <w:lang w:val="en-US" w:eastAsia="en-US"/>
        </w:rPr>
        <w:t xml:space="preserve"> more than one (1) MSB.</w:t>
      </w:r>
      <w:r w:rsidR="00D22529" w:rsidRPr="00892CA6">
        <w:rPr>
          <w:rFonts w:ascii="Verdana" w:eastAsiaTheme="minorHAnsi" w:hAnsi="Verdana" w:cstheme="minorHAnsi"/>
          <w:color w:val="000000" w:themeColor="text1"/>
          <w:sz w:val="20"/>
          <w:szCs w:val="20"/>
          <w:lang w:val="en-US" w:eastAsia="en-US"/>
        </w:rPr>
        <w:t xml:space="preserve"> </w:t>
      </w:r>
      <w:r w:rsidR="00297514">
        <w:rPr>
          <w:rFonts w:ascii="Verdana" w:eastAsiaTheme="minorHAnsi" w:hAnsi="Verdana" w:cstheme="minorHAnsi"/>
          <w:color w:val="000000" w:themeColor="text1"/>
          <w:sz w:val="20"/>
          <w:szCs w:val="20"/>
          <w:lang w:val="en-US" w:eastAsia="en-US"/>
        </w:rPr>
        <w:t>However, this is not unusual as customers often seek the most favorable fees or exchange rates</w:t>
      </w:r>
      <w:r w:rsidR="00E54B9D">
        <w:rPr>
          <w:rFonts w:ascii="Verdana" w:eastAsiaTheme="minorHAnsi" w:hAnsi="Verdana" w:cstheme="minorHAnsi"/>
          <w:color w:val="000000" w:themeColor="text1"/>
          <w:sz w:val="20"/>
          <w:szCs w:val="20"/>
          <w:lang w:val="en-US" w:eastAsia="en-US"/>
        </w:rPr>
        <w:t xml:space="preserve">. </w:t>
      </w:r>
      <w:r w:rsidR="00297514">
        <w:rPr>
          <w:rFonts w:ascii="Verdana" w:eastAsiaTheme="minorHAnsi" w:hAnsi="Verdana" w:cstheme="minorHAnsi"/>
          <w:color w:val="000000" w:themeColor="text1"/>
          <w:sz w:val="20"/>
          <w:szCs w:val="20"/>
          <w:lang w:val="en-US" w:eastAsia="en-US"/>
        </w:rPr>
        <w:t xml:space="preserve">Additionally, the MSB of choice is often based on </w:t>
      </w:r>
      <w:r w:rsidR="00E54B9D">
        <w:rPr>
          <w:rFonts w:ascii="Verdana" w:eastAsiaTheme="minorHAnsi" w:hAnsi="Verdana" w:cstheme="minorHAnsi"/>
          <w:color w:val="000000" w:themeColor="text1"/>
          <w:sz w:val="20"/>
          <w:szCs w:val="20"/>
          <w:lang w:val="en-US" w:eastAsia="en-US"/>
        </w:rPr>
        <w:t>whether</w:t>
      </w:r>
      <w:r w:rsidR="00297514">
        <w:rPr>
          <w:rFonts w:ascii="Verdana" w:eastAsiaTheme="minorHAnsi" w:hAnsi="Verdana" w:cstheme="minorHAnsi"/>
          <w:color w:val="000000" w:themeColor="text1"/>
          <w:sz w:val="20"/>
          <w:szCs w:val="20"/>
          <w:lang w:val="en-US" w:eastAsia="en-US"/>
        </w:rPr>
        <w:t xml:space="preserve"> </w:t>
      </w:r>
      <w:r w:rsidR="00E54B9D">
        <w:rPr>
          <w:rFonts w:ascii="Verdana" w:eastAsiaTheme="minorHAnsi" w:hAnsi="Verdana" w:cstheme="minorHAnsi"/>
          <w:color w:val="000000" w:themeColor="text1"/>
          <w:sz w:val="20"/>
          <w:szCs w:val="20"/>
          <w:lang w:val="en-US" w:eastAsia="en-US"/>
        </w:rPr>
        <w:t>there is an agent in the recipient’s area</w:t>
      </w:r>
      <w:r w:rsidR="00297514">
        <w:rPr>
          <w:rFonts w:ascii="Verdana" w:eastAsiaTheme="minorHAnsi" w:hAnsi="Verdana" w:cstheme="minorHAnsi"/>
          <w:color w:val="000000" w:themeColor="text1"/>
          <w:sz w:val="20"/>
          <w:szCs w:val="20"/>
          <w:lang w:val="en-US" w:eastAsia="en-US"/>
        </w:rPr>
        <w:t xml:space="preserve">. </w:t>
      </w:r>
      <w:r w:rsidR="00AD69CD" w:rsidRPr="00892CA6">
        <w:rPr>
          <w:rFonts w:ascii="Verdana" w:eastAsiaTheme="minorHAnsi" w:hAnsi="Verdana" w:cstheme="minorHAnsi"/>
          <w:color w:val="000000" w:themeColor="text1"/>
          <w:sz w:val="20"/>
          <w:szCs w:val="20"/>
          <w:lang w:val="en-US" w:eastAsia="en-US"/>
        </w:rPr>
        <w:t xml:space="preserve">The actual number of customers might thus </w:t>
      </w:r>
      <w:r w:rsidR="00AC399A" w:rsidRPr="00892CA6">
        <w:rPr>
          <w:rFonts w:ascii="Verdana" w:eastAsiaTheme="minorHAnsi" w:hAnsi="Verdana" w:cstheme="minorHAnsi"/>
          <w:color w:val="000000" w:themeColor="text1"/>
          <w:sz w:val="20"/>
          <w:szCs w:val="20"/>
          <w:lang w:val="en-US" w:eastAsia="en-US"/>
        </w:rPr>
        <w:t xml:space="preserve">be </w:t>
      </w:r>
      <w:r w:rsidR="00AD69CD" w:rsidRPr="00892CA6">
        <w:rPr>
          <w:rFonts w:ascii="Verdana" w:eastAsiaTheme="minorHAnsi" w:hAnsi="Verdana" w:cstheme="minorHAnsi"/>
          <w:color w:val="000000" w:themeColor="text1"/>
          <w:sz w:val="20"/>
          <w:szCs w:val="20"/>
          <w:lang w:val="en-US" w:eastAsia="en-US"/>
        </w:rPr>
        <w:t xml:space="preserve">lower, without the duplicates’ population, especially given </w:t>
      </w:r>
      <w:r w:rsidR="00AC399A" w:rsidRPr="00892CA6">
        <w:rPr>
          <w:rFonts w:ascii="Verdana" w:eastAsiaTheme="minorHAnsi" w:hAnsi="Verdana" w:cstheme="minorHAnsi"/>
          <w:color w:val="000000" w:themeColor="text1"/>
          <w:sz w:val="20"/>
          <w:szCs w:val="20"/>
          <w:lang w:val="en-US" w:eastAsia="en-US"/>
        </w:rPr>
        <w:t xml:space="preserve">that </w:t>
      </w:r>
      <w:r w:rsidR="00AD69CD" w:rsidRPr="00892CA6">
        <w:rPr>
          <w:rFonts w:ascii="Verdana" w:eastAsiaTheme="minorHAnsi" w:hAnsi="Verdana" w:cstheme="minorHAnsi"/>
          <w:color w:val="000000" w:themeColor="text1"/>
          <w:sz w:val="20"/>
          <w:szCs w:val="20"/>
          <w:lang w:val="en-US" w:eastAsia="en-US"/>
        </w:rPr>
        <w:t>the population of the entire jurisdictions was 65,813 people as of 31 December 2018, according to the Economic and Statistics Office</w:t>
      </w:r>
      <w:r w:rsidR="005B3DB1" w:rsidRPr="00892CA6">
        <w:rPr>
          <w:rFonts w:ascii="Verdana" w:eastAsiaTheme="minorHAnsi" w:hAnsi="Verdana" w:cstheme="minorHAnsi"/>
          <w:color w:val="000000" w:themeColor="text1"/>
          <w:sz w:val="20"/>
          <w:szCs w:val="20"/>
          <w:lang w:val="en-US" w:eastAsia="en-US"/>
        </w:rPr>
        <w:t xml:space="preserve"> (ESO)</w:t>
      </w:r>
      <w:r w:rsidR="00AD69CD" w:rsidRPr="00892CA6">
        <w:rPr>
          <w:rFonts w:ascii="Verdana" w:eastAsiaTheme="minorHAnsi" w:hAnsi="Verdana" w:cstheme="minorHAnsi"/>
          <w:sz w:val="16"/>
          <w:szCs w:val="16"/>
          <w:vertAlign w:val="superscript"/>
          <w:lang w:val="en-US" w:eastAsia="en-US"/>
        </w:rPr>
        <w:footnoteReference w:id="7"/>
      </w:r>
      <w:r w:rsidR="00AD69CD" w:rsidRPr="00892CA6">
        <w:rPr>
          <w:rFonts w:ascii="Verdana" w:eastAsiaTheme="minorHAnsi" w:hAnsi="Verdana" w:cstheme="minorHAnsi"/>
          <w:color w:val="000000" w:themeColor="text1"/>
          <w:sz w:val="20"/>
          <w:szCs w:val="20"/>
          <w:lang w:val="en-US" w:eastAsia="en-US"/>
        </w:rPr>
        <w:t xml:space="preserve">. </w:t>
      </w:r>
      <w:r w:rsidRPr="00892CA6">
        <w:rPr>
          <w:rFonts w:ascii="Verdana" w:eastAsiaTheme="minorHAnsi" w:hAnsi="Verdana" w:cstheme="minorHAnsi"/>
          <w:color w:val="000000" w:themeColor="text1"/>
          <w:sz w:val="20"/>
          <w:szCs w:val="20"/>
          <w:lang w:val="en-US" w:eastAsia="en-US"/>
        </w:rPr>
        <w:t xml:space="preserve"> </w:t>
      </w:r>
      <w:r w:rsidR="00981105" w:rsidRPr="00892CA6">
        <w:rPr>
          <w:rFonts w:ascii="Verdana" w:eastAsiaTheme="minorHAnsi" w:hAnsi="Verdana" w:cstheme="minorHAnsi"/>
          <w:color w:val="000000" w:themeColor="text1"/>
          <w:sz w:val="20"/>
          <w:szCs w:val="20"/>
          <w:lang w:val="en-US" w:eastAsia="en-US"/>
        </w:rPr>
        <w:t>Additionally, the ratio of the customers per each of the three (3) MSBs was reportedly 45</w:t>
      </w:r>
      <w:r w:rsidR="00981105" w:rsidRPr="00892CA6">
        <w:rPr>
          <w:rFonts w:ascii="Verdana" w:hAnsi="Verdana" w:cstheme="minorHAnsi"/>
          <w:color w:val="000000" w:themeColor="text1"/>
          <w:sz w:val="20"/>
          <w:szCs w:val="20"/>
          <w:lang w:val="en-US"/>
        </w:rPr>
        <w:t xml:space="preserve">%: 54%: 1%, further indicating that there is duplication of customers in two (2) of the three (3) active MSBs. </w:t>
      </w:r>
    </w:p>
    <w:p w14:paraId="7C0334F9" w14:textId="77777777" w:rsidR="0043558E" w:rsidRPr="00892CA6" w:rsidRDefault="0043558E" w:rsidP="00892CA6">
      <w:pPr>
        <w:pStyle w:val="Heading2"/>
        <w:numPr>
          <w:ilvl w:val="0"/>
          <w:numId w:val="0"/>
        </w:numPr>
        <w:spacing w:line="276" w:lineRule="auto"/>
        <w:ind w:right="-6"/>
        <w:jc w:val="both"/>
        <w:rPr>
          <w:rFonts w:ascii="Verdana" w:hAnsi="Verdana" w:cstheme="minorHAnsi"/>
          <w:color w:val="000000" w:themeColor="text1"/>
          <w:sz w:val="20"/>
          <w:szCs w:val="20"/>
          <w:lang w:val="en-US"/>
        </w:rPr>
      </w:pPr>
    </w:p>
    <w:p w14:paraId="5E0B1CA4" w14:textId="16F23267" w:rsidR="00F30152" w:rsidRPr="00892CA6" w:rsidRDefault="00384027" w:rsidP="00F30152">
      <w:pPr>
        <w:pStyle w:val="NormalWeb"/>
        <w:numPr>
          <w:ilvl w:val="0"/>
          <w:numId w:val="3"/>
        </w:numPr>
        <w:spacing w:before="0" w:beforeAutospacing="0" w:after="0" w:afterAutospacing="0" w:line="276" w:lineRule="auto"/>
        <w:ind w:left="0" w:firstLine="0"/>
        <w:contextualSpacing/>
        <w:jc w:val="both"/>
        <w:rPr>
          <w:rFonts w:ascii="Verdana" w:eastAsiaTheme="minorHAnsi" w:hAnsi="Verdana" w:cstheme="minorHAnsi"/>
          <w:color w:val="000000" w:themeColor="text1"/>
          <w:sz w:val="20"/>
          <w:szCs w:val="20"/>
          <w:lang w:eastAsia="en-US"/>
        </w:rPr>
      </w:pPr>
      <w:r w:rsidRPr="00892CA6">
        <w:rPr>
          <w:rFonts w:ascii="Verdana" w:eastAsiaTheme="minorHAnsi" w:hAnsi="Verdana" w:cstheme="minorHAnsi"/>
          <w:color w:val="000000" w:themeColor="text1"/>
          <w:sz w:val="20"/>
          <w:szCs w:val="20"/>
          <w:lang w:eastAsia="en-US"/>
        </w:rPr>
        <w:t xml:space="preserve">Out of the 67,367 customers, 40% are nationalities of Jamaica whist 36% are Caymanians. The Philippines, Honduras and Nicaragua contribute 8%, 6% and 2% respectively. Together, these first five (5) countries make up 91% of the total population. </w:t>
      </w:r>
      <w:r w:rsidR="00F30152" w:rsidRPr="00892CA6">
        <w:rPr>
          <w:rFonts w:ascii="Verdana" w:eastAsiaTheme="minorHAnsi" w:hAnsi="Verdana" w:cstheme="minorHAnsi"/>
          <w:color w:val="000000" w:themeColor="text1"/>
          <w:sz w:val="20"/>
          <w:szCs w:val="20"/>
          <w:lang w:eastAsia="en-US"/>
        </w:rPr>
        <w:t>In total, 6,381 or 9% of the customers are from countries that are consider</w:t>
      </w:r>
      <w:r w:rsidR="00E77D3A">
        <w:rPr>
          <w:rFonts w:ascii="Verdana" w:eastAsiaTheme="minorHAnsi" w:hAnsi="Verdana" w:cstheme="minorHAnsi"/>
          <w:color w:val="000000" w:themeColor="text1"/>
          <w:sz w:val="20"/>
          <w:szCs w:val="20"/>
          <w:lang w:eastAsia="en-US"/>
        </w:rPr>
        <w:t>ed</w:t>
      </w:r>
      <w:r w:rsidR="00E54B9D">
        <w:rPr>
          <w:rFonts w:ascii="Verdana" w:eastAsiaTheme="minorHAnsi" w:hAnsi="Verdana" w:cstheme="minorHAnsi"/>
          <w:color w:val="000000" w:themeColor="text1"/>
          <w:sz w:val="20"/>
          <w:szCs w:val="20"/>
          <w:lang w:eastAsia="en-US"/>
        </w:rPr>
        <w:t xml:space="preserve"> </w:t>
      </w:r>
      <w:r w:rsidR="00F30152" w:rsidRPr="00892CA6">
        <w:rPr>
          <w:rFonts w:ascii="Verdana" w:eastAsiaTheme="minorHAnsi" w:hAnsi="Verdana" w:cstheme="minorHAnsi"/>
          <w:color w:val="000000" w:themeColor="text1"/>
          <w:sz w:val="20"/>
          <w:szCs w:val="20"/>
          <w:lang w:eastAsia="en-US"/>
        </w:rPr>
        <w:t xml:space="preserve">high risk; i.e. those that are on the FATF high risk and monitored jurisdictions, the countries </w:t>
      </w:r>
      <w:r w:rsidR="00151EB6">
        <w:rPr>
          <w:rFonts w:ascii="Verdana" w:eastAsiaTheme="minorHAnsi" w:hAnsi="Verdana" w:cstheme="minorHAnsi"/>
          <w:color w:val="000000" w:themeColor="text1"/>
          <w:sz w:val="20"/>
          <w:szCs w:val="20"/>
          <w:lang w:eastAsia="en-US"/>
        </w:rPr>
        <w:t xml:space="preserve">on </w:t>
      </w:r>
      <w:r w:rsidR="00F30152" w:rsidRPr="00892CA6">
        <w:rPr>
          <w:rFonts w:ascii="Verdana" w:eastAsiaTheme="minorHAnsi" w:hAnsi="Verdana" w:cstheme="minorHAnsi"/>
          <w:color w:val="000000" w:themeColor="text1"/>
          <w:sz w:val="20"/>
          <w:szCs w:val="20"/>
          <w:lang w:eastAsia="en-US"/>
        </w:rPr>
        <w:t>the UK Her Majesty Treasury list</w:t>
      </w:r>
      <w:r w:rsidR="005C0CE8" w:rsidRPr="009A3BA3">
        <w:rPr>
          <w:rFonts w:ascii="Verdana" w:eastAsiaTheme="minorHAnsi" w:hAnsi="Verdana" w:cstheme="minorHAnsi"/>
          <w:sz w:val="16"/>
          <w:szCs w:val="16"/>
          <w:vertAlign w:val="superscript"/>
          <w:lang w:eastAsia="en-US"/>
        </w:rPr>
        <w:footnoteReference w:id="8"/>
      </w:r>
      <w:r w:rsidR="00F30152" w:rsidRPr="00892CA6">
        <w:rPr>
          <w:rFonts w:ascii="Verdana" w:eastAsiaTheme="minorHAnsi" w:hAnsi="Verdana" w:cstheme="minorHAnsi"/>
          <w:color w:val="000000" w:themeColor="text1"/>
          <w:sz w:val="20"/>
          <w:szCs w:val="20"/>
          <w:lang w:eastAsia="en-US"/>
        </w:rPr>
        <w:t xml:space="preserve"> </w:t>
      </w:r>
      <w:r w:rsidR="00151EB6">
        <w:rPr>
          <w:rFonts w:ascii="Verdana" w:eastAsiaTheme="minorHAnsi" w:hAnsi="Verdana" w:cstheme="minorHAnsi"/>
          <w:color w:val="000000" w:themeColor="text1"/>
          <w:sz w:val="20"/>
          <w:szCs w:val="20"/>
          <w:lang w:eastAsia="en-US"/>
        </w:rPr>
        <w:t>and other</w:t>
      </w:r>
      <w:r w:rsidR="00F30152" w:rsidRPr="00892CA6">
        <w:rPr>
          <w:rFonts w:ascii="Verdana" w:eastAsiaTheme="minorHAnsi" w:hAnsi="Verdana" w:cstheme="minorHAnsi"/>
          <w:color w:val="000000" w:themeColor="text1"/>
          <w:sz w:val="20"/>
          <w:szCs w:val="20"/>
          <w:lang w:eastAsia="en-US"/>
        </w:rPr>
        <w:t xml:space="preserve"> applicable lists such as OFAC, the first 20 countries on the Basel AML Index issued by the Basel Institute on Governance</w:t>
      </w:r>
      <w:r w:rsidR="00F30152" w:rsidRPr="00892CA6">
        <w:rPr>
          <w:rFonts w:ascii="Verdana" w:eastAsiaTheme="minorHAnsi" w:hAnsi="Verdana" w:cstheme="minorHAnsi"/>
          <w:sz w:val="16"/>
          <w:szCs w:val="16"/>
          <w:vertAlign w:val="superscript"/>
          <w:lang w:eastAsia="en-US"/>
        </w:rPr>
        <w:footnoteReference w:id="9"/>
      </w:r>
      <w:r w:rsidR="00F30152" w:rsidRPr="00892CA6">
        <w:rPr>
          <w:rFonts w:ascii="Verdana" w:eastAsiaTheme="minorHAnsi" w:hAnsi="Verdana" w:cstheme="minorHAnsi"/>
          <w:color w:val="000000" w:themeColor="text1"/>
          <w:sz w:val="20"/>
          <w:szCs w:val="20"/>
          <w:lang w:eastAsia="en-US"/>
        </w:rPr>
        <w:t xml:space="preserve"> and the first 19 countries on the Global Terrorism Index for 2018</w:t>
      </w:r>
      <w:r w:rsidR="00F30152" w:rsidRPr="00892CA6">
        <w:rPr>
          <w:rStyle w:val="FootnoteReference"/>
          <w:rFonts w:ascii="Verdana" w:eastAsiaTheme="minorHAnsi" w:hAnsi="Verdana" w:cstheme="minorHAnsi"/>
          <w:color w:val="000000" w:themeColor="text1"/>
          <w:sz w:val="16"/>
          <w:szCs w:val="16"/>
          <w:lang w:eastAsia="en-US"/>
        </w:rPr>
        <w:footnoteReference w:id="10"/>
      </w:r>
      <w:r w:rsidR="00F30152" w:rsidRPr="00892CA6">
        <w:rPr>
          <w:rFonts w:ascii="Verdana" w:eastAsiaTheme="minorHAnsi" w:hAnsi="Verdana" w:cstheme="minorHAnsi"/>
          <w:color w:val="000000" w:themeColor="text1"/>
          <w:sz w:val="20"/>
          <w:szCs w:val="20"/>
          <w:lang w:eastAsia="en-US"/>
        </w:rPr>
        <w:t>. It is worth mention</w:t>
      </w:r>
      <w:r w:rsidR="00AC399A" w:rsidRPr="00892CA6">
        <w:rPr>
          <w:rFonts w:ascii="Verdana" w:eastAsiaTheme="minorHAnsi" w:hAnsi="Verdana" w:cstheme="minorHAnsi"/>
          <w:color w:val="000000" w:themeColor="text1"/>
          <w:sz w:val="20"/>
          <w:szCs w:val="20"/>
          <w:lang w:eastAsia="en-US"/>
        </w:rPr>
        <w:t>ing</w:t>
      </w:r>
      <w:r w:rsidR="00F30152" w:rsidRPr="00892CA6">
        <w:rPr>
          <w:rFonts w:ascii="Verdana" w:eastAsiaTheme="minorHAnsi" w:hAnsi="Verdana" w:cstheme="minorHAnsi"/>
          <w:color w:val="000000" w:themeColor="text1"/>
          <w:sz w:val="20"/>
          <w:szCs w:val="20"/>
          <w:lang w:eastAsia="en-US"/>
        </w:rPr>
        <w:t xml:space="preserve"> that customers from the Philippines make up 8% of the 9% of the customers from the </w:t>
      </w:r>
      <w:r w:rsidR="009602A1" w:rsidRPr="00892CA6">
        <w:rPr>
          <w:rFonts w:ascii="Verdana" w:eastAsiaTheme="minorHAnsi" w:hAnsi="Verdana" w:cstheme="minorHAnsi"/>
          <w:color w:val="000000" w:themeColor="text1"/>
          <w:sz w:val="20"/>
          <w:szCs w:val="20"/>
          <w:lang w:eastAsia="en-US"/>
        </w:rPr>
        <w:t>high-risk</w:t>
      </w:r>
      <w:r w:rsidR="00F30152" w:rsidRPr="00892CA6">
        <w:rPr>
          <w:rFonts w:ascii="Verdana" w:eastAsiaTheme="minorHAnsi" w:hAnsi="Verdana" w:cstheme="minorHAnsi"/>
          <w:color w:val="000000" w:themeColor="text1"/>
          <w:sz w:val="20"/>
          <w:szCs w:val="20"/>
          <w:lang w:eastAsia="en-US"/>
        </w:rPr>
        <w:t xml:space="preserve"> countries, with a total of 5,280 customers. India contributes 1%. </w:t>
      </w:r>
      <w:r w:rsidR="00BF5D94" w:rsidRPr="00892CA6">
        <w:rPr>
          <w:rFonts w:ascii="Verdana" w:eastAsiaTheme="minorHAnsi" w:hAnsi="Verdana" w:cstheme="minorHAnsi"/>
          <w:color w:val="000000" w:themeColor="text1"/>
          <w:sz w:val="20"/>
          <w:szCs w:val="20"/>
          <w:lang w:eastAsia="en-US"/>
        </w:rPr>
        <w:t xml:space="preserve">No customers from Iran and North Korea were reported. </w:t>
      </w:r>
    </w:p>
    <w:p w14:paraId="3EB4A6F4" w14:textId="77777777" w:rsidR="005B3DB1" w:rsidRPr="00892CA6" w:rsidRDefault="005B3DB1" w:rsidP="00AC399A">
      <w:pPr>
        <w:pStyle w:val="NormalWeb"/>
        <w:spacing w:before="0" w:beforeAutospacing="0" w:after="0" w:afterAutospacing="0" w:line="276" w:lineRule="auto"/>
        <w:contextualSpacing/>
        <w:jc w:val="both"/>
        <w:rPr>
          <w:rFonts w:ascii="Verdana" w:eastAsiaTheme="minorHAnsi" w:hAnsi="Verdana" w:cstheme="minorHAnsi"/>
          <w:color w:val="000000" w:themeColor="text1"/>
          <w:sz w:val="20"/>
          <w:szCs w:val="20"/>
          <w:lang w:eastAsia="en-US"/>
        </w:rPr>
      </w:pPr>
    </w:p>
    <w:p w14:paraId="3BCD7073" w14:textId="43E21776" w:rsidR="005B3DB1" w:rsidRPr="00892CA6" w:rsidRDefault="005B3DB1" w:rsidP="00F30152">
      <w:pPr>
        <w:pStyle w:val="NormalWeb"/>
        <w:numPr>
          <w:ilvl w:val="0"/>
          <w:numId w:val="3"/>
        </w:numPr>
        <w:spacing w:before="0" w:beforeAutospacing="0" w:after="0" w:afterAutospacing="0" w:line="276" w:lineRule="auto"/>
        <w:ind w:left="0" w:firstLine="0"/>
        <w:contextualSpacing/>
        <w:jc w:val="both"/>
        <w:rPr>
          <w:rFonts w:ascii="Verdana" w:eastAsiaTheme="minorHAnsi" w:hAnsi="Verdana" w:cstheme="minorHAnsi"/>
          <w:color w:val="000000" w:themeColor="text1"/>
          <w:sz w:val="20"/>
          <w:szCs w:val="20"/>
          <w:lang w:eastAsia="en-US"/>
        </w:rPr>
      </w:pPr>
      <w:r w:rsidRPr="00892CA6">
        <w:rPr>
          <w:rFonts w:ascii="Verdana" w:eastAsiaTheme="minorHAnsi" w:hAnsi="Verdana" w:cstheme="minorHAnsi"/>
          <w:color w:val="000000" w:themeColor="text1"/>
          <w:sz w:val="20"/>
          <w:szCs w:val="20"/>
          <w:lang w:eastAsia="en-US"/>
        </w:rPr>
        <w:t xml:space="preserve">Statistics from the ESO </w:t>
      </w:r>
      <w:r w:rsidR="00486596">
        <w:rPr>
          <w:rFonts w:ascii="Verdana" w:eastAsiaTheme="minorHAnsi" w:hAnsi="Verdana" w:cstheme="minorHAnsi"/>
          <w:color w:val="000000" w:themeColor="text1"/>
          <w:sz w:val="20"/>
          <w:szCs w:val="20"/>
          <w:lang w:eastAsia="en-US"/>
        </w:rPr>
        <w:t>indicate</w:t>
      </w:r>
      <w:r w:rsidR="00486596" w:rsidRPr="00892CA6">
        <w:rPr>
          <w:rFonts w:ascii="Verdana" w:eastAsiaTheme="minorHAnsi" w:hAnsi="Verdana" w:cstheme="minorHAnsi"/>
          <w:color w:val="000000" w:themeColor="text1"/>
          <w:sz w:val="20"/>
          <w:szCs w:val="20"/>
          <w:lang w:eastAsia="en-US"/>
        </w:rPr>
        <w:t xml:space="preserve"> </w:t>
      </w:r>
      <w:r w:rsidRPr="00892CA6">
        <w:rPr>
          <w:rFonts w:ascii="Verdana" w:eastAsiaTheme="minorHAnsi" w:hAnsi="Verdana" w:cstheme="minorHAnsi"/>
          <w:color w:val="000000" w:themeColor="text1"/>
          <w:sz w:val="20"/>
          <w:szCs w:val="20"/>
          <w:lang w:eastAsia="en-US"/>
        </w:rPr>
        <w:t>that there were 25,655</w:t>
      </w:r>
      <w:r w:rsidRPr="00892CA6">
        <w:rPr>
          <w:rStyle w:val="FootnoteReference"/>
          <w:rFonts w:ascii="Verdana" w:eastAsiaTheme="minorHAnsi" w:hAnsi="Verdana" w:cstheme="minorHAnsi"/>
          <w:color w:val="000000" w:themeColor="text1"/>
          <w:sz w:val="16"/>
          <w:szCs w:val="16"/>
          <w:lang w:eastAsia="en-US"/>
        </w:rPr>
        <w:footnoteReference w:id="11"/>
      </w:r>
      <w:r w:rsidRPr="00892CA6">
        <w:rPr>
          <w:rFonts w:ascii="Verdana" w:eastAsiaTheme="minorHAnsi" w:hAnsi="Verdana" w:cstheme="minorHAnsi"/>
          <w:color w:val="000000" w:themeColor="text1"/>
          <w:sz w:val="20"/>
          <w:szCs w:val="20"/>
          <w:lang w:eastAsia="en-US"/>
        </w:rPr>
        <w:t xml:space="preserve">work permits in issue as of 31 December 2018, representing 39% of the total population of the Cayman Islands. The work permits holders are from 68 countries.  </w:t>
      </w:r>
      <w:r w:rsidR="0022613C" w:rsidRPr="00892CA6">
        <w:rPr>
          <w:rFonts w:ascii="Verdana" w:eastAsiaTheme="minorHAnsi" w:hAnsi="Verdana" w:cstheme="minorHAnsi"/>
          <w:color w:val="000000" w:themeColor="text1"/>
          <w:sz w:val="20"/>
          <w:szCs w:val="20"/>
          <w:lang w:eastAsia="en-US"/>
        </w:rPr>
        <w:t>The ESO further reports that in total, people from 135 countries live in the Cayman Islands. Of the 25,655 work permits, 8</w:t>
      </w:r>
      <w:r w:rsidR="00D70F86">
        <w:rPr>
          <w:rFonts w:ascii="Verdana" w:eastAsiaTheme="minorHAnsi" w:hAnsi="Verdana" w:cstheme="minorHAnsi"/>
          <w:color w:val="000000" w:themeColor="text1"/>
          <w:sz w:val="20"/>
          <w:szCs w:val="20"/>
          <w:lang w:eastAsia="en-US"/>
        </w:rPr>
        <w:t>1</w:t>
      </w:r>
      <w:r w:rsidR="0022613C" w:rsidRPr="00892CA6">
        <w:rPr>
          <w:rFonts w:ascii="Verdana" w:eastAsiaTheme="minorHAnsi" w:hAnsi="Verdana" w:cstheme="minorHAnsi"/>
          <w:color w:val="000000" w:themeColor="text1"/>
          <w:sz w:val="20"/>
          <w:szCs w:val="20"/>
          <w:lang w:eastAsia="en-US"/>
        </w:rPr>
        <w:t>% or 20,</w:t>
      </w:r>
      <w:r w:rsidR="006B604A">
        <w:rPr>
          <w:rFonts w:ascii="Verdana" w:eastAsiaTheme="minorHAnsi" w:hAnsi="Verdana" w:cstheme="minorHAnsi"/>
          <w:color w:val="000000" w:themeColor="text1"/>
          <w:sz w:val="20"/>
          <w:szCs w:val="20"/>
          <w:lang w:eastAsia="en-US"/>
        </w:rPr>
        <w:t>781</w:t>
      </w:r>
      <w:r w:rsidR="0022613C" w:rsidRPr="00892CA6">
        <w:rPr>
          <w:rFonts w:ascii="Verdana" w:eastAsiaTheme="minorHAnsi" w:hAnsi="Verdana" w:cstheme="minorHAnsi"/>
          <w:color w:val="000000" w:themeColor="text1"/>
          <w:sz w:val="20"/>
          <w:szCs w:val="20"/>
          <w:lang w:eastAsia="en-US"/>
        </w:rPr>
        <w:t xml:space="preserve"> are from 7 countries namely; Jamaica (43%), Philippines (14%), United Kingdom (7%), India (5%), United States (4%), Honduras (4%) and Canada (4%).</w:t>
      </w:r>
      <w:r w:rsidR="00D92E1B" w:rsidRPr="00892CA6">
        <w:rPr>
          <w:rFonts w:ascii="Verdana" w:eastAsiaTheme="minorHAnsi" w:hAnsi="Verdana" w:cstheme="minorHAnsi"/>
          <w:color w:val="000000" w:themeColor="text1"/>
          <w:sz w:val="20"/>
          <w:szCs w:val="20"/>
          <w:lang w:eastAsia="en-US"/>
        </w:rPr>
        <w:t xml:space="preserve"> It is therefore not surprising that 40</w:t>
      </w:r>
      <w:r w:rsidR="00AC399A" w:rsidRPr="00892CA6">
        <w:rPr>
          <w:rFonts w:ascii="Verdana" w:eastAsiaTheme="minorHAnsi" w:hAnsi="Verdana" w:cstheme="minorHAnsi"/>
          <w:color w:val="000000" w:themeColor="text1"/>
          <w:sz w:val="20"/>
          <w:szCs w:val="20"/>
          <w:lang w:eastAsia="en-US"/>
        </w:rPr>
        <w:t>%</w:t>
      </w:r>
      <w:r w:rsidR="00D92E1B" w:rsidRPr="00892CA6">
        <w:rPr>
          <w:rFonts w:ascii="Verdana" w:eastAsiaTheme="minorHAnsi" w:hAnsi="Verdana" w:cstheme="minorHAnsi"/>
          <w:color w:val="000000" w:themeColor="text1"/>
          <w:sz w:val="20"/>
          <w:szCs w:val="20"/>
          <w:lang w:eastAsia="en-US"/>
        </w:rPr>
        <w:t xml:space="preserve"> of the MSBs customers are from Jamaica whilst the Philippines and Honduras are also in </w:t>
      </w:r>
      <w:r w:rsidR="009F3389">
        <w:rPr>
          <w:rFonts w:ascii="Verdana" w:eastAsiaTheme="minorHAnsi" w:hAnsi="Verdana" w:cstheme="minorHAnsi"/>
          <w:color w:val="000000" w:themeColor="text1"/>
          <w:sz w:val="20"/>
          <w:szCs w:val="20"/>
          <w:lang w:eastAsia="en-US"/>
        </w:rPr>
        <w:t xml:space="preserve">the </w:t>
      </w:r>
      <w:r w:rsidR="00D92E1B" w:rsidRPr="00892CA6">
        <w:rPr>
          <w:rFonts w:ascii="Verdana" w:eastAsiaTheme="minorHAnsi" w:hAnsi="Verdana" w:cstheme="minorHAnsi"/>
          <w:color w:val="000000" w:themeColor="text1"/>
          <w:sz w:val="20"/>
          <w:szCs w:val="20"/>
          <w:lang w:eastAsia="en-US"/>
        </w:rPr>
        <w:t xml:space="preserve">top 5.  </w:t>
      </w:r>
    </w:p>
    <w:p w14:paraId="3D79E8FA" w14:textId="77777777" w:rsidR="00072DD7" w:rsidRPr="00892CA6" w:rsidRDefault="00072DD7" w:rsidP="00AC399A">
      <w:pPr>
        <w:pStyle w:val="ListParagraph"/>
        <w:rPr>
          <w:rFonts w:ascii="Verdana" w:hAnsi="Verdana" w:cstheme="minorHAnsi"/>
          <w:color w:val="000000" w:themeColor="text1"/>
          <w:sz w:val="20"/>
          <w:szCs w:val="20"/>
        </w:rPr>
      </w:pPr>
    </w:p>
    <w:p w14:paraId="408EB31B" w14:textId="64845A01" w:rsidR="00072DD7" w:rsidRPr="00892CA6" w:rsidRDefault="00BE06B6" w:rsidP="00F30152">
      <w:pPr>
        <w:pStyle w:val="NormalWeb"/>
        <w:numPr>
          <w:ilvl w:val="0"/>
          <w:numId w:val="3"/>
        </w:numPr>
        <w:spacing w:before="0" w:beforeAutospacing="0" w:after="0" w:afterAutospacing="0" w:line="276" w:lineRule="auto"/>
        <w:ind w:left="0" w:firstLine="0"/>
        <w:contextualSpacing/>
        <w:jc w:val="both"/>
        <w:rPr>
          <w:rFonts w:ascii="Verdana" w:eastAsiaTheme="minorHAnsi" w:hAnsi="Verdana" w:cstheme="minorHAnsi"/>
          <w:color w:val="000000" w:themeColor="text1"/>
          <w:sz w:val="20"/>
          <w:szCs w:val="20"/>
          <w:lang w:eastAsia="en-US"/>
        </w:rPr>
      </w:pPr>
      <w:r w:rsidRPr="00892CA6">
        <w:rPr>
          <w:rFonts w:ascii="Verdana" w:eastAsiaTheme="minorHAnsi" w:hAnsi="Verdana" w:cstheme="minorHAnsi"/>
          <w:color w:val="000000" w:themeColor="text1"/>
          <w:sz w:val="20"/>
          <w:szCs w:val="20"/>
          <w:lang w:eastAsia="en-US"/>
        </w:rPr>
        <w:t xml:space="preserve">As far as PEPs are concerned, the </w:t>
      </w:r>
      <w:r w:rsidR="003016F8" w:rsidRPr="003016F8">
        <w:rPr>
          <w:rFonts w:ascii="Verdana" w:eastAsiaTheme="minorHAnsi" w:hAnsi="Verdana" w:cstheme="minorHAnsi"/>
          <w:color w:val="000000" w:themeColor="text1"/>
          <w:sz w:val="20"/>
          <w:szCs w:val="20"/>
          <w:lang w:eastAsia="en-US"/>
        </w:rPr>
        <w:t>sector</w:t>
      </w:r>
      <w:r w:rsidRPr="00892CA6">
        <w:rPr>
          <w:rFonts w:ascii="Verdana" w:eastAsiaTheme="minorHAnsi" w:hAnsi="Verdana" w:cstheme="minorHAnsi"/>
          <w:color w:val="000000" w:themeColor="text1"/>
          <w:sz w:val="20"/>
          <w:szCs w:val="20"/>
          <w:lang w:eastAsia="en-US"/>
        </w:rPr>
        <w:t xml:space="preserve"> reported very few customers that fall in that category. Additionally, the value of remittances by PEP customers reported was minimal. </w:t>
      </w:r>
    </w:p>
    <w:p w14:paraId="4E20C275" w14:textId="447DC83B" w:rsidR="008A6982" w:rsidRPr="00892CA6" w:rsidRDefault="008A6982" w:rsidP="004E5F89">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Conclusion for Risk Category</w:t>
      </w:r>
      <w:r w:rsidR="008F598E">
        <w:rPr>
          <w:rFonts w:ascii="Verdana" w:hAnsi="Verdana" w:cstheme="minorHAnsi"/>
          <w:b/>
          <w:bCs/>
          <w:sz w:val="20"/>
          <w:szCs w:val="20"/>
          <w:lang w:val="en-US"/>
        </w:rPr>
        <w:t xml:space="preserve">- </w:t>
      </w:r>
      <w:r w:rsidR="005F690E" w:rsidRPr="00892CA6">
        <w:rPr>
          <w:rFonts w:ascii="Verdana" w:hAnsi="Verdana" w:cstheme="minorHAnsi"/>
          <w:b/>
          <w:bCs/>
          <w:sz w:val="20"/>
          <w:szCs w:val="20"/>
          <w:lang w:val="en-US"/>
        </w:rPr>
        <w:t xml:space="preserve">Types of </w:t>
      </w:r>
      <w:r w:rsidR="004E28AF" w:rsidRPr="00892CA6">
        <w:rPr>
          <w:rFonts w:ascii="Verdana" w:hAnsi="Verdana" w:cstheme="minorHAnsi"/>
          <w:b/>
          <w:bCs/>
          <w:sz w:val="20"/>
          <w:szCs w:val="20"/>
          <w:lang w:val="en-US"/>
        </w:rPr>
        <w:t>Customers</w:t>
      </w:r>
    </w:p>
    <w:p w14:paraId="37862F67" w14:textId="5083A28C" w:rsidR="00085D68" w:rsidRPr="00892CA6" w:rsidRDefault="00085AD0" w:rsidP="004E5F89">
      <w:pPr>
        <w:pStyle w:val="Heading2"/>
        <w:numPr>
          <w:ilvl w:val="0"/>
          <w:numId w:val="3"/>
        </w:numPr>
        <w:spacing w:line="276" w:lineRule="auto"/>
        <w:ind w:left="0"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MSBs sector </w:t>
      </w:r>
      <w:r w:rsidR="00043CE5" w:rsidRPr="00892CA6">
        <w:rPr>
          <w:rFonts w:ascii="Verdana" w:eastAsiaTheme="minorHAnsi" w:hAnsi="Verdana" w:cstheme="minorHAnsi"/>
          <w:color w:val="000000" w:themeColor="text1"/>
          <w:sz w:val="20"/>
          <w:szCs w:val="20"/>
          <w:lang w:val="en-US" w:eastAsia="en-US"/>
        </w:rPr>
        <w:t>ha</w:t>
      </w:r>
      <w:r w:rsidRPr="00892CA6">
        <w:rPr>
          <w:rFonts w:ascii="Verdana" w:eastAsiaTheme="minorHAnsi" w:hAnsi="Verdana" w:cstheme="minorHAnsi"/>
          <w:color w:val="000000" w:themeColor="text1"/>
          <w:sz w:val="20"/>
          <w:szCs w:val="20"/>
          <w:lang w:val="en-US" w:eastAsia="en-US"/>
        </w:rPr>
        <w:t>s</w:t>
      </w:r>
      <w:r w:rsidR="00043CE5" w:rsidRPr="00892CA6">
        <w:rPr>
          <w:rFonts w:ascii="Verdana" w:eastAsiaTheme="minorHAnsi" w:hAnsi="Verdana" w:cstheme="minorHAnsi"/>
          <w:color w:val="000000" w:themeColor="text1"/>
          <w:sz w:val="20"/>
          <w:szCs w:val="20"/>
          <w:lang w:val="en-US" w:eastAsia="en-US"/>
        </w:rPr>
        <w:t xml:space="preserve"> a low customer risk exposure due to the </w:t>
      </w:r>
      <w:r w:rsidR="003F48BB" w:rsidRPr="00892CA6">
        <w:rPr>
          <w:rFonts w:ascii="Verdana" w:eastAsiaTheme="minorHAnsi" w:hAnsi="Verdana" w:cstheme="minorHAnsi"/>
          <w:color w:val="000000" w:themeColor="text1"/>
          <w:sz w:val="20"/>
          <w:szCs w:val="20"/>
          <w:lang w:val="en-US" w:eastAsia="en-US"/>
        </w:rPr>
        <w:t>client profile of their customers</w:t>
      </w:r>
      <w:r w:rsidRPr="00892CA6">
        <w:rPr>
          <w:rFonts w:ascii="Verdana" w:eastAsiaTheme="minorHAnsi" w:hAnsi="Verdana" w:cstheme="minorHAnsi"/>
          <w:color w:val="000000" w:themeColor="text1"/>
          <w:sz w:val="20"/>
          <w:szCs w:val="20"/>
          <w:lang w:val="en-US" w:eastAsia="en-US"/>
        </w:rPr>
        <w:t xml:space="preserve"> as</w:t>
      </w:r>
      <w:r w:rsidR="003F48BB" w:rsidRPr="00892CA6">
        <w:rPr>
          <w:rFonts w:ascii="Verdana" w:eastAsiaTheme="minorHAnsi" w:hAnsi="Verdana" w:cstheme="minorHAnsi"/>
          <w:color w:val="000000" w:themeColor="text1"/>
          <w:sz w:val="20"/>
          <w:szCs w:val="20"/>
          <w:lang w:val="en-US" w:eastAsia="en-US"/>
        </w:rPr>
        <w:t xml:space="preserve"> </w:t>
      </w:r>
      <w:r w:rsidRPr="00892CA6">
        <w:rPr>
          <w:rFonts w:ascii="Verdana" w:eastAsiaTheme="minorHAnsi" w:hAnsi="Verdana" w:cstheme="minorHAnsi"/>
          <w:color w:val="000000" w:themeColor="text1"/>
          <w:sz w:val="20"/>
          <w:szCs w:val="20"/>
          <w:lang w:val="en-US" w:eastAsia="en-US"/>
        </w:rPr>
        <w:t>all</w:t>
      </w:r>
      <w:r w:rsidR="003F48BB" w:rsidRPr="00892CA6">
        <w:rPr>
          <w:rFonts w:ascii="Verdana" w:eastAsiaTheme="minorHAnsi" w:hAnsi="Verdana" w:cstheme="minorHAnsi"/>
          <w:color w:val="000000" w:themeColor="text1"/>
          <w:sz w:val="20"/>
          <w:szCs w:val="20"/>
          <w:lang w:val="en-US" w:eastAsia="en-US"/>
        </w:rPr>
        <w:t xml:space="preserve"> customers are </w:t>
      </w:r>
      <w:r w:rsidR="00085D68" w:rsidRPr="00892CA6">
        <w:rPr>
          <w:rFonts w:ascii="Verdana" w:eastAsiaTheme="minorHAnsi" w:hAnsi="Verdana" w:cstheme="minorHAnsi"/>
          <w:color w:val="000000" w:themeColor="text1"/>
          <w:sz w:val="20"/>
          <w:szCs w:val="20"/>
          <w:lang w:val="en-US" w:eastAsia="en-US"/>
        </w:rPr>
        <w:t xml:space="preserve">natural </w:t>
      </w:r>
      <w:r w:rsidR="003F48BB" w:rsidRPr="00892CA6">
        <w:rPr>
          <w:rFonts w:ascii="Verdana" w:eastAsiaTheme="minorHAnsi" w:hAnsi="Verdana" w:cstheme="minorHAnsi"/>
          <w:color w:val="000000" w:themeColor="text1"/>
          <w:sz w:val="20"/>
          <w:szCs w:val="20"/>
          <w:lang w:val="en-US" w:eastAsia="en-US"/>
        </w:rPr>
        <w:t xml:space="preserve">and local </w:t>
      </w:r>
      <w:r w:rsidR="00085D68" w:rsidRPr="00892CA6">
        <w:rPr>
          <w:rFonts w:ascii="Verdana" w:eastAsiaTheme="minorHAnsi" w:hAnsi="Verdana" w:cstheme="minorHAnsi"/>
          <w:color w:val="000000" w:themeColor="text1"/>
          <w:sz w:val="20"/>
          <w:szCs w:val="20"/>
          <w:lang w:val="en-US" w:eastAsia="en-US"/>
        </w:rPr>
        <w:t>persons</w:t>
      </w:r>
      <w:r w:rsidR="00692715" w:rsidRPr="00892CA6">
        <w:rPr>
          <w:rFonts w:ascii="Verdana" w:eastAsiaTheme="minorHAnsi" w:hAnsi="Verdana" w:cstheme="minorHAnsi"/>
          <w:color w:val="000000" w:themeColor="text1"/>
          <w:sz w:val="20"/>
          <w:szCs w:val="20"/>
          <w:lang w:val="en-US" w:eastAsia="en-US"/>
        </w:rPr>
        <w:t>. T</w:t>
      </w:r>
      <w:r w:rsidR="003F48BB" w:rsidRPr="00892CA6">
        <w:rPr>
          <w:rFonts w:ascii="Verdana" w:eastAsiaTheme="minorHAnsi" w:hAnsi="Verdana" w:cstheme="minorHAnsi"/>
          <w:color w:val="000000" w:themeColor="text1"/>
          <w:sz w:val="20"/>
          <w:szCs w:val="20"/>
          <w:lang w:val="en-US" w:eastAsia="en-US"/>
        </w:rPr>
        <w:t>here is</w:t>
      </w:r>
      <w:r w:rsidR="00085D68" w:rsidRPr="00892CA6">
        <w:rPr>
          <w:rFonts w:ascii="Verdana" w:eastAsiaTheme="minorHAnsi" w:hAnsi="Verdana" w:cstheme="minorHAnsi"/>
          <w:color w:val="000000" w:themeColor="text1"/>
          <w:sz w:val="20"/>
          <w:szCs w:val="20"/>
          <w:lang w:val="en-US" w:eastAsia="en-US"/>
        </w:rPr>
        <w:t xml:space="preserve"> very limited exposure to high risk customer types, such as </w:t>
      </w:r>
      <w:r w:rsidR="003F48BB" w:rsidRPr="00892CA6">
        <w:rPr>
          <w:rFonts w:ascii="Verdana" w:eastAsiaTheme="minorHAnsi" w:hAnsi="Verdana" w:cstheme="minorHAnsi"/>
          <w:color w:val="000000" w:themeColor="text1"/>
          <w:sz w:val="20"/>
          <w:szCs w:val="20"/>
          <w:lang w:val="en-US" w:eastAsia="en-US"/>
        </w:rPr>
        <w:t xml:space="preserve">foreign </w:t>
      </w:r>
      <w:r w:rsidR="00085D68" w:rsidRPr="00892CA6">
        <w:rPr>
          <w:rFonts w:ascii="Verdana" w:eastAsiaTheme="minorHAnsi" w:hAnsi="Verdana" w:cstheme="minorHAnsi"/>
          <w:color w:val="000000" w:themeColor="text1"/>
          <w:sz w:val="20"/>
          <w:szCs w:val="20"/>
          <w:lang w:val="en-US" w:eastAsia="en-US"/>
        </w:rPr>
        <w:t xml:space="preserve">PEPs. </w:t>
      </w:r>
      <w:r w:rsidR="003F522D" w:rsidRPr="00892CA6">
        <w:rPr>
          <w:rFonts w:ascii="Verdana" w:eastAsiaTheme="minorHAnsi" w:hAnsi="Verdana" w:cstheme="minorHAnsi"/>
          <w:color w:val="000000" w:themeColor="text1"/>
          <w:sz w:val="20"/>
          <w:szCs w:val="20"/>
          <w:lang w:val="en-US" w:eastAsia="en-US"/>
        </w:rPr>
        <w:t xml:space="preserve">However, there is a considerable number of </w:t>
      </w:r>
      <w:r w:rsidR="00692715" w:rsidRPr="00892CA6">
        <w:rPr>
          <w:rFonts w:ascii="Verdana" w:eastAsiaTheme="minorHAnsi" w:hAnsi="Verdana" w:cstheme="minorHAnsi"/>
          <w:color w:val="000000" w:themeColor="text1"/>
          <w:sz w:val="20"/>
          <w:szCs w:val="20"/>
          <w:lang w:val="en-US" w:eastAsia="en-US"/>
        </w:rPr>
        <w:t>c</w:t>
      </w:r>
      <w:r w:rsidR="00085D68" w:rsidRPr="00892CA6">
        <w:rPr>
          <w:rFonts w:ascii="Verdana" w:eastAsiaTheme="minorHAnsi" w:hAnsi="Verdana" w:cstheme="minorHAnsi"/>
          <w:color w:val="000000" w:themeColor="text1"/>
          <w:sz w:val="20"/>
          <w:szCs w:val="20"/>
          <w:lang w:val="en-US" w:eastAsia="en-US"/>
        </w:rPr>
        <w:t xml:space="preserve">ustomers </w:t>
      </w:r>
      <w:r w:rsidR="003F522D" w:rsidRPr="00892CA6">
        <w:rPr>
          <w:rFonts w:ascii="Verdana" w:eastAsiaTheme="minorHAnsi" w:hAnsi="Verdana" w:cstheme="minorHAnsi"/>
          <w:color w:val="000000" w:themeColor="text1"/>
          <w:sz w:val="20"/>
          <w:szCs w:val="20"/>
          <w:lang w:val="en-US" w:eastAsia="en-US"/>
        </w:rPr>
        <w:t xml:space="preserve">with </w:t>
      </w:r>
      <w:r w:rsidR="00085D68" w:rsidRPr="00892CA6">
        <w:rPr>
          <w:rFonts w:ascii="Verdana" w:eastAsiaTheme="minorHAnsi" w:hAnsi="Verdana" w:cstheme="minorHAnsi"/>
          <w:color w:val="000000" w:themeColor="text1"/>
          <w:sz w:val="20"/>
          <w:szCs w:val="20"/>
          <w:lang w:val="en-US" w:eastAsia="en-US"/>
        </w:rPr>
        <w:t xml:space="preserve">a </w:t>
      </w:r>
      <w:r w:rsidR="003F48BB" w:rsidRPr="00892CA6">
        <w:rPr>
          <w:rFonts w:ascii="Verdana" w:eastAsiaTheme="minorHAnsi" w:hAnsi="Verdana" w:cstheme="minorHAnsi"/>
          <w:color w:val="000000" w:themeColor="text1"/>
          <w:sz w:val="20"/>
          <w:szCs w:val="20"/>
          <w:lang w:val="en-US" w:eastAsia="en-US"/>
        </w:rPr>
        <w:t xml:space="preserve">geographic location </w:t>
      </w:r>
      <w:r w:rsidR="00085D68" w:rsidRPr="00892CA6">
        <w:rPr>
          <w:rFonts w:ascii="Verdana" w:eastAsiaTheme="minorHAnsi" w:hAnsi="Verdana" w:cstheme="minorHAnsi"/>
          <w:color w:val="000000" w:themeColor="text1"/>
          <w:sz w:val="20"/>
          <w:szCs w:val="20"/>
          <w:lang w:val="en-US" w:eastAsia="en-US"/>
        </w:rPr>
        <w:t>risk exposure</w:t>
      </w:r>
      <w:r w:rsidR="003F522D" w:rsidRPr="00892CA6">
        <w:rPr>
          <w:rFonts w:ascii="Verdana" w:eastAsiaTheme="minorHAnsi" w:hAnsi="Verdana" w:cstheme="minorHAnsi"/>
          <w:color w:val="000000" w:themeColor="text1"/>
          <w:sz w:val="20"/>
          <w:szCs w:val="20"/>
          <w:lang w:val="en-US" w:eastAsia="en-US"/>
        </w:rPr>
        <w:t xml:space="preserve"> as </w:t>
      </w:r>
      <w:r w:rsidR="00BF27F9" w:rsidRPr="00892CA6">
        <w:rPr>
          <w:rFonts w:ascii="Verdana" w:eastAsiaTheme="minorHAnsi" w:hAnsi="Verdana" w:cstheme="minorHAnsi"/>
          <w:color w:val="000000" w:themeColor="text1"/>
          <w:sz w:val="20"/>
          <w:szCs w:val="20"/>
          <w:lang w:eastAsia="en-US"/>
        </w:rPr>
        <w:t xml:space="preserve">6,381 or 9% </w:t>
      </w:r>
      <w:r w:rsidR="003F522D" w:rsidRPr="00892CA6">
        <w:rPr>
          <w:rFonts w:ascii="Verdana" w:eastAsiaTheme="minorHAnsi" w:hAnsi="Verdana" w:cstheme="minorHAnsi"/>
          <w:color w:val="000000" w:themeColor="text1"/>
          <w:sz w:val="20"/>
          <w:szCs w:val="20"/>
          <w:lang w:eastAsia="en-US"/>
        </w:rPr>
        <w:t xml:space="preserve">are </w:t>
      </w:r>
      <w:r w:rsidR="00085D68" w:rsidRPr="00892CA6">
        <w:rPr>
          <w:rFonts w:ascii="Verdana" w:eastAsiaTheme="minorHAnsi" w:hAnsi="Verdana" w:cstheme="minorHAnsi"/>
          <w:color w:val="000000" w:themeColor="text1"/>
          <w:sz w:val="20"/>
          <w:szCs w:val="20"/>
          <w:lang w:val="en-US" w:eastAsia="en-US"/>
        </w:rPr>
        <w:t>from a high</w:t>
      </w:r>
      <w:r w:rsidR="005B4CEE">
        <w:rPr>
          <w:rFonts w:ascii="Verdana" w:eastAsiaTheme="minorHAnsi" w:hAnsi="Verdana" w:cstheme="minorHAnsi"/>
          <w:color w:val="000000" w:themeColor="text1"/>
          <w:sz w:val="20"/>
          <w:szCs w:val="20"/>
          <w:lang w:val="en-US" w:eastAsia="en-US"/>
        </w:rPr>
        <w:t>-</w:t>
      </w:r>
      <w:r w:rsidR="00085D68" w:rsidRPr="00892CA6">
        <w:rPr>
          <w:rFonts w:ascii="Verdana" w:eastAsiaTheme="minorHAnsi" w:hAnsi="Verdana" w:cstheme="minorHAnsi"/>
          <w:color w:val="000000" w:themeColor="text1"/>
          <w:sz w:val="20"/>
          <w:szCs w:val="20"/>
          <w:lang w:val="en-US" w:eastAsia="en-US"/>
        </w:rPr>
        <w:t>risk country</w:t>
      </w:r>
      <w:r w:rsidR="003F522D" w:rsidRPr="00892CA6">
        <w:rPr>
          <w:rFonts w:ascii="Verdana" w:eastAsiaTheme="minorHAnsi" w:hAnsi="Verdana" w:cstheme="minorHAnsi"/>
          <w:color w:val="000000" w:themeColor="text1"/>
          <w:sz w:val="20"/>
          <w:szCs w:val="20"/>
          <w:lang w:val="en-US" w:eastAsia="en-US"/>
        </w:rPr>
        <w:t>.</w:t>
      </w:r>
      <w:r w:rsidR="00BF27F9" w:rsidRPr="00892CA6">
        <w:rPr>
          <w:rFonts w:ascii="Verdana" w:eastAsiaTheme="minorHAnsi" w:hAnsi="Verdana" w:cstheme="minorHAnsi"/>
          <w:color w:val="000000" w:themeColor="text1"/>
          <w:sz w:val="20"/>
          <w:szCs w:val="20"/>
          <w:lang w:val="en-US" w:eastAsia="en-US"/>
        </w:rPr>
        <w:t xml:space="preserve"> </w:t>
      </w:r>
      <w:r w:rsidR="005B4CEE">
        <w:rPr>
          <w:rFonts w:ascii="Verdana" w:eastAsiaTheme="minorHAnsi" w:hAnsi="Verdana" w:cstheme="minorHAnsi"/>
          <w:color w:val="000000" w:themeColor="text1"/>
          <w:sz w:val="20"/>
          <w:szCs w:val="20"/>
          <w:lang w:val="en-US" w:eastAsia="en-US"/>
        </w:rPr>
        <w:t>Following the</w:t>
      </w:r>
      <w:r w:rsidR="005B4CEE" w:rsidRPr="00892CA6">
        <w:rPr>
          <w:rFonts w:ascii="Verdana" w:eastAsiaTheme="minorHAnsi" w:hAnsi="Verdana" w:cstheme="minorHAnsi"/>
          <w:color w:val="000000" w:themeColor="text1"/>
          <w:sz w:val="20"/>
          <w:szCs w:val="20"/>
          <w:lang w:val="en-US" w:eastAsia="en-US"/>
        </w:rPr>
        <w:t xml:space="preserve"> </w:t>
      </w:r>
      <w:r w:rsidR="003F48BB" w:rsidRPr="00892CA6">
        <w:rPr>
          <w:rFonts w:ascii="Verdana" w:eastAsiaTheme="minorHAnsi" w:hAnsi="Verdana" w:cstheme="minorHAnsi"/>
          <w:color w:val="000000" w:themeColor="text1"/>
          <w:sz w:val="20"/>
          <w:szCs w:val="20"/>
          <w:lang w:val="en-US" w:eastAsia="en-US"/>
        </w:rPr>
        <w:t xml:space="preserve">consideration of </w:t>
      </w:r>
      <w:r w:rsidR="005B4CEE">
        <w:rPr>
          <w:rFonts w:ascii="Verdana" w:eastAsiaTheme="minorHAnsi" w:hAnsi="Verdana" w:cstheme="minorHAnsi"/>
          <w:color w:val="000000" w:themeColor="text1"/>
          <w:sz w:val="20"/>
          <w:szCs w:val="20"/>
          <w:lang w:val="en-US" w:eastAsia="en-US"/>
        </w:rPr>
        <w:t>the various</w:t>
      </w:r>
      <w:r w:rsidR="005B4CEE" w:rsidRPr="00892CA6">
        <w:rPr>
          <w:rFonts w:ascii="Verdana" w:eastAsiaTheme="minorHAnsi" w:hAnsi="Verdana" w:cstheme="minorHAnsi"/>
          <w:color w:val="000000" w:themeColor="text1"/>
          <w:sz w:val="20"/>
          <w:szCs w:val="20"/>
          <w:lang w:val="en-US" w:eastAsia="en-US"/>
        </w:rPr>
        <w:t xml:space="preserve"> </w:t>
      </w:r>
      <w:r w:rsidR="00085D68" w:rsidRPr="00892CA6">
        <w:rPr>
          <w:rFonts w:ascii="Verdana" w:eastAsiaTheme="minorHAnsi" w:hAnsi="Verdana" w:cstheme="minorHAnsi"/>
          <w:color w:val="000000" w:themeColor="text1"/>
          <w:sz w:val="20"/>
          <w:szCs w:val="20"/>
          <w:lang w:val="en-US" w:eastAsia="en-US"/>
        </w:rPr>
        <w:t>type</w:t>
      </w:r>
      <w:r w:rsidR="003F48BB" w:rsidRPr="00892CA6">
        <w:rPr>
          <w:rFonts w:ascii="Verdana" w:eastAsiaTheme="minorHAnsi" w:hAnsi="Verdana" w:cstheme="minorHAnsi"/>
          <w:color w:val="000000" w:themeColor="text1"/>
          <w:sz w:val="20"/>
          <w:szCs w:val="20"/>
          <w:lang w:val="en-US" w:eastAsia="en-US"/>
        </w:rPr>
        <w:t>s</w:t>
      </w:r>
      <w:r w:rsidR="00085D68" w:rsidRPr="00892CA6">
        <w:rPr>
          <w:rFonts w:ascii="Verdana" w:eastAsiaTheme="minorHAnsi" w:hAnsi="Verdana" w:cstheme="minorHAnsi"/>
          <w:color w:val="000000" w:themeColor="text1"/>
          <w:sz w:val="20"/>
          <w:szCs w:val="20"/>
          <w:lang w:val="en-US" w:eastAsia="en-US"/>
        </w:rPr>
        <w:t xml:space="preserve"> of clients </w:t>
      </w:r>
      <w:r w:rsidR="003F48BB" w:rsidRPr="00892CA6">
        <w:rPr>
          <w:rFonts w:ascii="Verdana" w:eastAsiaTheme="minorHAnsi" w:hAnsi="Verdana" w:cstheme="minorHAnsi"/>
          <w:color w:val="000000" w:themeColor="text1"/>
          <w:sz w:val="20"/>
          <w:szCs w:val="20"/>
          <w:lang w:val="en-US" w:eastAsia="en-US"/>
        </w:rPr>
        <w:t>of</w:t>
      </w:r>
      <w:r w:rsidR="00085D68" w:rsidRPr="00892CA6">
        <w:rPr>
          <w:rFonts w:ascii="Verdana" w:eastAsiaTheme="minorHAnsi" w:hAnsi="Verdana" w:cstheme="minorHAnsi"/>
          <w:color w:val="000000" w:themeColor="text1"/>
          <w:sz w:val="20"/>
          <w:szCs w:val="20"/>
          <w:lang w:val="en-US" w:eastAsia="en-US"/>
        </w:rPr>
        <w:t xml:space="preserve"> </w:t>
      </w:r>
      <w:r w:rsidR="00BF27F9" w:rsidRPr="00892CA6">
        <w:rPr>
          <w:rFonts w:ascii="Verdana" w:eastAsiaTheme="minorHAnsi" w:hAnsi="Verdana" w:cstheme="minorHAnsi"/>
          <w:color w:val="000000" w:themeColor="text1"/>
          <w:sz w:val="20"/>
          <w:szCs w:val="20"/>
          <w:lang w:val="en-US" w:eastAsia="en-US"/>
        </w:rPr>
        <w:t>MSBs</w:t>
      </w:r>
      <w:r w:rsidR="005B4CEE">
        <w:rPr>
          <w:rFonts w:ascii="Verdana" w:eastAsiaTheme="minorHAnsi" w:hAnsi="Verdana" w:cstheme="minorHAnsi"/>
          <w:color w:val="000000" w:themeColor="text1"/>
          <w:sz w:val="20"/>
          <w:szCs w:val="20"/>
          <w:lang w:val="en-US" w:eastAsia="en-US"/>
        </w:rPr>
        <w:t>,</w:t>
      </w:r>
      <w:r w:rsidR="00085D68" w:rsidRPr="00892CA6">
        <w:rPr>
          <w:rFonts w:ascii="Verdana" w:eastAsiaTheme="minorHAnsi" w:hAnsi="Verdana" w:cstheme="minorHAnsi"/>
          <w:color w:val="000000" w:themeColor="text1"/>
          <w:sz w:val="20"/>
          <w:szCs w:val="20"/>
          <w:lang w:val="en-US" w:eastAsia="en-US"/>
        </w:rPr>
        <w:t xml:space="preserve"> </w:t>
      </w:r>
      <w:r w:rsidR="003F48BB" w:rsidRPr="00892CA6">
        <w:rPr>
          <w:rFonts w:ascii="Verdana" w:eastAsiaTheme="minorHAnsi" w:hAnsi="Verdana" w:cstheme="minorHAnsi"/>
          <w:color w:val="000000" w:themeColor="text1"/>
          <w:sz w:val="20"/>
          <w:szCs w:val="20"/>
          <w:lang w:val="en-US" w:eastAsia="en-US"/>
        </w:rPr>
        <w:t xml:space="preserve">the assessment concludes that there is </w:t>
      </w:r>
      <w:r w:rsidR="00BF27F9" w:rsidRPr="00892CA6">
        <w:rPr>
          <w:rFonts w:ascii="Verdana" w:eastAsiaTheme="minorHAnsi" w:hAnsi="Verdana" w:cstheme="minorHAnsi"/>
          <w:color w:val="000000" w:themeColor="text1"/>
          <w:sz w:val="20"/>
          <w:szCs w:val="20"/>
          <w:lang w:val="en-US" w:eastAsia="en-US"/>
        </w:rPr>
        <w:t>medium-</w:t>
      </w:r>
      <w:r w:rsidR="003F522D" w:rsidRPr="00892CA6">
        <w:rPr>
          <w:rFonts w:ascii="Verdana" w:eastAsiaTheme="minorHAnsi" w:hAnsi="Verdana" w:cstheme="minorHAnsi"/>
          <w:color w:val="000000" w:themeColor="text1"/>
          <w:sz w:val="20"/>
          <w:szCs w:val="20"/>
          <w:lang w:val="en-US" w:eastAsia="en-US"/>
        </w:rPr>
        <w:t>high</w:t>
      </w:r>
      <w:r w:rsidR="00085D68" w:rsidRPr="00892CA6">
        <w:rPr>
          <w:rFonts w:ascii="Verdana" w:eastAsiaTheme="minorHAnsi" w:hAnsi="Verdana" w:cstheme="minorHAnsi"/>
          <w:color w:val="000000" w:themeColor="text1"/>
          <w:sz w:val="20"/>
          <w:szCs w:val="20"/>
          <w:lang w:val="en-US" w:eastAsia="en-US"/>
        </w:rPr>
        <w:t xml:space="preserve"> risk exposure to customers</w:t>
      </w:r>
      <w:r w:rsidR="00432316" w:rsidRPr="00892CA6">
        <w:rPr>
          <w:rFonts w:ascii="Verdana" w:eastAsiaTheme="minorHAnsi" w:hAnsi="Verdana" w:cstheme="minorHAnsi"/>
          <w:color w:val="000000" w:themeColor="text1"/>
          <w:sz w:val="20"/>
          <w:szCs w:val="20"/>
          <w:lang w:val="en-US" w:eastAsia="en-US"/>
        </w:rPr>
        <w:t xml:space="preserve"> from high risk</w:t>
      </w:r>
      <w:r w:rsidR="003F522D" w:rsidRPr="00892CA6">
        <w:rPr>
          <w:rFonts w:ascii="Verdana" w:eastAsiaTheme="minorHAnsi" w:hAnsi="Verdana" w:cstheme="minorHAnsi"/>
          <w:color w:val="000000" w:themeColor="text1"/>
          <w:sz w:val="20"/>
          <w:szCs w:val="20"/>
          <w:lang w:val="en-US" w:eastAsia="en-US"/>
        </w:rPr>
        <w:t xml:space="preserve"> countries</w:t>
      </w:r>
      <w:r w:rsidR="00085D68" w:rsidRPr="00892CA6">
        <w:rPr>
          <w:rFonts w:ascii="Verdana" w:eastAsiaTheme="minorHAnsi" w:hAnsi="Verdana" w:cstheme="minorHAnsi"/>
          <w:color w:val="000000" w:themeColor="text1"/>
          <w:sz w:val="20"/>
          <w:szCs w:val="20"/>
          <w:lang w:val="en-US" w:eastAsia="en-US"/>
        </w:rPr>
        <w:t xml:space="preserve">.   </w:t>
      </w:r>
    </w:p>
    <w:p w14:paraId="5D32E894" w14:textId="2A9965EC" w:rsidR="00992B77" w:rsidRPr="00892CA6" w:rsidRDefault="00992B77" w:rsidP="004E5F89">
      <w:pPr>
        <w:pStyle w:val="Heading2"/>
        <w:numPr>
          <w:ilvl w:val="0"/>
          <w:numId w:val="0"/>
        </w:numPr>
        <w:spacing w:line="276" w:lineRule="auto"/>
        <w:ind w:right="-6"/>
        <w:jc w:val="both"/>
        <w:rPr>
          <w:rFonts w:ascii="Verdana" w:eastAsiaTheme="minorHAnsi" w:hAnsi="Verdana" w:cstheme="minorHAnsi"/>
          <w:color w:val="000000" w:themeColor="text1"/>
          <w:sz w:val="20"/>
          <w:szCs w:val="20"/>
          <w:lang w:val="en-US" w:eastAsia="en-US"/>
        </w:rPr>
      </w:pPr>
    </w:p>
    <w:tbl>
      <w:tblPr>
        <w:tblStyle w:val="TableGrid"/>
        <w:tblW w:w="0" w:type="auto"/>
        <w:jc w:val="center"/>
        <w:tblLook w:val="04A0" w:firstRow="1" w:lastRow="0" w:firstColumn="1" w:lastColumn="0" w:noHBand="0" w:noVBand="1"/>
      </w:tblPr>
      <w:tblGrid>
        <w:gridCol w:w="2547"/>
        <w:gridCol w:w="2835"/>
      </w:tblGrid>
      <w:tr w:rsidR="00F015D0" w:rsidRPr="001D0A24" w14:paraId="75F92337" w14:textId="77777777" w:rsidTr="001F794B">
        <w:trPr>
          <w:jc w:val="center"/>
        </w:trPr>
        <w:tc>
          <w:tcPr>
            <w:tcW w:w="2547" w:type="dxa"/>
          </w:tcPr>
          <w:p w14:paraId="0E61C135" w14:textId="3C9624D4" w:rsidR="00F015D0" w:rsidRPr="00892CA6" w:rsidRDefault="003F522D" w:rsidP="009A5938">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factor</w:t>
            </w:r>
          </w:p>
        </w:tc>
        <w:tc>
          <w:tcPr>
            <w:tcW w:w="2835" w:type="dxa"/>
          </w:tcPr>
          <w:p w14:paraId="5B8440FC" w14:textId="670FBCAB" w:rsidR="00F015D0" w:rsidRPr="00892CA6" w:rsidRDefault="003F522D" w:rsidP="009A5938">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 xml:space="preserve">Risk rating </w:t>
            </w:r>
          </w:p>
        </w:tc>
      </w:tr>
      <w:tr w:rsidR="00F015D0" w:rsidRPr="001D0A24" w14:paraId="6292A4BE" w14:textId="77777777" w:rsidTr="00AC399A">
        <w:trPr>
          <w:jc w:val="center"/>
        </w:trPr>
        <w:tc>
          <w:tcPr>
            <w:tcW w:w="2547" w:type="dxa"/>
            <w:shd w:val="clear" w:color="auto" w:fill="auto"/>
          </w:tcPr>
          <w:p w14:paraId="71C8FA0D" w14:textId="7BC4DC70" w:rsidR="00F015D0" w:rsidRPr="00892CA6" w:rsidRDefault="003F522D" w:rsidP="009A593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Types of customers</w:t>
            </w:r>
          </w:p>
        </w:tc>
        <w:tc>
          <w:tcPr>
            <w:tcW w:w="2835" w:type="dxa"/>
            <w:shd w:val="clear" w:color="auto" w:fill="FFC000"/>
          </w:tcPr>
          <w:p w14:paraId="42695C85" w14:textId="066E7A72" w:rsidR="00F015D0" w:rsidRPr="00892CA6" w:rsidRDefault="00F015D0" w:rsidP="009A593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medium-</w:t>
            </w:r>
            <w:r w:rsidR="000B2641" w:rsidRPr="00892CA6">
              <w:rPr>
                <w:rFonts w:ascii="Verdana" w:eastAsia="Times New Roman" w:hAnsi="Verdana" w:cstheme="minorHAnsi"/>
                <w:color w:val="191919"/>
                <w:sz w:val="20"/>
                <w:szCs w:val="20"/>
                <w:lang w:val="en-US" w:eastAsia="en-GB"/>
              </w:rPr>
              <w:t>high</w:t>
            </w:r>
          </w:p>
        </w:tc>
      </w:tr>
    </w:tbl>
    <w:p w14:paraId="32CF0AFE" w14:textId="77777777" w:rsidR="007D181A" w:rsidRPr="00892CA6" w:rsidRDefault="007D181A" w:rsidP="009A5938">
      <w:pPr>
        <w:jc w:val="both"/>
        <w:rPr>
          <w:rFonts w:ascii="Verdana" w:eastAsia="Times New Roman" w:hAnsi="Verdana" w:cstheme="minorHAnsi"/>
          <w:b/>
          <w:bCs/>
          <w:color w:val="191919"/>
          <w:sz w:val="20"/>
          <w:szCs w:val="20"/>
          <w:lang w:val="en-US" w:eastAsia="en-GB"/>
        </w:rPr>
      </w:pPr>
    </w:p>
    <w:p w14:paraId="5870AB3C" w14:textId="7A5A723A" w:rsidR="008F598E" w:rsidRDefault="008F598E" w:rsidP="008F598E">
      <w:pPr>
        <w:pStyle w:val="Heading2"/>
        <w:numPr>
          <w:ilvl w:val="0"/>
          <w:numId w:val="3"/>
        </w:numPr>
        <w:spacing w:line="276" w:lineRule="auto"/>
        <w:ind w:left="0" w:firstLine="0"/>
        <w:jc w:val="both"/>
        <w:rPr>
          <w:rFonts w:ascii="Verdana" w:eastAsiaTheme="minorHAnsi" w:hAnsi="Verdana" w:cstheme="minorHAnsi"/>
          <w:color w:val="000000" w:themeColor="text1"/>
          <w:sz w:val="20"/>
          <w:szCs w:val="20"/>
          <w:lang w:val="en-US" w:eastAsia="en-US"/>
        </w:rPr>
      </w:pPr>
      <w:r w:rsidRPr="00195F06">
        <w:rPr>
          <w:rFonts w:ascii="Verdana" w:eastAsiaTheme="minorHAnsi" w:hAnsi="Verdana" w:cstheme="minorHAnsi"/>
          <w:color w:val="000000" w:themeColor="text1"/>
          <w:sz w:val="20"/>
          <w:szCs w:val="20"/>
          <w:lang w:val="en-US" w:eastAsia="en-US"/>
        </w:rPr>
        <w:t xml:space="preserve">As a means of reducing risk associated with the </w:t>
      </w:r>
      <w:r>
        <w:rPr>
          <w:rFonts w:ascii="Verdana" w:eastAsiaTheme="minorHAnsi" w:hAnsi="Verdana" w:cstheme="minorHAnsi"/>
          <w:color w:val="000000" w:themeColor="text1"/>
          <w:sz w:val="20"/>
          <w:szCs w:val="20"/>
          <w:lang w:val="en-US" w:eastAsia="en-US"/>
        </w:rPr>
        <w:t xml:space="preserve">types of customers, CIMA </w:t>
      </w:r>
      <w:r w:rsidR="002802A0">
        <w:rPr>
          <w:rFonts w:ascii="Verdana" w:eastAsiaTheme="minorHAnsi" w:hAnsi="Verdana" w:cstheme="minorHAnsi"/>
          <w:color w:val="000000" w:themeColor="text1"/>
          <w:sz w:val="20"/>
          <w:szCs w:val="20"/>
          <w:lang w:val="en-US" w:eastAsia="en-US"/>
        </w:rPr>
        <w:t xml:space="preserve">has been incorporating some of the procedures below in its inspections, however, CIMA will formalize </w:t>
      </w:r>
      <w:r>
        <w:rPr>
          <w:rFonts w:ascii="Verdana" w:eastAsiaTheme="minorHAnsi" w:hAnsi="Verdana" w:cstheme="minorHAnsi"/>
          <w:color w:val="000000" w:themeColor="text1"/>
          <w:sz w:val="20"/>
          <w:szCs w:val="20"/>
          <w:lang w:val="en-US" w:eastAsia="en-US"/>
        </w:rPr>
        <w:t xml:space="preserve">its onsite inspections procedures </w:t>
      </w:r>
      <w:r w:rsidR="002802A0">
        <w:rPr>
          <w:rFonts w:ascii="Verdana" w:eastAsiaTheme="minorHAnsi" w:hAnsi="Verdana" w:cstheme="minorHAnsi"/>
          <w:color w:val="000000" w:themeColor="text1"/>
          <w:sz w:val="20"/>
          <w:szCs w:val="20"/>
          <w:lang w:val="en-US" w:eastAsia="en-US"/>
        </w:rPr>
        <w:t xml:space="preserve">specifically for </w:t>
      </w:r>
      <w:r>
        <w:rPr>
          <w:rFonts w:ascii="Verdana" w:eastAsiaTheme="minorHAnsi" w:hAnsi="Verdana" w:cstheme="minorHAnsi"/>
          <w:color w:val="000000" w:themeColor="text1"/>
          <w:sz w:val="20"/>
          <w:szCs w:val="20"/>
          <w:lang w:val="en-US" w:eastAsia="en-US"/>
        </w:rPr>
        <w:t xml:space="preserve">MSBs </w:t>
      </w:r>
      <w:r w:rsidR="002802A0">
        <w:rPr>
          <w:rFonts w:ascii="Verdana" w:eastAsiaTheme="minorHAnsi" w:hAnsi="Verdana" w:cstheme="minorHAnsi"/>
          <w:color w:val="000000" w:themeColor="text1"/>
          <w:sz w:val="20"/>
          <w:szCs w:val="20"/>
          <w:lang w:val="en-US" w:eastAsia="en-US"/>
        </w:rPr>
        <w:t xml:space="preserve">in its next revision </w:t>
      </w:r>
      <w:r>
        <w:rPr>
          <w:rFonts w:ascii="Verdana" w:eastAsiaTheme="minorHAnsi" w:hAnsi="Verdana" w:cstheme="minorHAnsi"/>
          <w:color w:val="000000" w:themeColor="text1"/>
          <w:sz w:val="20"/>
          <w:szCs w:val="20"/>
          <w:lang w:val="en-US" w:eastAsia="en-US"/>
        </w:rPr>
        <w:t xml:space="preserve">to focus on high risk customers </w:t>
      </w:r>
      <w:r w:rsidR="00A22A13">
        <w:rPr>
          <w:rFonts w:ascii="Verdana" w:eastAsiaTheme="minorHAnsi" w:hAnsi="Verdana" w:cstheme="minorHAnsi"/>
          <w:color w:val="000000" w:themeColor="text1"/>
          <w:sz w:val="20"/>
          <w:szCs w:val="20"/>
          <w:lang w:val="en-US" w:eastAsia="en-US"/>
        </w:rPr>
        <w:t>and remittances such as</w:t>
      </w:r>
      <w:r>
        <w:rPr>
          <w:rFonts w:ascii="Verdana" w:eastAsiaTheme="minorHAnsi" w:hAnsi="Verdana" w:cstheme="minorHAnsi"/>
          <w:color w:val="000000" w:themeColor="text1"/>
          <w:sz w:val="20"/>
          <w:szCs w:val="20"/>
          <w:lang w:val="en-US" w:eastAsia="en-US"/>
        </w:rPr>
        <w:t>:</w:t>
      </w:r>
    </w:p>
    <w:p w14:paraId="02237590" w14:textId="30FBC80E" w:rsidR="008F598E" w:rsidRDefault="00A22A13" w:rsidP="00195F06">
      <w:pPr>
        <w:pStyle w:val="Heading2"/>
        <w:numPr>
          <w:ilvl w:val="0"/>
          <w:numId w:val="27"/>
        </w:numPr>
        <w:contextualSpacing/>
        <w:jc w:val="both"/>
        <w:rPr>
          <w:rFonts w:ascii="Verdana" w:eastAsiaTheme="minorHAnsi" w:hAnsi="Verdana" w:cstheme="minorHAnsi"/>
          <w:color w:val="000000" w:themeColor="text1"/>
          <w:sz w:val="20"/>
          <w:szCs w:val="20"/>
          <w:lang w:val="en-US" w:eastAsia="en-US"/>
        </w:rPr>
      </w:pPr>
      <w:r>
        <w:rPr>
          <w:rFonts w:ascii="Verdana" w:eastAsiaTheme="minorHAnsi" w:hAnsi="Verdana" w:cstheme="minorHAnsi"/>
          <w:color w:val="000000" w:themeColor="text1"/>
          <w:sz w:val="20"/>
          <w:szCs w:val="20"/>
          <w:lang w:val="en-US" w:eastAsia="en-US"/>
        </w:rPr>
        <w:t>r</w:t>
      </w:r>
      <w:r w:rsidR="008F598E">
        <w:rPr>
          <w:rFonts w:ascii="Verdana" w:eastAsiaTheme="minorHAnsi" w:hAnsi="Verdana" w:cstheme="minorHAnsi"/>
          <w:color w:val="000000" w:themeColor="text1"/>
          <w:sz w:val="20"/>
          <w:szCs w:val="20"/>
          <w:lang w:val="en-US" w:eastAsia="en-US"/>
        </w:rPr>
        <w:t>emittances by PEPs and other customers considered high risk by each MSB;</w:t>
      </w:r>
    </w:p>
    <w:p w14:paraId="6BD019C2" w14:textId="6569ADF1" w:rsidR="008F598E" w:rsidRDefault="008F598E" w:rsidP="00195F06">
      <w:pPr>
        <w:pStyle w:val="Heading2"/>
        <w:numPr>
          <w:ilvl w:val="0"/>
          <w:numId w:val="27"/>
        </w:numPr>
        <w:contextualSpacing/>
        <w:jc w:val="both"/>
        <w:rPr>
          <w:rFonts w:ascii="Verdana" w:eastAsiaTheme="minorHAnsi" w:hAnsi="Verdana" w:cstheme="minorHAnsi"/>
          <w:color w:val="000000" w:themeColor="text1"/>
          <w:sz w:val="20"/>
          <w:szCs w:val="20"/>
          <w:lang w:val="en-US" w:eastAsia="en-US"/>
        </w:rPr>
      </w:pPr>
      <w:r>
        <w:rPr>
          <w:rFonts w:ascii="Verdana" w:eastAsiaTheme="minorHAnsi" w:hAnsi="Verdana" w:cstheme="minorHAnsi"/>
          <w:color w:val="000000" w:themeColor="text1"/>
          <w:sz w:val="20"/>
          <w:szCs w:val="20"/>
          <w:lang w:val="en-US" w:eastAsia="en-US"/>
        </w:rPr>
        <w:t xml:space="preserve">remittances </w:t>
      </w:r>
      <w:r w:rsidR="00AA708D">
        <w:rPr>
          <w:rFonts w:ascii="Verdana" w:eastAsiaTheme="minorHAnsi" w:hAnsi="Verdana" w:cstheme="minorHAnsi"/>
          <w:color w:val="000000" w:themeColor="text1"/>
          <w:sz w:val="20"/>
          <w:szCs w:val="20"/>
          <w:lang w:val="en-US" w:eastAsia="en-US"/>
        </w:rPr>
        <w:t xml:space="preserve">to and by customers originally from </w:t>
      </w:r>
      <w:r>
        <w:rPr>
          <w:rFonts w:ascii="Verdana" w:eastAsiaTheme="minorHAnsi" w:hAnsi="Verdana" w:cstheme="minorHAnsi"/>
          <w:color w:val="000000" w:themeColor="text1"/>
          <w:sz w:val="20"/>
          <w:szCs w:val="20"/>
          <w:lang w:val="en-US" w:eastAsia="en-US"/>
        </w:rPr>
        <w:t>high risk countries;</w:t>
      </w:r>
    </w:p>
    <w:p w14:paraId="388E5067" w14:textId="6BE2B09F" w:rsidR="008F598E" w:rsidRDefault="00A22A13" w:rsidP="00A22A13">
      <w:pPr>
        <w:pStyle w:val="Heading2"/>
        <w:numPr>
          <w:ilvl w:val="0"/>
          <w:numId w:val="27"/>
        </w:numPr>
        <w:contextualSpacing/>
        <w:jc w:val="both"/>
        <w:rPr>
          <w:rFonts w:ascii="Verdana" w:eastAsiaTheme="minorHAnsi" w:hAnsi="Verdana" w:cstheme="minorHAnsi"/>
          <w:color w:val="000000" w:themeColor="text1"/>
          <w:sz w:val="20"/>
          <w:szCs w:val="20"/>
          <w:lang w:val="en-US" w:eastAsia="en-US"/>
        </w:rPr>
      </w:pPr>
      <w:r>
        <w:rPr>
          <w:rFonts w:ascii="Verdana" w:eastAsiaTheme="minorHAnsi" w:hAnsi="Verdana" w:cstheme="minorHAnsi"/>
          <w:color w:val="000000" w:themeColor="text1"/>
          <w:sz w:val="20"/>
          <w:szCs w:val="20"/>
          <w:lang w:val="en-US" w:eastAsia="en-US"/>
        </w:rPr>
        <w:t>customers i</w:t>
      </w:r>
      <w:r w:rsidR="008F598E">
        <w:rPr>
          <w:rFonts w:ascii="Verdana" w:eastAsiaTheme="minorHAnsi" w:hAnsi="Verdana" w:cstheme="minorHAnsi"/>
          <w:color w:val="000000" w:themeColor="text1"/>
          <w:sz w:val="20"/>
          <w:szCs w:val="20"/>
          <w:lang w:val="en-US" w:eastAsia="en-US"/>
        </w:rPr>
        <w:t>nvolved in the transactions that have no apparent ties to the destination country and with no reasonable explanations;</w:t>
      </w:r>
      <w:r>
        <w:rPr>
          <w:rFonts w:ascii="Verdana" w:eastAsiaTheme="minorHAnsi" w:hAnsi="Verdana" w:cstheme="minorHAnsi"/>
          <w:color w:val="000000" w:themeColor="text1"/>
          <w:sz w:val="20"/>
          <w:szCs w:val="20"/>
          <w:lang w:val="en-US" w:eastAsia="en-US"/>
        </w:rPr>
        <w:t xml:space="preserve"> and</w:t>
      </w:r>
    </w:p>
    <w:p w14:paraId="729EA95D" w14:textId="2C25221F" w:rsidR="00A22A13" w:rsidRDefault="00A22A13" w:rsidP="00195F06">
      <w:pPr>
        <w:pStyle w:val="Heading2"/>
        <w:numPr>
          <w:ilvl w:val="0"/>
          <w:numId w:val="27"/>
        </w:numPr>
        <w:contextualSpacing/>
        <w:jc w:val="both"/>
        <w:rPr>
          <w:rFonts w:ascii="Verdana" w:eastAsiaTheme="minorHAnsi" w:hAnsi="Verdana" w:cstheme="minorHAnsi"/>
          <w:color w:val="000000" w:themeColor="text1"/>
          <w:sz w:val="20"/>
          <w:szCs w:val="20"/>
          <w:lang w:val="en-US" w:eastAsia="en-US"/>
        </w:rPr>
      </w:pPr>
      <w:r>
        <w:rPr>
          <w:rFonts w:ascii="Verdana" w:eastAsiaTheme="minorHAnsi" w:hAnsi="Verdana" w:cstheme="minorHAnsi"/>
          <w:color w:val="000000" w:themeColor="text1"/>
          <w:sz w:val="20"/>
          <w:szCs w:val="20"/>
          <w:lang w:val="en-US" w:eastAsia="en-US"/>
        </w:rPr>
        <w:t xml:space="preserve">any other customers conducting their business relationship or transaction in unusual circumstances as determined by each MSB’s transaction monitoring activities. </w:t>
      </w:r>
    </w:p>
    <w:p w14:paraId="5EF8D8B7" w14:textId="008A65D1" w:rsidR="004E28AF" w:rsidRPr="00892CA6" w:rsidRDefault="004E28AF" w:rsidP="004E28AF">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 xml:space="preserve">Risk Category </w:t>
      </w:r>
      <w:r w:rsidR="00C23C53" w:rsidRPr="00892CA6">
        <w:rPr>
          <w:rFonts w:ascii="Verdana" w:hAnsi="Verdana" w:cstheme="minorHAnsi"/>
          <w:b/>
          <w:bCs/>
          <w:sz w:val="20"/>
          <w:szCs w:val="20"/>
          <w:lang w:val="en-US"/>
        </w:rPr>
        <w:t>–</w:t>
      </w:r>
      <w:r w:rsidRPr="00892CA6">
        <w:rPr>
          <w:rFonts w:ascii="Verdana" w:hAnsi="Verdana" w:cstheme="minorHAnsi"/>
          <w:b/>
          <w:bCs/>
          <w:sz w:val="20"/>
          <w:szCs w:val="20"/>
          <w:lang w:val="en-US"/>
        </w:rPr>
        <w:t xml:space="preserve"> Transactions</w:t>
      </w:r>
      <w:r w:rsidR="00C23C53" w:rsidRPr="00892CA6">
        <w:rPr>
          <w:rFonts w:ascii="Verdana" w:hAnsi="Verdana" w:cstheme="minorHAnsi"/>
          <w:b/>
          <w:bCs/>
          <w:sz w:val="20"/>
          <w:szCs w:val="20"/>
          <w:lang w:val="en-US"/>
        </w:rPr>
        <w:t>, Products and Services</w:t>
      </w:r>
    </w:p>
    <w:p w14:paraId="0EDB02D9" w14:textId="3832E589" w:rsidR="00C23C53" w:rsidRPr="00892CA6" w:rsidRDefault="00C23C53" w:rsidP="004E5F89">
      <w:pPr>
        <w:pStyle w:val="Heading2"/>
        <w:numPr>
          <w:ilvl w:val="0"/>
          <w:numId w:val="0"/>
        </w:numPr>
        <w:rPr>
          <w:rFonts w:ascii="Verdana" w:hAnsi="Verdana" w:cstheme="minorHAnsi"/>
          <w:b/>
          <w:bCs/>
          <w:i/>
          <w:sz w:val="20"/>
          <w:szCs w:val="20"/>
          <w:lang w:val="en-US"/>
        </w:rPr>
      </w:pPr>
      <w:r w:rsidRPr="00892CA6">
        <w:rPr>
          <w:rFonts w:ascii="Verdana" w:hAnsi="Verdana" w:cstheme="minorHAnsi"/>
          <w:b/>
          <w:bCs/>
          <w:i/>
          <w:sz w:val="20"/>
          <w:szCs w:val="20"/>
          <w:lang w:val="en-US"/>
        </w:rPr>
        <w:t>Transactions</w:t>
      </w:r>
    </w:p>
    <w:p w14:paraId="02606F4D" w14:textId="0D60F5B8" w:rsidR="00090444" w:rsidRPr="00892CA6" w:rsidRDefault="00FD04ED" w:rsidP="00C23C53">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The data from the</w:t>
      </w:r>
      <w:r w:rsidR="00090444" w:rsidRPr="00892CA6">
        <w:rPr>
          <w:rFonts w:ascii="Verdana" w:eastAsiaTheme="minorHAnsi" w:hAnsi="Verdana" w:cstheme="minorHAnsi"/>
          <w:color w:val="000000" w:themeColor="text1"/>
          <w:sz w:val="20"/>
          <w:szCs w:val="20"/>
          <w:lang w:val="en-US" w:eastAsia="en-US"/>
        </w:rPr>
        <w:t xml:space="preserve"> </w:t>
      </w:r>
      <w:r w:rsidR="00AC399A" w:rsidRPr="00892CA6">
        <w:rPr>
          <w:rFonts w:ascii="Verdana" w:eastAsiaTheme="minorHAnsi" w:hAnsi="Verdana" w:cstheme="minorHAnsi"/>
          <w:color w:val="000000" w:themeColor="text1"/>
          <w:sz w:val="20"/>
          <w:szCs w:val="20"/>
          <w:lang w:val="en-US" w:eastAsia="en-US"/>
        </w:rPr>
        <w:t xml:space="preserve">quarterly remittances report submitted by MSBs to CIMA </w:t>
      </w:r>
      <w:r w:rsidR="00090444" w:rsidRPr="00892CA6">
        <w:rPr>
          <w:rFonts w:ascii="Verdana" w:eastAsiaTheme="minorHAnsi" w:hAnsi="Verdana" w:cstheme="minorHAnsi"/>
          <w:color w:val="000000" w:themeColor="text1"/>
          <w:sz w:val="20"/>
          <w:szCs w:val="20"/>
          <w:lang w:val="en-US" w:eastAsia="en-US"/>
        </w:rPr>
        <w:t xml:space="preserve">for the period </w:t>
      </w:r>
      <w:r w:rsidR="003D4320" w:rsidRPr="00892CA6">
        <w:rPr>
          <w:rFonts w:ascii="Verdana" w:eastAsiaTheme="minorHAnsi" w:hAnsi="Verdana" w:cstheme="minorHAnsi"/>
          <w:color w:val="000000" w:themeColor="text1"/>
          <w:sz w:val="20"/>
          <w:szCs w:val="20"/>
          <w:lang w:val="en-US" w:eastAsia="en-US"/>
        </w:rPr>
        <w:t>July</w:t>
      </w:r>
      <w:r w:rsidR="00090444" w:rsidRPr="00892CA6">
        <w:rPr>
          <w:rFonts w:ascii="Verdana" w:eastAsiaTheme="minorHAnsi" w:hAnsi="Verdana" w:cstheme="minorHAnsi"/>
          <w:color w:val="000000" w:themeColor="text1"/>
          <w:sz w:val="20"/>
          <w:szCs w:val="20"/>
          <w:lang w:val="en-US" w:eastAsia="en-US"/>
        </w:rPr>
        <w:t xml:space="preserve"> 2018</w:t>
      </w:r>
      <w:r w:rsidR="00762739" w:rsidRPr="00892CA6">
        <w:rPr>
          <w:rFonts w:ascii="Verdana" w:eastAsiaTheme="minorHAnsi" w:hAnsi="Verdana" w:cstheme="minorHAnsi"/>
          <w:color w:val="000000" w:themeColor="text1"/>
          <w:sz w:val="20"/>
          <w:szCs w:val="20"/>
          <w:lang w:val="en-US" w:eastAsia="en-US"/>
        </w:rPr>
        <w:t xml:space="preserve"> </w:t>
      </w:r>
      <w:r w:rsidR="00090444" w:rsidRPr="00892CA6">
        <w:rPr>
          <w:rFonts w:ascii="Verdana" w:eastAsiaTheme="minorHAnsi" w:hAnsi="Verdana" w:cstheme="minorHAnsi"/>
          <w:color w:val="000000" w:themeColor="text1"/>
          <w:sz w:val="20"/>
          <w:szCs w:val="20"/>
          <w:lang w:val="en-US" w:eastAsia="en-US"/>
        </w:rPr>
        <w:t>- Ju</w:t>
      </w:r>
      <w:r w:rsidR="0039674F" w:rsidRPr="00892CA6">
        <w:rPr>
          <w:rFonts w:ascii="Verdana" w:eastAsiaTheme="minorHAnsi" w:hAnsi="Verdana" w:cstheme="minorHAnsi"/>
          <w:color w:val="000000" w:themeColor="text1"/>
          <w:sz w:val="20"/>
          <w:szCs w:val="20"/>
          <w:lang w:val="en-US" w:eastAsia="en-US"/>
        </w:rPr>
        <w:t>ne</w:t>
      </w:r>
      <w:r w:rsidR="00090444" w:rsidRPr="00892CA6">
        <w:rPr>
          <w:rFonts w:ascii="Verdana" w:eastAsiaTheme="minorHAnsi" w:hAnsi="Verdana" w:cstheme="minorHAnsi"/>
          <w:color w:val="000000" w:themeColor="text1"/>
          <w:sz w:val="20"/>
          <w:szCs w:val="20"/>
          <w:lang w:val="en-US" w:eastAsia="en-US"/>
        </w:rPr>
        <w:t xml:space="preserve"> 2019</w:t>
      </w:r>
      <w:r w:rsidR="00762739" w:rsidRPr="00892CA6">
        <w:rPr>
          <w:rFonts w:ascii="Verdana" w:eastAsiaTheme="minorHAnsi" w:hAnsi="Verdana" w:cstheme="minorHAnsi"/>
          <w:color w:val="000000" w:themeColor="text1"/>
          <w:sz w:val="20"/>
          <w:szCs w:val="20"/>
          <w:lang w:val="en-US" w:eastAsia="en-US"/>
        </w:rPr>
        <w:t xml:space="preserve"> </w:t>
      </w:r>
      <w:r w:rsidR="00462655">
        <w:rPr>
          <w:rFonts w:ascii="Verdana" w:eastAsiaTheme="minorHAnsi" w:hAnsi="Verdana" w:cstheme="minorHAnsi"/>
          <w:color w:val="000000" w:themeColor="text1"/>
          <w:sz w:val="20"/>
          <w:szCs w:val="20"/>
          <w:lang w:val="en-US" w:eastAsia="en-US"/>
        </w:rPr>
        <w:t>illustrate</w:t>
      </w:r>
      <w:r w:rsidR="00462655" w:rsidRPr="00892CA6">
        <w:rPr>
          <w:rFonts w:ascii="Verdana" w:eastAsiaTheme="minorHAnsi" w:hAnsi="Verdana" w:cstheme="minorHAnsi"/>
          <w:color w:val="000000" w:themeColor="text1"/>
          <w:sz w:val="20"/>
          <w:szCs w:val="20"/>
          <w:lang w:val="en-US" w:eastAsia="en-US"/>
        </w:rPr>
        <w:t xml:space="preserve"> </w:t>
      </w:r>
      <w:r w:rsidRPr="00892CA6">
        <w:rPr>
          <w:rFonts w:ascii="Verdana" w:eastAsiaTheme="minorHAnsi" w:hAnsi="Verdana" w:cstheme="minorHAnsi"/>
          <w:color w:val="000000" w:themeColor="text1"/>
          <w:sz w:val="20"/>
          <w:szCs w:val="20"/>
          <w:lang w:val="en-US" w:eastAsia="en-US"/>
        </w:rPr>
        <w:t xml:space="preserve">that </w:t>
      </w:r>
      <w:r w:rsidR="0039674F" w:rsidRPr="00892CA6">
        <w:rPr>
          <w:rFonts w:ascii="Verdana" w:eastAsiaTheme="minorHAnsi" w:hAnsi="Verdana" w:cstheme="minorHAnsi"/>
          <w:color w:val="000000" w:themeColor="text1"/>
          <w:sz w:val="20"/>
          <w:szCs w:val="20"/>
          <w:lang w:val="en-US" w:eastAsia="en-US"/>
        </w:rPr>
        <w:t>the MSBs processed</w:t>
      </w:r>
      <w:r w:rsidR="00090444" w:rsidRPr="00892CA6">
        <w:rPr>
          <w:rFonts w:ascii="Verdana" w:eastAsiaTheme="minorHAnsi" w:hAnsi="Verdana" w:cstheme="minorHAnsi"/>
          <w:color w:val="000000" w:themeColor="text1"/>
          <w:sz w:val="20"/>
          <w:szCs w:val="20"/>
          <w:lang w:val="en-US" w:eastAsia="en-US"/>
        </w:rPr>
        <w:t xml:space="preserve"> </w:t>
      </w:r>
      <w:r w:rsidR="0039674F" w:rsidRPr="00892CA6">
        <w:rPr>
          <w:rFonts w:ascii="Verdana" w:eastAsiaTheme="minorHAnsi" w:hAnsi="Verdana" w:cstheme="minorHAnsi"/>
          <w:color w:val="000000" w:themeColor="text1"/>
          <w:sz w:val="20"/>
          <w:szCs w:val="20"/>
          <w:lang w:val="en-US" w:eastAsia="en-US"/>
        </w:rPr>
        <w:t xml:space="preserve">about US$255 million in remittances, </w:t>
      </w:r>
      <w:r w:rsidR="00462655">
        <w:rPr>
          <w:rFonts w:ascii="Verdana" w:eastAsiaTheme="minorHAnsi" w:hAnsi="Verdana" w:cstheme="minorHAnsi"/>
          <w:color w:val="000000" w:themeColor="text1"/>
          <w:sz w:val="20"/>
          <w:szCs w:val="20"/>
          <w:lang w:val="en-US" w:eastAsia="en-US"/>
        </w:rPr>
        <w:t>comprising</w:t>
      </w:r>
      <w:r w:rsidR="0039674F" w:rsidRPr="00892CA6">
        <w:rPr>
          <w:rFonts w:ascii="Verdana" w:eastAsiaTheme="minorHAnsi" w:hAnsi="Verdana" w:cstheme="minorHAnsi"/>
          <w:color w:val="000000" w:themeColor="text1"/>
          <w:sz w:val="20"/>
          <w:szCs w:val="20"/>
          <w:lang w:val="en-US" w:eastAsia="en-US"/>
        </w:rPr>
        <w:t xml:space="preserve"> of US$247 million of outgoing remittances and US$8 million of incoming remittances. </w:t>
      </w:r>
      <w:r w:rsidR="002B62A1" w:rsidRPr="00892CA6">
        <w:rPr>
          <w:rFonts w:ascii="Verdana" w:eastAsiaTheme="minorHAnsi" w:hAnsi="Verdana" w:cstheme="minorHAnsi"/>
          <w:color w:val="000000" w:themeColor="text1"/>
          <w:sz w:val="20"/>
          <w:szCs w:val="20"/>
          <w:lang w:val="en-US" w:eastAsia="en-US"/>
        </w:rPr>
        <w:t>90% or US$</w:t>
      </w:r>
      <w:r w:rsidR="00462655" w:rsidRPr="00892CA6">
        <w:rPr>
          <w:rFonts w:ascii="Verdana" w:eastAsiaTheme="minorHAnsi" w:hAnsi="Verdana" w:cstheme="minorHAnsi"/>
          <w:color w:val="000000" w:themeColor="text1"/>
          <w:sz w:val="20"/>
          <w:szCs w:val="20"/>
          <w:lang w:val="en-US" w:eastAsia="en-US"/>
        </w:rPr>
        <w:t>22</w:t>
      </w:r>
      <w:r w:rsidR="00462655">
        <w:rPr>
          <w:rFonts w:ascii="Verdana" w:eastAsiaTheme="minorHAnsi" w:hAnsi="Verdana" w:cstheme="minorHAnsi"/>
          <w:color w:val="000000" w:themeColor="text1"/>
          <w:sz w:val="20"/>
          <w:szCs w:val="20"/>
          <w:lang w:val="en-US" w:eastAsia="en-US"/>
        </w:rPr>
        <w:t>2</w:t>
      </w:r>
      <w:r w:rsidR="00462655" w:rsidRPr="00892CA6">
        <w:rPr>
          <w:rFonts w:ascii="Verdana" w:eastAsiaTheme="minorHAnsi" w:hAnsi="Verdana" w:cstheme="minorHAnsi"/>
          <w:color w:val="000000" w:themeColor="text1"/>
          <w:sz w:val="20"/>
          <w:szCs w:val="20"/>
          <w:lang w:val="en-US" w:eastAsia="en-US"/>
        </w:rPr>
        <w:t xml:space="preserve"> </w:t>
      </w:r>
      <w:r w:rsidR="002B62A1" w:rsidRPr="00892CA6">
        <w:rPr>
          <w:rFonts w:ascii="Verdana" w:eastAsiaTheme="minorHAnsi" w:hAnsi="Verdana" w:cstheme="minorHAnsi"/>
          <w:color w:val="000000" w:themeColor="text1"/>
          <w:sz w:val="20"/>
          <w:szCs w:val="20"/>
          <w:lang w:val="en-US" w:eastAsia="en-US"/>
        </w:rPr>
        <w:t xml:space="preserve">million were remittances to five (5) countries namely; Jamaica (57%), Philippines (17%), Honduras (7%), United States (5%) Dominican Republic (2%) and Nicaragua (2%). Out of this </w:t>
      </w:r>
      <w:r w:rsidR="00AC399A" w:rsidRPr="00892CA6">
        <w:rPr>
          <w:rFonts w:ascii="Verdana" w:eastAsiaTheme="minorHAnsi" w:hAnsi="Verdana" w:cstheme="minorHAnsi"/>
          <w:color w:val="000000" w:themeColor="text1"/>
          <w:sz w:val="20"/>
          <w:szCs w:val="20"/>
          <w:lang w:val="en-US" w:eastAsia="en-US"/>
        </w:rPr>
        <w:t>subcategory</w:t>
      </w:r>
      <w:r w:rsidR="002B62A1" w:rsidRPr="00892CA6">
        <w:rPr>
          <w:rFonts w:ascii="Verdana" w:eastAsiaTheme="minorHAnsi" w:hAnsi="Verdana" w:cstheme="minorHAnsi"/>
          <w:color w:val="000000" w:themeColor="text1"/>
          <w:sz w:val="20"/>
          <w:szCs w:val="20"/>
          <w:lang w:val="en-US" w:eastAsia="en-US"/>
        </w:rPr>
        <w:t xml:space="preserve"> of </w:t>
      </w:r>
      <w:r w:rsidR="009F3389">
        <w:rPr>
          <w:rFonts w:ascii="Verdana" w:eastAsiaTheme="minorHAnsi" w:hAnsi="Verdana" w:cstheme="minorHAnsi"/>
          <w:color w:val="000000" w:themeColor="text1"/>
          <w:sz w:val="20"/>
          <w:szCs w:val="20"/>
          <w:lang w:val="en-US" w:eastAsia="en-US"/>
        </w:rPr>
        <w:t xml:space="preserve">the </w:t>
      </w:r>
      <w:r w:rsidR="002B62A1" w:rsidRPr="00892CA6">
        <w:rPr>
          <w:rFonts w:ascii="Verdana" w:eastAsiaTheme="minorHAnsi" w:hAnsi="Verdana" w:cstheme="minorHAnsi"/>
          <w:color w:val="000000" w:themeColor="text1"/>
          <w:sz w:val="20"/>
          <w:szCs w:val="20"/>
          <w:lang w:val="en-US" w:eastAsia="en-US"/>
        </w:rPr>
        <w:t xml:space="preserve">top 5 outgoing remittances by country, only </w:t>
      </w:r>
      <w:r w:rsidR="009F3389">
        <w:rPr>
          <w:rFonts w:ascii="Verdana" w:eastAsiaTheme="minorHAnsi" w:hAnsi="Verdana" w:cstheme="minorHAnsi"/>
          <w:color w:val="000000" w:themeColor="text1"/>
          <w:sz w:val="20"/>
          <w:szCs w:val="20"/>
          <w:lang w:val="en-US" w:eastAsia="en-US"/>
        </w:rPr>
        <w:t xml:space="preserve">the </w:t>
      </w:r>
      <w:r w:rsidR="002B62A1" w:rsidRPr="00892CA6">
        <w:rPr>
          <w:rFonts w:ascii="Verdana" w:eastAsiaTheme="minorHAnsi" w:hAnsi="Verdana" w:cstheme="minorHAnsi"/>
          <w:color w:val="000000" w:themeColor="text1"/>
          <w:sz w:val="20"/>
          <w:szCs w:val="20"/>
          <w:lang w:val="en-US" w:eastAsia="en-US"/>
        </w:rPr>
        <w:t>Philippines is considered high</w:t>
      </w:r>
      <w:r w:rsidR="00462655">
        <w:rPr>
          <w:rFonts w:ascii="Verdana" w:eastAsiaTheme="minorHAnsi" w:hAnsi="Verdana" w:cstheme="minorHAnsi"/>
          <w:color w:val="000000" w:themeColor="text1"/>
          <w:sz w:val="20"/>
          <w:szCs w:val="20"/>
          <w:lang w:val="en-US" w:eastAsia="en-US"/>
        </w:rPr>
        <w:t>-</w:t>
      </w:r>
      <w:r w:rsidR="002B62A1" w:rsidRPr="00892CA6">
        <w:rPr>
          <w:rFonts w:ascii="Verdana" w:eastAsiaTheme="minorHAnsi" w:hAnsi="Verdana" w:cstheme="minorHAnsi"/>
          <w:color w:val="000000" w:themeColor="text1"/>
          <w:sz w:val="20"/>
          <w:szCs w:val="20"/>
          <w:lang w:val="en-US" w:eastAsia="en-US"/>
        </w:rPr>
        <w:t>risk per the Global Terrorism Index of 2018. Other countries make up the remaining 10%, f</w:t>
      </w:r>
      <w:r w:rsidR="00B358C1" w:rsidRPr="00892CA6">
        <w:rPr>
          <w:rFonts w:ascii="Verdana" w:eastAsiaTheme="minorHAnsi" w:hAnsi="Verdana" w:cstheme="minorHAnsi"/>
          <w:color w:val="000000" w:themeColor="text1"/>
          <w:sz w:val="20"/>
          <w:szCs w:val="20"/>
          <w:lang w:val="en-US" w:eastAsia="en-US"/>
        </w:rPr>
        <w:t>ive</w:t>
      </w:r>
      <w:r w:rsidR="002B62A1" w:rsidRPr="00892CA6">
        <w:rPr>
          <w:rFonts w:ascii="Verdana" w:eastAsiaTheme="minorHAnsi" w:hAnsi="Verdana" w:cstheme="minorHAnsi"/>
          <w:color w:val="000000" w:themeColor="text1"/>
          <w:sz w:val="20"/>
          <w:szCs w:val="20"/>
          <w:lang w:val="en-US" w:eastAsia="en-US"/>
        </w:rPr>
        <w:t xml:space="preserve"> (</w:t>
      </w:r>
      <w:r w:rsidR="00B358C1" w:rsidRPr="00892CA6">
        <w:rPr>
          <w:rFonts w:ascii="Verdana" w:eastAsiaTheme="minorHAnsi" w:hAnsi="Verdana" w:cstheme="minorHAnsi"/>
          <w:color w:val="000000" w:themeColor="text1"/>
          <w:sz w:val="20"/>
          <w:szCs w:val="20"/>
          <w:lang w:val="en-US" w:eastAsia="en-US"/>
        </w:rPr>
        <w:t>5</w:t>
      </w:r>
      <w:r w:rsidR="002B62A1" w:rsidRPr="00892CA6">
        <w:rPr>
          <w:rFonts w:ascii="Verdana" w:eastAsiaTheme="minorHAnsi" w:hAnsi="Verdana" w:cstheme="minorHAnsi"/>
          <w:color w:val="000000" w:themeColor="text1"/>
          <w:sz w:val="20"/>
          <w:szCs w:val="20"/>
          <w:lang w:val="en-US" w:eastAsia="en-US"/>
        </w:rPr>
        <w:t>) of which are considered high</w:t>
      </w:r>
      <w:r w:rsidR="00462655">
        <w:rPr>
          <w:rFonts w:ascii="Verdana" w:eastAsiaTheme="minorHAnsi" w:hAnsi="Verdana" w:cstheme="minorHAnsi"/>
          <w:color w:val="000000" w:themeColor="text1"/>
          <w:sz w:val="20"/>
          <w:szCs w:val="20"/>
          <w:lang w:val="en-US" w:eastAsia="en-US"/>
        </w:rPr>
        <w:t>-</w:t>
      </w:r>
      <w:r w:rsidR="002B62A1" w:rsidRPr="00892CA6">
        <w:rPr>
          <w:rFonts w:ascii="Verdana" w:eastAsiaTheme="minorHAnsi" w:hAnsi="Verdana" w:cstheme="minorHAnsi"/>
          <w:color w:val="000000" w:themeColor="text1"/>
          <w:sz w:val="20"/>
          <w:szCs w:val="20"/>
          <w:lang w:val="en-US" w:eastAsia="en-US"/>
        </w:rPr>
        <w:t>risk. The f</w:t>
      </w:r>
      <w:r w:rsidR="00B358C1" w:rsidRPr="00892CA6">
        <w:rPr>
          <w:rFonts w:ascii="Verdana" w:eastAsiaTheme="minorHAnsi" w:hAnsi="Verdana" w:cstheme="minorHAnsi"/>
          <w:color w:val="000000" w:themeColor="text1"/>
          <w:sz w:val="20"/>
          <w:szCs w:val="20"/>
          <w:lang w:val="en-US" w:eastAsia="en-US"/>
        </w:rPr>
        <w:t>ive</w:t>
      </w:r>
      <w:r w:rsidR="002B62A1" w:rsidRPr="00892CA6">
        <w:rPr>
          <w:rFonts w:ascii="Verdana" w:eastAsiaTheme="minorHAnsi" w:hAnsi="Verdana" w:cstheme="minorHAnsi"/>
          <w:color w:val="000000" w:themeColor="text1"/>
          <w:sz w:val="20"/>
          <w:szCs w:val="20"/>
          <w:lang w:val="en-US" w:eastAsia="en-US"/>
        </w:rPr>
        <w:t xml:space="preserve"> (</w:t>
      </w:r>
      <w:r w:rsidR="00B358C1" w:rsidRPr="00892CA6">
        <w:rPr>
          <w:rFonts w:ascii="Verdana" w:eastAsiaTheme="minorHAnsi" w:hAnsi="Verdana" w:cstheme="minorHAnsi"/>
          <w:color w:val="000000" w:themeColor="text1"/>
          <w:sz w:val="20"/>
          <w:szCs w:val="20"/>
          <w:lang w:val="en-US" w:eastAsia="en-US"/>
        </w:rPr>
        <w:t>5</w:t>
      </w:r>
      <w:r w:rsidR="002B62A1" w:rsidRPr="00892CA6">
        <w:rPr>
          <w:rFonts w:ascii="Verdana" w:eastAsiaTheme="minorHAnsi" w:hAnsi="Verdana" w:cstheme="minorHAnsi"/>
          <w:color w:val="000000" w:themeColor="text1"/>
          <w:sz w:val="20"/>
          <w:szCs w:val="20"/>
          <w:lang w:val="en-US" w:eastAsia="en-US"/>
        </w:rPr>
        <w:t>) count</w:t>
      </w:r>
      <w:r w:rsidR="00B358C1" w:rsidRPr="00892CA6">
        <w:rPr>
          <w:rFonts w:ascii="Verdana" w:eastAsiaTheme="minorHAnsi" w:hAnsi="Verdana" w:cstheme="minorHAnsi"/>
          <w:color w:val="000000" w:themeColor="text1"/>
          <w:sz w:val="20"/>
          <w:szCs w:val="20"/>
          <w:lang w:val="en-US" w:eastAsia="en-US"/>
        </w:rPr>
        <w:t xml:space="preserve">ries received only 1.5% or US$3.6 million from the </w:t>
      </w:r>
      <w:r w:rsidR="00AC399A" w:rsidRPr="00892CA6">
        <w:rPr>
          <w:rFonts w:ascii="Verdana" w:eastAsiaTheme="minorHAnsi" w:hAnsi="Verdana" w:cstheme="minorHAnsi"/>
          <w:color w:val="000000" w:themeColor="text1"/>
          <w:sz w:val="20"/>
          <w:szCs w:val="20"/>
          <w:lang w:val="en-US" w:eastAsia="en-US"/>
        </w:rPr>
        <w:t xml:space="preserve">Cayman </w:t>
      </w:r>
      <w:r w:rsidR="00B358C1" w:rsidRPr="00892CA6">
        <w:rPr>
          <w:rFonts w:ascii="Verdana" w:eastAsiaTheme="minorHAnsi" w:hAnsi="Verdana" w:cstheme="minorHAnsi"/>
          <w:color w:val="000000" w:themeColor="text1"/>
          <w:sz w:val="20"/>
          <w:szCs w:val="20"/>
          <w:lang w:val="en-US" w:eastAsia="en-US"/>
        </w:rPr>
        <w:t>Islands</w:t>
      </w:r>
      <w:r w:rsidR="009F3389">
        <w:rPr>
          <w:rFonts w:ascii="Verdana" w:eastAsiaTheme="minorHAnsi" w:hAnsi="Verdana" w:cstheme="minorHAnsi"/>
          <w:color w:val="000000" w:themeColor="text1"/>
          <w:sz w:val="20"/>
          <w:szCs w:val="20"/>
          <w:lang w:val="en-US" w:eastAsia="en-US"/>
        </w:rPr>
        <w:t xml:space="preserve">, these countries </w:t>
      </w:r>
      <w:r w:rsidR="00B358C1" w:rsidRPr="00892CA6">
        <w:rPr>
          <w:rFonts w:ascii="Verdana" w:eastAsiaTheme="minorHAnsi" w:hAnsi="Verdana" w:cstheme="minorHAnsi"/>
          <w:color w:val="000000" w:themeColor="text1"/>
          <w:sz w:val="20"/>
          <w:szCs w:val="20"/>
          <w:lang w:val="en-US" w:eastAsia="en-US"/>
        </w:rPr>
        <w:t xml:space="preserve"> are India, Kenya, Zimbabwe, China and Trinidad and Tobago. </w:t>
      </w:r>
      <w:r w:rsidR="002E73F1" w:rsidRPr="00892CA6">
        <w:rPr>
          <w:rFonts w:ascii="Verdana" w:eastAsiaTheme="minorHAnsi" w:hAnsi="Verdana" w:cstheme="minorHAnsi"/>
          <w:color w:val="000000" w:themeColor="text1"/>
          <w:sz w:val="20"/>
          <w:szCs w:val="20"/>
          <w:lang w:val="en-US" w:eastAsia="en-US"/>
        </w:rPr>
        <w:t>Remittances to these high</w:t>
      </w:r>
      <w:r w:rsidR="00462655">
        <w:rPr>
          <w:rFonts w:ascii="Verdana" w:eastAsiaTheme="minorHAnsi" w:hAnsi="Verdana" w:cstheme="minorHAnsi"/>
          <w:color w:val="000000" w:themeColor="text1"/>
          <w:sz w:val="20"/>
          <w:szCs w:val="20"/>
          <w:lang w:val="en-US" w:eastAsia="en-US"/>
        </w:rPr>
        <w:t>-</w:t>
      </w:r>
      <w:r w:rsidR="002E73F1" w:rsidRPr="00892CA6">
        <w:rPr>
          <w:rFonts w:ascii="Verdana" w:eastAsiaTheme="minorHAnsi" w:hAnsi="Verdana" w:cstheme="minorHAnsi"/>
          <w:color w:val="000000" w:themeColor="text1"/>
          <w:sz w:val="20"/>
          <w:szCs w:val="20"/>
          <w:lang w:val="en-US" w:eastAsia="en-US"/>
        </w:rPr>
        <w:t>risk countries as well as those in the top 5 outgoing remittances by country</w:t>
      </w:r>
      <w:r w:rsidR="002E73F1" w:rsidRPr="00892CA6" w:rsidDel="0039674F">
        <w:rPr>
          <w:rFonts w:ascii="Verdana" w:eastAsiaTheme="minorHAnsi" w:hAnsi="Verdana" w:cstheme="minorHAnsi"/>
          <w:color w:val="000000" w:themeColor="text1"/>
          <w:sz w:val="20"/>
          <w:szCs w:val="20"/>
          <w:lang w:val="en-US" w:eastAsia="en-US"/>
        </w:rPr>
        <w:t xml:space="preserve"> </w:t>
      </w:r>
      <w:r w:rsidR="002E73F1" w:rsidRPr="00892CA6">
        <w:rPr>
          <w:rFonts w:ascii="Verdana" w:eastAsiaTheme="minorHAnsi" w:hAnsi="Verdana" w:cstheme="minorHAnsi"/>
          <w:color w:val="000000" w:themeColor="text1"/>
          <w:sz w:val="20"/>
          <w:szCs w:val="20"/>
          <w:lang w:val="en-US" w:eastAsia="en-US"/>
        </w:rPr>
        <w:t xml:space="preserve">are consistent with the demographics of the Cayman Islands expatriate community. </w:t>
      </w:r>
    </w:p>
    <w:p w14:paraId="1F56D825" w14:textId="518FFAED" w:rsidR="007D0037" w:rsidRPr="00892CA6" w:rsidRDefault="007D0037" w:rsidP="007D0037">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Inflows of remittances from other countries to the Cayman Islands amounted to US$8 million. 76% of the inflows came from five (5) countries namely; the United States (48%), Jamaica (13%), Canada (7%), United Kingdom (6%) and the Philippines (2%). The only </w:t>
      </w:r>
      <w:r w:rsidR="009602A1" w:rsidRPr="00892CA6">
        <w:rPr>
          <w:rFonts w:ascii="Verdana" w:eastAsiaTheme="minorHAnsi" w:hAnsi="Verdana" w:cstheme="minorHAnsi"/>
          <w:color w:val="000000" w:themeColor="text1"/>
          <w:sz w:val="20"/>
          <w:szCs w:val="20"/>
          <w:lang w:val="en-US" w:eastAsia="en-US"/>
        </w:rPr>
        <w:t>high-risk</w:t>
      </w:r>
      <w:r w:rsidRPr="00892CA6">
        <w:rPr>
          <w:rFonts w:ascii="Verdana" w:eastAsiaTheme="minorHAnsi" w:hAnsi="Verdana" w:cstheme="minorHAnsi"/>
          <w:color w:val="000000" w:themeColor="text1"/>
          <w:sz w:val="20"/>
          <w:szCs w:val="20"/>
          <w:lang w:val="en-US" w:eastAsia="en-US"/>
        </w:rPr>
        <w:t xml:space="preserve"> country in the top 5 is the Philippines. Of the 24% remainder, only 0.1% came from high</w:t>
      </w:r>
      <w:r w:rsidR="00446B1F">
        <w:rPr>
          <w:rFonts w:ascii="Verdana" w:eastAsiaTheme="minorHAnsi" w:hAnsi="Verdana" w:cstheme="minorHAnsi"/>
          <w:color w:val="000000" w:themeColor="text1"/>
          <w:sz w:val="20"/>
          <w:szCs w:val="20"/>
          <w:lang w:val="en-US" w:eastAsia="en-US"/>
        </w:rPr>
        <w:t>-</w:t>
      </w:r>
      <w:r w:rsidRPr="00892CA6">
        <w:rPr>
          <w:rFonts w:ascii="Verdana" w:eastAsiaTheme="minorHAnsi" w:hAnsi="Verdana" w:cstheme="minorHAnsi"/>
          <w:color w:val="000000" w:themeColor="text1"/>
          <w:sz w:val="20"/>
          <w:szCs w:val="20"/>
          <w:lang w:val="en-US" w:eastAsia="en-US"/>
        </w:rPr>
        <w:t xml:space="preserve">risk countries namely Kenya, China, Zimbabwe and India. Incoming remittances are also consistent with the demographics of the Cayman Islands expatriate community. </w:t>
      </w:r>
    </w:p>
    <w:p w14:paraId="097493EC" w14:textId="60672C66" w:rsidR="00CE4975" w:rsidRPr="00892CA6" w:rsidRDefault="00CE4975" w:rsidP="004E5F89">
      <w:pPr>
        <w:pStyle w:val="Heading2"/>
        <w:numPr>
          <w:ilvl w:val="0"/>
          <w:numId w:val="0"/>
        </w:numPr>
        <w:rPr>
          <w:rFonts w:ascii="Verdana" w:hAnsi="Verdana" w:cstheme="minorHAnsi"/>
          <w:b/>
          <w:bCs/>
          <w:i/>
          <w:sz w:val="20"/>
          <w:szCs w:val="20"/>
          <w:lang w:val="en-US"/>
        </w:rPr>
      </w:pPr>
      <w:r w:rsidRPr="00892CA6">
        <w:rPr>
          <w:rFonts w:ascii="Verdana" w:hAnsi="Verdana" w:cstheme="minorHAnsi"/>
          <w:b/>
          <w:bCs/>
          <w:i/>
          <w:sz w:val="20"/>
          <w:szCs w:val="20"/>
          <w:lang w:val="en-US"/>
        </w:rPr>
        <w:t xml:space="preserve">Products and services </w:t>
      </w:r>
    </w:p>
    <w:p w14:paraId="663DC40B" w14:textId="5CE33368" w:rsidR="00A11F2D" w:rsidRPr="00892CA6" w:rsidRDefault="000C3877"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 xml:space="preserve">The principal activity of the three (3) MSB licensees is the remittance of funds on behalf of customers. </w:t>
      </w:r>
      <w:r w:rsidR="00E463AF">
        <w:rPr>
          <w:rFonts w:ascii="Verdana" w:eastAsiaTheme="minorHAnsi" w:hAnsi="Verdana" w:cstheme="minorHAnsi"/>
          <w:color w:val="000000" w:themeColor="text1"/>
          <w:sz w:val="20"/>
          <w:szCs w:val="20"/>
          <w:lang w:val="en-US" w:eastAsia="en-US"/>
        </w:rPr>
        <w:t>Two (3) of the three (3) licensees’ o</w:t>
      </w:r>
      <w:r w:rsidR="00352DFE" w:rsidRPr="00892CA6">
        <w:rPr>
          <w:rFonts w:ascii="Verdana" w:eastAsiaTheme="minorHAnsi" w:hAnsi="Verdana" w:cstheme="minorHAnsi"/>
          <w:color w:val="000000" w:themeColor="text1"/>
          <w:sz w:val="20"/>
          <w:szCs w:val="20"/>
          <w:lang w:val="en-US" w:eastAsia="en-US"/>
        </w:rPr>
        <w:t xml:space="preserve">ther business activities include the </w:t>
      </w:r>
      <w:r w:rsidR="00E463AF">
        <w:rPr>
          <w:rFonts w:ascii="Verdana" w:eastAsiaTheme="minorHAnsi" w:hAnsi="Verdana" w:cstheme="minorHAnsi"/>
          <w:color w:val="000000" w:themeColor="text1"/>
          <w:sz w:val="20"/>
          <w:szCs w:val="20"/>
          <w:lang w:val="en-US" w:eastAsia="en-US"/>
        </w:rPr>
        <w:t xml:space="preserve">purchase and </w:t>
      </w:r>
      <w:r w:rsidR="00352DFE" w:rsidRPr="00892CA6">
        <w:rPr>
          <w:rFonts w:ascii="Verdana" w:eastAsiaTheme="minorHAnsi" w:hAnsi="Verdana" w:cstheme="minorHAnsi"/>
          <w:color w:val="000000" w:themeColor="text1"/>
          <w:sz w:val="20"/>
          <w:szCs w:val="20"/>
          <w:lang w:val="en-US" w:eastAsia="en-US"/>
        </w:rPr>
        <w:t xml:space="preserve">sale of foreign </w:t>
      </w:r>
      <w:r w:rsidR="00E463AF">
        <w:rPr>
          <w:rFonts w:ascii="Verdana" w:eastAsiaTheme="minorHAnsi" w:hAnsi="Verdana" w:cstheme="minorHAnsi"/>
          <w:color w:val="000000" w:themeColor="text1"/>
          <w:sz w:val="20"/>
          <w:szCs w:val="20"/>
          <w:lang w:val="en-US" w:eastAsia="en-US"/>
        </w:rPr>
        <w:t>currency</w:t>
      </w:r>
      <w:r w:rsidR="00352DFE" w:rsidRPr="00892CA6">
        <w:rPr>
          <w:rFonts w:ascii="Verdana" w:eastAsiaTheme="minorHAnsi" w:hAnsi="Verdana" w:cstheme="minorHAnsi"/>
          <w:color w:val="000000" w:themeColor="text1"/>
          <w:sz w:val="20"/>
          <w:szCs w:val="20"/>
          <w:lang w:val="en-US" w:eastAsia="en-US"/>
        </w:rPr>
        <w:t xml:space="preserve"> bill payments and mobile credit top up. </w:t>
      </w:r>
      <w:r w:rsidR="00E463AF">
        <w:rPr>
          <w:rFonts w:ascii="Verdana" w:eastAsiaTheme="minorHAnsi" w:hAnsi="Verdana" w:cstheme="minorHAnsi"/>
          <w:color w:val="000000" w:themeColor="text1"/>
          <w:sz w:val="20"/>
          <w:szCs w:val="20"/>
          <w:lang w:val="en-US" w:eastAsia="en-US"/>
        </w:rPr>
        <w:t xml:space="preserve">Foreign currency customers mainly exchange the United States dollar for the Cayman Islands dollar or vice versa. </w:t>
      </w:r>
    </w:p>
    <w:p w14:paraId="0CFA15C2" w14:textId="4FD02B07" w:rsidR="00396C68" w:rsidRPr="00892CA6" w:rsidRDefault="00396C68" w:rsidP="00396C68">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Conclusion for Risk Category</w:t>
      </w:r>
      <w:r w:rsidR="00AC399A" w:rsidRPr="00892CA6">
        <w:rPr>
          <w:rFonts w:ascii="Verdana" w:hAnsi="Verdana" w:cstheme="minorHAnsi"/>
          <w:b/>
          <w:bCs/>
          <w:sz w:val="20"/>
          <w:szCs w:val="20"/>
          <w:lang w:val="en-US"/>
        </w:rPr>
        <w:t xml:space="preserve"> -</w:t>
      </w:r>
      <w:r w:rsidRPr="00892CA6">
        <w:rPr>
          <w:rFonts w:ascii="Verdana" w:hAnsi="Verdana" w:cstheme="minorHAnsi"/>
          <w:b/>
          <w:bCs/>
          <w:sz w:val="20"/>
          <w:szCs w:val="20"/>
          <w:lang w:val="en-US"/>
        </w:rPr>
        <w:t xml:space="preserve"> Transactions, Products and Services</w:t>
      </w:r>
    </w:p>
    <w:p w14:paraId="34E6C25A" w14:textId="68D41734" w:rsidR="00C23C53" w:rsidRPr="00892CA6" w:rsidRDefault="00E65FCB" w:rsidP="00601594">
      <w:pPr>
        <w:pStyle w:val="Heading2"/>
        <w:numPr>
          <w:ilvl w:val="0"/>
          <w:numId w:val="3"/>
        </w:numPr>
        <w:spacing w:line="276" w:lineRule="auto"/>
        <w:ind w:left="0" w:right="-6" w:firstLine="0"/>
        <w:jc w:val="both"/>
        <w:rPr>
          <w:rFonts w:ascii="Verdana" w:eastAsia="Times New Roman" w:hAnsi="Verdana" w:cstheme="minorHAnsi"/>
          <w:b/>
          <w:bCs/>
          <w:color w:val="191919"/>
          <w:sz w:val="20"/>
          <w:szCs w:val="20"/>
          <w:lang w:val="en-US" w:eastAsia="en-GB"/>
        </w:rPr>
      </w:pPr>
      <w:r>
        <w:rPr>
          <w:rFonts w:ascii="Verdana" w:eastAsiaTheme="minorHAnsi" w:hAnsi="Verdana" w:cstheme="minorHAnsi"/>
          <w:color w:val="000000" w:themeColor="text1"/>
          <w:sz w:val="20"/>
          <w:szCs w:val="20"/>
          <w:lang w:val="en-US" w:eastAsia="en-US"/>
        </w:rPr>
        <w:t xml:space="preserve">The </w:t>
      </w:r>
      <w:r w:rsidR="00C23C53" w:rsidRPr="00892CA6">
        <w:rPr>
          <w:rFonts w:ascii="Verdana" w:eastAsiaTheme="minorHAnsi" w:hAnsi="Verdana" w:cstheme="minorHAnsi"/>
          <w:color w:val="000000" w:themeColor="text1"/>
          <w:sz w:val="20"/>
          <w:szCs w:val="20"/>
          <w:lang w:val="en-US" w:eastAsia="en-US"/>
        </w:rPr>
        <w:t xml:space="preserve">Cayman Islands </w:t>
      </w:r>
      <w:r w:rsidR="00352DFE" w:rsidRPr="00892CA6">
        <w:rPr>
          <w:rFonts w:ascii="Verdana" w:eastAsiaTheme="minorHAnsi" w:hAnsi="Verdana" w:cstheme="minorHAnsi"/>
          <w:color w:val="000000" w:themeColor="text1"/>
          <w:sz w:val="20"/>
          <w:szCs w:val="20"/>
          <w:lang w:val="en-US" w:eastAsia="en-US"/>
        </w:rPr>
        <w:t xml:space="preserve">MSBs </w:t>
      </w:r>
      <w:r w:rsidR="00C23C53" w:rsidRPr="00892CA6">
        <w:rPr>
          <w:rFonts w:ascii="Verdana" w:eastAsiaTheme="minorHAnsi" w:hAnsi="Verdana" w:cstheme="minorHAnsi"/>
          <w:color w:val="000000" w:themeColor="text1"/>
          <w:sz w:val="20"/>
          <w:szCs w:val="20"/>
          <w:lang w:val="en-US" w:eastAsia="en-US"/>
        </w:rPr>
        <w:t>transact</w:t>
      </w:r>
      <w:r w:rsidR="00352DFE" w:rsidRPr="00892CA6">
        <w:rPr>
          <w:rFonts w:ascii="Verdana" w:eastAsiaTheme="minorHAnsi" w:hAnsi="Verdana" w:cstheme="minorHAnsi"/>
          <w:color w:val="000000" w:themeColor="text1"/>
          <w:sz w:val="20"/>
          <w:szCs w:val="20"/>
          <w:lang w:val="en-US" w:eastAsia="en-US"/>
        </w:rPr>
        <w:t>s</w:t>
      </w:r>
      <w:r w:rsidR="00C23C53" w:rsidRPr="00892CA6">
        <w:rPr>
          <w:rFonts w:ascii="Verdana" w:eastAsiaTheme="minorHAnsi" w:hAnsi="Verdana" w:cstheme="minorHAnsi"/>
          <w:color w:val="000000" w:themeColor="text1"/>
          <w:sz w:val="20"/>
          <w:szCs w:val="20"/>
          <w:lang w:val="en-US" w:eastAsia="en-US"/>
        </w:rPr>
        <w:t xml:space="preserve"> with</w:t>
      </w:r>
      <w:r w:rsidR="00352DFE" w:rsidRPr="00892CA6">
        <w:rPr>
          <w:rFonts w:ascii="Verdana" w:eastAsiaTheme="minorHAnsi" w:hAnsi="Verdana" w:cstheme="minorHAnsi"/>
          <w:color w:val="000000" w:themeColor="text1"/>
          <w:sz w:val="20"/>
          <w:szCs w:val="20"/>
          <w:lang w:val="en-US" w:eastAsia="en-US"/>
        </w:rPr>
        <w:t xml:space="preserve"> residents from a number of</w:t>
      </w:r>
      <w:r w:rsidR="00C23C53" w:rsidRPr="00892CA6">
        <w:rPr>
          <w:rFonts w:ascii="Verdana" w:eastAsiaTheme="minorHAnsi" w:hAnsi="Verdana" w:cstheme="minorHAnsi"/>
          <w:color w:val="000000" w:themeColor="text1"/>
          <w:sz w:val="20"/>
          <w:szCs w:val="20"/>
          <w:lang w:val="en-US" w:eastAsia="en-US"/>
        </w:rPr>
        <w:t xml:space="preserve"> countries in the world</w:t>
      </w:r>
      <w:r w:rsidR="00352DFE" w:rsidRPr="00892CA6">
        <w:rPr>
          <w:rFonts w:ascii="Verdana" w:eastAsiaTheme="minorHAnsi" w:hAnsi="Verdana" w:cstheme="minorHAnsi"/>
          <w:color w:val="000000" w:themeColor="text1"/>
          <w:sz w:val="20"/>
          <w:szCs w:val="20"/>
          <w:lang w:val="en-US" w:eastAsia="en-US"/>
        </w:rPr>
        <w:t xml:space="preserve"> who live and work in the jurisdiction. This </w:t>
      </w:r>
      <w:r w:rsidR="00C23C53" w:rsidRPr="00892CA6">
        <w:rPr>
          <w:rFonts w:ascii="Verdana" w:eastAsiaTheme="minorHAnsi" w:hAnsi="Verdana" w:cstheme="minorHAnsi"/>
          <w:color w:val="000000" w:themeColor="text1"/>
          <w:sz w:val="20"/>
          <w:szCs w:val="20"/>
          <w:lang w:val="en-US" w:eastAsia="en-US"/>
        </w:rPr>
        <w:t>leav</w:t>
      </w:r>
      <w:r w:rsidR="00352DFE" w:rsidRPr="00892CA6">
        <w:rPr>
          <w:rFonts w:ascii="Verdana" w:eastAsiaTheme="minorHAnsi" w:hAnsi="Verdana" w:cstheme="minorHAnsi"/>
          <w:color w:val="000000" w:themeColor="text1"/>
          <w:sz w:val="20"/>
          <w:szCs w:val="20"/>
          <w:lang w:val="en-US" w:eastAsia="en-US"/>
        </w:rPr>
        <w:t>es</w:t>
      </w:r>
      <w:r w:rsidR="00C23C53" w:rsidRPr="00892CA6">
        <w:rPr>
          <w:rFonts w:ascii="Verdana" w:eastAsiaTheme="minorHAnsi" w:hAnsi="Verdana" w:cstheme="minorHAnsi"/>
          <w:color w:val="000000" w:themeColor="text1"/>
          <w:sz w:val="20"/>
          <w:szCs w:val="20"/>
          <w:lang w:val="en-US" w:eastAsia="en-US"/>
        </w:rPr>
        <w:t xml:space="preserve"> the </w:t>
      </w:r>
      <w:r w:rsidR="00352DFE" w:rsidRPr="00892CA6">
        <w:rPr>
          <w:rFonts w:ascii="Verdana" w:eastAsiaTheme="minorHAnsi" w:hAnsi="Verdana" w:cstheme="minorHAnsi"/>
          <w:color w:val="000000" w:themeColor="text1"/>
          <w:sz w:val="20"/>
          <w:szCs w:val="20"/>
          <w:lang w:val="en-US" w:eastAsia="en-US"/>
        </w:rPr>
        <w:t xml:space="preserve">MSBs </w:t>
      </w:r>
      <w:r w:rsidR="00C23C53" w:rsidRPr="00892CA6">
        <w:rPr>
          <w:rFonts w:ascii="Verdana" w:eastAsiaTheme="minorHAnsi" w:hAnsi="Verdana" w:cstheme="minorHAnsi"/>
          <w:color w:val="000000" w:themeColor="text1"/>
          <w:sz w:val="20"/>
          <w:szCs w:val="20"/>
          <w:lang w:val="en-US" w:eastAsia="en-US"/>
        </w:rPr>
        <w:t xml:space="preserve">sector at risk to be misused for ML/TF. The fact that the </w:t>
      </w:r>
      <w:r w:rsidR="00F42DFE" w:rsidRPr="00892CA6">
        <w:rPr>
          <w:rFonts w:ascii="Verdana" w:hAnsi="Verdana" w:cstheme="minorHAnsi"/>
          <w:color w:val="000000" w:themeColor="text1"/>
          <w:sz w:val="20"/>
          <w:szCs w:val="20"/>
          <w:lang w:val="en-US"/>
        </w:rPr>
        <w:t>largest</w:t>
      </w:r>
      <w:r w:rsidR="00C23C53" w:rsidRPr="00892CA6">
        <w:rPr>
          <w:rFonts w:ascii="Verdana" w:eastAsiaTheme="minorHAnsi" w:hAnsi="Verdana" w:cstheme="minorHAnsi"/>
          <w:color w:val="000000" w:themeColor="text1"/>
          <w:sz w:val="20"/>
          <w:szCs w:val="20"/>
          <w:lang w:val="en-US" w:eastAsia="en-US"/>
        </w:rPr>
        <w:t xml:space="preserve"> volume of funds come from or are sent to </w:t>
      </w:r>
      <w:r w:rsidR="00352DFE" w:rsidRPr="00892CA6">
        <w:rPr>
          <w:rFonts w:ascii="Verdana" w:eastAsiaTheme="minorHAnsi" w:hAnsi="Verdana" w:cstheme="minorHAnsi"/>
          <w:color w:val="000000" w:themeColor="text1"/>
          <w:sz w:val="20"/>
          <w:szCs w:val="20"/>
          <w:lang w:val="en-US" w:eastAsia="en-US"/>
        </w:rPr>
        <w:t xml:space="preserve">Jamaica, Philippines, Honduras and the United States, countries which are well represented in the expatriate community, </w:t>
      </w:r>
      <w:r w:rsidR="00C23C53" w:rsidRPr="00892CA6">
        <w:rPr>
          <w:rFonts w:ascii="Verdana" w:eastAsiaTheme="minorHAnsi" w:hAnsi="Verdana" w:cstheme="minorHAnsi"/>
          <w:color w:val="000000" w:themeColor="text1"/>
          <w:sz w:val="20"/>
          <w:szCs w:val="20"/>
          <w:lang w:val="en-US" w:eastAsia="en-US"/>
        </w:rPr>
        <w:t xml:space="preserve">does not </w:t>
      </w:r>
      <w:r w:rsidRPr="008A39DD">
        <w:rPr>
          <w:rFonts w:ascii="Verdana" w:eastAsiaTheme="minorHAnsi" w:hAnsi="Verdana" w:cstheme="minorHAnsi"/>
          <w:color w:val="000000" w:themeColor="text1"/>
          <w:sz w:val="20"/>
          <w:szCs w:val="20"/>
          <w:lang w:val="en-US" w:eastAsia="en-US"/>
        </w:rPr>
        <w:t>necessarily</w:t>
      </w:r>
      <w:r>
        <w:rPr>
          <w:rFonts w:ascii="Verdana" w:eastAsiaTheme="minorHAnsi" w:hAnsi="Verdana" w:cstheme="minorHAnsi"/>
          <w:color w:val="000000" w:themeColor="text1"/>
          <w:sz w:val="20"/>
          <w:szCs w:val="20"/>
          <w:lang w:val="en-US" w:eastAsia="en-US"/>
        </w:rPr>
        <w:t xml:space="preserve"> </w:t>
      </w:r>
      <w:r w:rsidR="00264221">
        <w:rPr>
          <w:rFonts w:ascii="Verdana" w:eastAsiaTheme="minorHAnsi" w:hAnsi="Verdana" w:cstheme="minorHAnsi"/>
          <w:color w:val="000000" w:themeColor="text1"/>
          <w:sz w:val="20"/>
          <w:szCs w:val="20"/>
          <w:lang w:val="en-US" w:eastAsia="en-US"/>
        </w:rPr>
        <w:t>imply</w:t>
      </w:r>
      <w:r w:rsidR="00C23C53" w:rsidRPr="00892CA6">
        <w:rPr>
          <w:rFonts w:ascii="Verdana" w:eastAsiaTheme="minorHAnsi" w:hAnsi="Verdana" w:cstheme="minorHAnsi"/>
          <w:color w:val="000000" w:themeColor="text1"/>
          <w:sz w:val="20"/>
          <w:szCs w:val="20"/>
          <w:lang w:val="en-US" w:eastAsia="en-US"/>
        </w:rPr>
        <w:t xml:space="preserve"> that there is no risk in these transactions</w:t>
      </w:r>
      <w:r w:rsidR="00352DFE" w:rsidRPr="00892CA6">
        <w:rPr>
          <w:rFonts w:ascii="Verdana" w:eastAsiaTheme="minorHAnsi" w:hAnsi="Verdana" w:cstheme="minorHAnsi"/>
          <w:color w:val="000000" w:themeColor="text1"/>
          <w:sz w:val="20"/>
          <w:szCs w:val="20"/>
          <w:lang w:val="en-US" w:eastAsia="en-US"/>
        </w:rPr>
        <w:t>.</w:t>
      </w:r>
      <w:r w:rsidR="00C23C53" w:rsidRPr="00892CA6">
        <w:rPr>
          <w:rFonts w:ascii="Verdana" w:eastAsiaTheme="minorHAnsi" w:hAnsi="Verdana" w:cstheme="minorHAnsi"/>
          <w:color w:val="000000" w:themeColor="text1"/>
          <w:sz w:val="20"/>
          <w:szCs w:val="20"/>
          <w:lang w:val="en-US" w:eastAsia="en-US"/>
        </w:rPr>
        <w:t xml:space="preserve"> </w:t>
      </w:r>
      <w:r w:rsidR="00352DFE" w:rsidRPr="00892CA6">
        <w:rPr>
          <w:rFonts w:ascii="Verdana" w:eastAsiaTheme="minorHAnsi" w:hAnsi="Verdana" w:cstheme="minorHAnsi"/>
          <w:color w:val="000000" w:themeColor="text1"/>
          <w:sz w:val="20"/>
          <w:szCs w:val="20"/>
          <w:lang w:val="en-US" w:eastAsia="en-US"/>
        </w:rPr>
        <w:t>H</w:t>
      </w:r>
      <w:r w:rsidR="00C23C53" w:rsidRPr="00892CA6">
        <w:rPr>
          <w:rFonts w:ascii="Verdana" w:eastAsiaTheme="minorHAnsi" w:hAnsi="Verdana" w:cstheme="minorHAnsi"/>
          <w:color w:val="000000" w:themeColor="text1"/>
          <w:sz w:val="20"/>
          <w:szCs w:val="20"/>
          <w:lang w:val="en-US" w:eastAsia="en-US"/>
        </w:rPr>
        <w:t xml:space="preserve">owever, </w:t>
      </w:r>
      <w:r w:rsidR="00264221">
        <w:rPr>
          <w:rFonts w:ascii="Verdana" w:eastAsiaTheme="minorHAnsi" w:hAnsi="Verdana" w:cstheme="minorHAnsi"/>
          <w:color w:val="000000" w:themeColor="text1"/>
          <w:sz w:val="20"/>
          <w:szCs w:val="20"/>
          <w:lang w:val="en-US" w:eastAsia="en-US"/>
        </w:rPr>
        <w:t xml:space="preserve">the </w:t>
      </w:r>
      <w:r w:rsidR="00C23C53" w:rsidRPr="00892CA6">
        <w:rPr>
          <w:rFonts w:ascii="Verdana" w:eastAsiaTheme="minorHAnsi" w:hAnsi="Verdana" w:cstheme="minorHAnsi"/>
          <w:color w:val="000000" w:themeColor="text1"/>
          <w:sz w:val="20"/>
          <w:szCs w:val="20"/>
          <w:lang w:val="en-US" w:eastAsia="en-US"/>
        </w:rPr>
        <w:t>Cayman Islands places reliance on the fact that these countries were positively assessed by the FATF</w:t>
      </w:r>
      <w:r w:rsidR="00352DFE" w:rsidRPr="00892CA6">
        <w:rPr>
          <w:rFonts w:ascii="Verdana" w:eastAsiaTheme="minorHAnsi" w:hAnsi="Verdana" w:cstheme="minorHAnsi"/>
          <w:color w:val="000000" w:themeColor="text1"/>
          <w:sz w:val="20"/>
          <w:szCs w:val="20"/>
          <w:lang w:val="en-US" w:eastAsia="en-US"/>
        </w:rPr>
        <w:t xml:space="preserve">, with the only concern being the Philippines which appears </w:t>
      </w:r>
      <w:r w:rsidR="009F3389">
        <w:rPr>
          <w:rFonts w:ascii="Verdana" w:eastAsiaTheme="minorHAnsi" w:hAnsi="Verdana" w:cstheme="minorHAnsi"/>
          <w:color w:val="000000" w:themeColor="text1"/>
          <w:sz w:val="20"/>
          <w:szCs w:val="20"/>
          <w:lang w:val="en-US" w:eastAsia="en-US"/>
        </w:rPr>
        <w:t>o</w:t>
      </w:r>
      <w:r w:rsidR="00352DFE" w:rsidRPr="00892CA6">
        <w:rPr>
          <w:rFonts w:ascii="Verdana" w:eastAsiaTheme="minorHAnsi" w:hAnsi="Verdana" w:cstheme="minorHAnsi"/>
          <w:color w:val="000000" w:themeColor="text1"/>
          <w:sz w:val="20"/>
          <w:szCs w:val="20"/>
          <w:lang w:val="en-US" w:eastAsia="en-US"/>
        </w:rPr>
        <w:t>n top 20 Global Terrorism Index</w:t>
      </w:r>
      <w:r w:rsidR="00C23C53" w:rsidRPr="00892CA6">
        <w:rPr>
          <w:rFonts w:ascii="Verdana" w:eastAsiaTheme="minorHAnsi" w:hAnsi="Verdana" w:cstheme="minorHAnsi"/>
          <w:color w:val="000000" w:themeColor="text1"/>
          <w:sz w:val="20"/>
          <w:szCs w:val="20"/>
          <w:lang w:val="en-US" w:eastAsia="en-US"/>
        </w:rPr>
        <w:t>.</w:t>
      </w:r>
      <w:r w:rsidR="0036213E" w:rsidRPr="00892CA6">
        <w:rPr>
          <w:rFonts w:ascii="Verdana" w:eastAsiaTheme="minorHAnsi" w:hAnsi="Verdana" w:cstheme="minorHAnsi"/>
          <w:color w:val="000000" w:themeColor="text1"/>
          <w:sz w:val="20"/>
          <w:szCs w:val="20"/>
          <w:lang w:val="en-US" w:eastAsia="en-US"/>
        </w:rPr>
        <w:t xml:space="preserve"> </w:t>
      </w:r>
      <w:r w:rsidR="00601594" w:rsidRPr="00892CA6">
        <w:rPr>
          <w:rFonts w:ascii="Verdana" w:eastAsiaTheme="minorHAnsi" w:hAnsi="Verdana" w:cstheme="minorHAnsi"/>
          <w:color w:val="000000" w:themeColor="text1"/>
          <w:sz w:val="20"/>
          <w:szCs w:val="20"/>
          <w:lang w:val="en-US" w:eastAsia="en-US"/>
        </w:rPr>
        <w:t xml:space="preserve">The </w:t>
      </w:r>
      <w:r w:rsidR="00352DFE" w:rsidRPr="00892CA6">
        <w:rPr>
          <w:rFonts w:ascii="Verdana" w:eastAsiaTheme="minorHAnsi" w:hAnsi="Verdana" w:cstheme="minorHAnsi"/>
          <w:color w:val="000000" w:themeColor="text1"/>
          <w:sz w:val="20"/>
          <w:szCs w:val="20"/>
          <w:lang w:val="en-US" w:eastAsia="en-US"/>
        </w:rPr>
        <w:t xml:space="preserve">positive correlation between </w:t>
      </w:r>
      <w:r w:rsidR="00D86FB9" w:rsidRPr="00892CA6">
        <w:rPr>
          <w:rFonts w:ascii="Verdana" w:eastAsiaTheme="minorHAnsi" w:hAnsi="Verdana" w:cstheme="minorHAnsi"/>
          <w:color w:val="000000" w:themeColor="text1"/>
          <w:sz w:val="20"/>
          <w:szCs w:val="20"/>
          <w:lang w:val="en-US" w:eastAsia="en-US"/>
        </w:rPr>
        <w:t xml:space="preserve">the geographic distribution of the customers’ nationalities and the remittances by country </w:t>
      </w:r>
      <w:r w:rsidR="00601594" w:rsidRPr="00892CA6">
        <w:rPr>
          <w:rFonts w:ascii="Verdana" w:eastAsiaTheme="minorHAnsi" w:hAnsi="Verdana" w:cstheme="minorHAnsi"/>
          <w:color w:val="000000" w:themeColor="text1"/>
          <w:sz w:val="20"/>
          <w:szCs w:val="20"/>
          <w:lang w:val="en-US" w:eastAsia="en-US"/>
        </w:rPr>
        <w:t xml:space="preserve">decrease this vulnerability for ML/TF </w:t>
      </w:r>
      <w:r w:rsidR="00264221">
        <w:rPr>
          <w:rFonts w:ascii="Verdana" w:eastAsiaTheme="minorHAnsi" w:hAnsi="Verdana" w:cstheme="minorHAnsi"/>
          <w:color w:val="000000" w:themeColor="text1"/>
          <w:sz w:val="20"/>
          <w:szCs w:val="20"/>
          <w:lang w:val="en-US" w:eastAsia="en-US"/>
        </w:rPr>
        <w:t>to an extent,</w:t>
      </w:r>
      <w:r w:rsidR="00264221" w:rsidRPr="00892CA6">
        <w:rPr>
          <w:rFonts w:ascii="Verdana" w:eastAsiaTheme="minorHAnsi" w:hAnsi="Verdana" w:cstheme="minorHAnsi"/>
          <w:color w:val="000000" w:themeColor="text1"/>
          <w:sz w:val="20"/>
          <w:szCs w:val="20"/>
          <w:lang w:val="en-US" w:eastAsia="en-US"/>
        </w:rPr>
        <w:t xml:space="preserve"> </w:t>
      </w:r>
      <w:r w:rsidR="00D86FB9" w:rsidRPr="00892CA6">
        <w:rPr>
          <w:rFonts w:ascii="Verdana" w:eastAsiaTheme="minorHAnsi" w:hAnsi="Verdana" w:cstheme="minorHAnsi"/>
          <w:color w:val="000000" w:themeColor="text1"/>
          <w:sz w:val="20"/>
          <w:szCs w:val="20"/>
          <w:lang w:val="en-US" w:eastAsia="en-US"/>
        </w:rPr>
        <w:t xml:space="preserve">as the foreign residents of the Cayman Islands </w:t>
      </w:r>
      <w:r w:rsidR="009F3389">
        <w:rPr>
          <w:rFonts w:ascii="Verdana" w:eastAsiaTheme="minorHAnsi" w:hAnsi="Verdana" w:cstheme="minorHAnsi"/>
          <w:color w:val="000000" w:themeColor="text1"/>
          <w:sz w:val="20"/>
          <w:szCs w:val="20"/>
          <w:lang w:val="en-US" w:eastAsia="en-US"/>
        </w:rPr>
        <w:t>generally</w:t>
      </w:r>
      <w:r w:rsidR="00D86FB9" w:rsidRPr="00892CA6">
        <w:rPr>
          <w:rFonts w:ascii="Verdana" w:eastAsiaTheme="minorHAnsi" w:hAnsi="Verdana" w:cstheme="minorHAnsi"/>
          <w:color w:val="000000" w:themeColor="text1"/>
          <w:sz w:val="20"/>
          <w:szCs w:val="20"/>
          <w:lang w:val="en-US" w:eastAsia="en-US"/>
        </w:rPr>
        <w:t xml:space="preserve"> maintain </w:t>
      </w:r>
      <w:r w:rsidR="009F3389">
        <w:rPr>
          <w:rFonts w:ascii="Verdana" w:eastAsiaTheme="minorHAnsi" w:hAnsi="Verdana" w:cstheme="minorHAnsi"/>
          <w:color w:val="000000" w:themeColor="text1"/>
          <w:sz w:val="20"/>
          <w:szCs w:val="20"/>
          <w:lang w:val="en-US" w:eastAsia="en-US"/>
        </w:rPr>
        <w:t xml:space="preserve">close </w:t>
      </w:r>
      <w:r w:rsidR="00D86FB9" w:rsidRPr="00892CA6">
        <w:rPr>
          <w:rFonts w:ascii="Verdana" w:eastAsiaTheme="minorHAnsi" w:hAnsi="Verdana" w:cstheme="minorHAnsi"/>
          <w:color w:val="000000" w:themeColor="text1"/>
          <w:sz w:val="20"/>
          <w:szCs w:val="20"/>
          <w:lang w:val="en-US" w:eastAsia="en-US"/>
        </w:rPr>
        <w:t>family ties with their countries of origin</w:t>
      </w:r>
      <w:r w:rsidR="00601594" w:rsidRPr="00892CA6">
        <w:rPr>
          <w:rFonts w:ascii="Verdana" w:eastAsiaTheme="minorHAnsi" w:hAnsi="Verdana" w:cstheme="minorHAnsi"/>
          <w:color w:val="000000" w:themeColor="text1"/>
          <w:sz w:val="20"/>
          <w:szCs w:val="20"/>
          <w:lang w:val="en-US" w:eastAsia="en-US"/>
        </w:rPr>
        <w:t xml:space="preserve">. For transactions, products and services, the assessment results in a medium-high risk rating for </w:t>
      </w:r>
      <w:r w:rsidR="00D86FB9" w:rsidRPr="00892CA6">
        <w:rPr>
          <w:rFonts w:ascii="Verdana" w:eastAsiaTheme="minorHAnsi" w:hAnsi="Verdana" w:cstheme="minorHAnsi"/>
          <w:color w:val="000000" w:themeColor="text1"/>
          <w:sz w:val="20"/>
          <w:szCs w:val="20"/>
          <w:lang w:val="en-US" w:eastAsia="en-US"/>
        </w:rPr>
        <w:t>the sector</w:t>
      </w:r>
      <w:r w:rsidR="00396C68" w:rsidRPr="00892CA6">
        <w:rPr>
          <w:rFonts w:ascii="Verdana" w:eastAsiaTheme="minorHAnsi" w:hAnsi="Verdana" w:cstheme="minorHAnsi"/>
          <w:color w:val="000000" w:themeColor="text1"/>
          <w:sz w:val="20"/>
          <w:szCs w:val="20"/>
          <w:lang w:val="en-US" w:eastAsia="en-US"/>
        </w:rPr>
        <w:t>.</w:t>
      </w:r>
    </w:p>
    <w:tbl>
      <w:tblPr>
        <w:tblStyle w:val="TableGrid"/>
        <w:tblW w:w="0" w:type="auto"/>
        <w:jc w:val="center"/>
        <w:tblLook w:val="04A0" w:firstRow="1" w:lastRow="0" w:firstColumn="1" w:lastColumn="0" w:noHBand="0" w:noVBand="1"/>
      </w:tblPr>
      <w:tblGrid>
        <w:gridCol w:w="3119"/>
        <w:gridCol w:w="2456"/>
      </w:tblGrid>
      <w:tr w:rsidR="0036213E" w:rsidRPr="001D0A24" w14:paraId="0308352A" w14:textId="77777777" w:rsidTr="00AC399A">
        <w:trPr>
          <w:jc w:val="center"/>
        </w:trPr>
        <w:tc>
          <w:tcPr>
            <w:tcW w:w="3119" w:type="dxa"/>
          </w:tcPr>
          <w:p w14:paraId="0719E654" w14:textId="25C1083A" w:rsidR="0036213E" w:rsidRPr="00892CA6" w:rsidRDefault="00D86FB9" w:rsidP="00AC399A">
            <w:pPr>
              <w:spacing w:before="100" w:beforeAutospacing="1" w:after="100" w:afterAutospacing="1"/>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factor</w:t>
            </w:r>
          </w:p>
        </w:tc>
        <w:tc>
          <w:tcPr>
            <w:tcW w:w="2456" w:type="dxa"/>
          </w:tcPr>
          <w:p w14:paraId="07A5E9D5" w14:textId="7965602D" w:rsidR="0036213E" w:rsidRPr="00892CA6" w:rsidRDefault="00D86FB9" w:rsidP="00AC399A">
            <w:pPr>
              <w:spacing w:before="100" w:beforeAutospacing="1" w:after="100" w:afterAutospacing="1"/>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 xml:space="preserve">Risk rating </w:t>
            </w:r>
          </w:p>
        </w:tc>
      </w:tr>
      <w:tr w:rsidR="0036213E" w:rsidRPr="001D0A24" w14:paraId="6ED8C2CA" w14:textId="77777777" w:rsidTr="00AC399A">
        <w:trPr>
          <w:jc w:val="center"/>
        </w:trPr>
        <w:tc>
          <w:tcPr>
            <w:tcW w:w="3119" w:type="dxa"/>
            <w:shd w:val="clear" w:color="auto" w:fill="auto"/>
          </w:tcPr>
          <w:p w14:paraId="6DBC1676" w14:textId="412786A6" w:rsidR="0036213E" w:rsidRPr="00892CA6" w:rsidRDefault="0036213E" w:rsidP="00396C6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Transactions</w:t>
            </w:r>
          </w:p>
        </w:tc>
        <w:tc>
          <w:tcPr>
            <w:tcW w:w="2456" w:type="dxa"/>
            <w:shd w:val="clear" w:color="auto" w:fill="FFC000"/>
          </w:tcPr>
          <w:p w14:paraId="63B69757" w14:textId="24656227" w:rsidR="0036213E" w:rsidRPr="00892CA6" w:rsidRDefault="00D86FB9" w:rsidP="00396C6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shd w:val="clear" w:color="auto" w:fill="FFC000"/>
                <w:lang w:val="en-US" w:eastAsia="en-GB"/>
              </w:rPr>
              <w:t>Medium-high</w:t>
            </w:r>
          </w:p>
        </w:tc>
      </w:tr>
      <w:tr w:rsidR="0036213E" w:rsidRPr="001D0A24" w14:paraId="64722F96" w14:textId="77777777" w:rsidTr="00AC399A">
        <w:trPr>
          <w:trHeight w:val="57"/>
          <w:jc w:val="center"/>
        </w:trPr>
        <w:tc>
          <w:tcPr>
            <w:tcW w:w="3119" w:type="dxa"/>
            <w:shd w:val="clear" w:color="auto" w:fill="auto"/>
          </w:tcPr>
          <w:p w14:paraId="0CB5A597" w14:textId="60732F75" w:rsidR="0036213E" w:rsidRPr="00892CA6" w:rsidRDefault="0036213E" w:rsidP="00396C6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 xml:space="preserve">Products and </w:t>
            </w:r>
            <w:r w:rsidR="00F42DFE" w:rsidRPr="00892CA6">
              <w:rPr>
                <w:rFonts w:ascii="Verdana" w:eastAsia="Times New Roman" w:hAnsi="Verdana" w:cstheme="minorHAnsi"/>
                <w:color w:val="191919"/>
                <w:sz w:val="20"/>
                <w:szCs w:val="20"/>
                <w:lang w:val="en-US" w:eastAsia="en-GB"/>
              </w:rPr>
              <w:t>Services</w:t>
            </w:r>
          </w:p>
        </w:tc>
        <w:tc>
          <w:tcPr>
            <w:tcW w:w="2456" w:type="dxa"/>
            <w:shd w:val="clear" w:color="auto" w:fill="00B050"/>
          </w:tcPr>
          <w:p w14:paraId="2F9E3C0B" w14:textId="502B1C1A" w:rsidR="0036213E" w:rsidRPr="00892CA6" w:rsidRDefault="00D86FB9" w:rsidP="00396C68">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shd w:val="clear" w:color="auto" w:fill="00B050"/>
                <w:lang w:val="en-US" w:eastAsia="en-GB"/>
              </w:rPr>
              <w:t>low</w:t>
            </w:r>
          </w:p>
        </w:tc>
      </w:tr>
      <w:tr w:rsidR="00D86FB9" w:rsidRPr="001D0A24" w14:paraId="3DBB049C" w14:textId="77777777" w:rsidTr="00AC399A">
        <w:trPr>
          <w:trHeight w:val="57"/>
          <w:jc w:val="center"/>
        </w:trPr>
        <w:tc>
          <w:tcPr>
            <w:tcW w:w="3119" w:type="dxa"/>
            <w:shd w:val="clear" w:color="auto" w:fill="auto"/>
          </w:tcPr>
          <w:p w14:paraId="311FDD6C" w14:textId="64EF17DB" w:rsidR="00D86FB9" w:rsidRPr="00892CA6" w:rsidRDefault="00DE35F7" w:rsidP="00396C68">
            <w:pPr>
              <w:spacing w:before="100" w:beforeAutospacing="1" w:after="100" w:afterAutospacing="1"/>
              <w:jc w:val="both"/>
              <w:rPr>
                <w:rFonts w:ascii="Verdana" w:eastAsia="Times New Roman" w:hAnsi="Verdana" w:cstheme="minorHAnsi"/>
                <w:color w:val="191919"/>
                <w:sz w:val="20"/>
                <w:szCs w:val="20"/>
                <w:lang w:val="en-US" w:eastAsia="en-GB"/>
              </w:rPr>
            </w:pPr>
            <w:r>
              <w:rPr>
                <w:rFonts w:ascii="Verdana" w:eastAsia="Times New Roman" w:hAnsi="Verdana" w:cstheme="minorHAnsi"/>
                <w:color w:val="191919"/>
                <w:sz w:val="20"/>
                <w:szCs w:val="20"/>
                <w:lang w:val="en-US" w:eastAsia="en-GB"/>
              </w:rPr>
              <w:t>Overall</w:t>
            </w:r>
            <w:r w:rsidRPr="00892CA6">
              <w:rPr>
                <w:rFonts w:ascii="Verdana" w:eastAsia="Times New Roman" w:hAnsi="Verdana" w:cstheme="minorHAnsi"/>
                <w:color w:val="191919"/>
                <w:sz w:val="20"/>
                <w:szCs w:val="20"/>
                <w:lang w:val="en-US" w:eastAsia="en-GB"/>
              </w:rPr>
              <w:t xml:space="preserve"> </w:t>
            </w:r>
            <w:r w:rsidR="00D86FB9" w:rsidRPr="00892CA6">
              <w:rPr>
                <w:rFonts w:ascii="Verdana" w:eastAsia="Times New Roman" w:hAnsi="Verdana" w:cstheme="minorHAnsi"/>
                <w:color w:val="191919"/>
                <w:sz w:val="20"/>
                <w:szCs w:val="20"/>
                <w:lang w:val="en-US" w:eastAsia="en-GB"/>
              </w:rPr>
              <w:t>for Transactions, Products and Services</w:t>
            </w:r>
          </w:p>
        </w:tc>
        <w:tc>
          <w:tcPr>
            <w:tcW w:w="2456" w:type="dxa"/>
            <w:shd w:val="clear" w:color="auto" w:fill="FFFF00"/>
          </w:tcPr>
          <w:p w14:paraId="2E7E48C9" w14:textId="0E513DB7" w:rsidR="00D86FB9" w:rsidRPr="00892CA6" w:rsidRDefault="00D86FB9" w:rsidP="00396C68">
            <w:pPr>
              <w:spacing w:before="100" w:beforeAutospacing="1" w:after="100" w:afterAutospacing="1"/>
              <w:jc w:val="both"/>
              <w:rPr>
                <w:rFonts w:ascii="Verdana" w:eastAsia="Times New Roman" w:hAnsi="Verdana" w:cstheme="minorHAnsi"/>
                <w:color w:val="000000" w:themeColor="text1"/>
                <w:sz w:val="20"/>
                <w:szCs w:val="20"/>
                <w:highlight w:val="red"/>
                <w:lang w:val="en-US" w:eastAsia="en-GB"/>
              </w:rPr>
            </w:pPr>
            <w:r w:rsidRPr="00892CA6">
              <w:rPr>
                <w:rFonts w:ascii="Verdana" w:eastAsia="Times New Roman" w:hAnsi="Verdana" w:cstheme="minorHAnsi"/>
                <w:color w:val="191919"/>
                <w:sz w:val="20"/>
                <w:szCs w:val="20"/>
                <w:lang w:val="en-US" w:eastAsia="en-GB"/>
              </w:rPr>
              <w:t>Medium -low</w:t>
            </w:r>
          </w:p>
        </w:tc>
      </w:tr>
    </w:tbl>
    <w:p w14:paraId="3074EDDB" w14:textId="7AA16AF3" w:rsidR="00C30705" w:rsidRDefault="00C30705" w:rsidP="009A5938">
      <w:pPr>
        <w:jc w:val="both"/>
        <w:rPr>
          <w:rFonts w:ascii="Verdana" w:hAnsi="Verdana" w:cstheme="minorHAnsi"/>
          <w:sz w:val="20"/>
          <w:szCs w:val="20"/>
          <w:lang w:val="en-US"/>
        </w:rPr>
      </w:pPr>
    </w:p>
    <w:p w14:paraId="1D90ED4E" w14:textId="0FF16A0E" w:rsidR="00A22A13" w:rsidRDefault="00A22A13" w:rsidP="00A22A13">
      <w:pPr>
        <w:pStyle w:val="Heading2"/>
        <w:numPr>
          <w:ilvl w:val="0"/>
          <w:numId w:val="3"/>
        </w:numPr>
        <w:spacing w:line="276" w:lineRule="auto"/>
        <w:ind w:left="0" w:right="-6" w:firstLine="0"/>
        <w:jc w:val="both"/>
        <w:rPr>
          <w:rFonts w:ascii="Verdana" w:hAnsi="Verdana" w:cstheme="minorHAnsi"/>
          <w:sz w:val="20"/>
          <w:szCs w:val="20"/>
          <w:lang w:val="en-US"/>
        </w:rPr>
      </w:pPr>
      <w:r w:rsidRPr="00195F06">
        <w:rPr>
          <w:rFonts w:ascii="Verdana" w:hAnsi="Verdana" w:cstheme="minorHAnsi"/>
          <w:sz w:val="20"/>
          <w:szCs w:val="20"/>
          <w:lang w:val="en-US"/>
        </w:rPr>
        <w:t>As a means of reducing risk associated with the customers</w:t>
      </w:r>
      <w:r>
        <w:rPr>
          <w:rFonts w:ascii="Verdana" w:hAnsi="Verdana" w:cstheme="minorHAnsi"/>
          <w:sz w:val="20"/>
          <w:szCs w:val="20"/>
          <w:lang w:val="en-US"/>
        </w:rPr>
        <w:t xml:space="preserve"> transactions, CIMA </w:t>
      </w:r>
      <w:r w:rsidR="002802A0">
        <w:rPr>
          <w:rFonts w:ascii="Verdana" w:eastAsiaTheme="minorHAnsi" w:hAnsi="Verdana" w:cstheme="minorHAnsi"/>
          <w:color w:val="000000" w:themeColor="text1"/>
          <w:sz w:val="20"/>
          <w:szCs w:val="20"/>
          <w:lang w:val="en-US" w:eastAsia="en-US"/>
        </w:rPr>
        <w:t>has been incorporating some of the procedures below in its inspections, however, CIMA will formalize its onsite inspections procedures specifically for MSBs in its next revision</w:t>
      </w:r>
      <w:r w:rsidR="002802A0">
        <w:rPr>
          <w:rFonts w:ascii="Verdana" w:hAnsi="Verdana" w:cstheme="minorHAnsi"/>
          <w:sz w:val="20"/>
          <w:szCs w:val="20"/>
          <w:lang w:val="en-US"/>
        </w:rPr>
        <w:t xml:space="preserve"> </w:t>
      </w:r>
      <w:bookmarkStart w:id="0" w:name="_GoBack"/>
      <w:bookmarkEnd w:id="0"/>
      <w:r>
        <w:rPr>
          <w:rFonts w:ascii="Verdana" w:hAnsi="Verdana" w:cstheme="minorHAnsi"/>
          <w:sz w:val="20"/>
          <w:szCs w:val="20"/>
          <w:lang w:val="en-US"/>
        </w:rPr>
        <w:t>to focus on</w:t>
      </w:r>
      <w:r w:rsidR="00AA708D">
        <w:rPr>
          <w:rFonts w:ascii="Verdana" w:hAnsi="Verdana" w:cstheme="minorHAnsi"/>
          <w:sz w:val="20"/>
          <w:szCs w:val="20"/>
          <w:lang w:val="en-US"/>
        </w:rPr>
        <w:t xml:space="preserve"> high risk transactions such as</w:t>
      </w:r>
      <w:r>
        <w:rPr>
          <w:rFonts w:ascii="Verdana" w:hAnsi="Verdana" w:cstheme="minorHAnsi"/>
          <w:sz w:val="20"/>
          <w:szCs w:val="20"/>
          <w:lang w:val="en-US"/>
        </w:rPr>
        <w:t>:</w:t>
      </w:r>
    </w:p>
    <w:p w14:paraId="3E1CA7F0" w14:textId="62883852" w:rsidR="00A22A13" w:rsidRDefault="00A22A13" w:rsidP="00195F06">
      <w:pPr>
        <w:pStyle w:val="Heading2"/>
        <w:numPr>
          <w:ilvl w:val="0"/>
          <w:numId w:val="29"/>
        </w:numPr>
        <w:contextualSpacing/>
        <w:jc w:val="both"/>
        <w:rPr>
          <w:rFonts w:ascii="Verdana" w:hAnsi="Verdana" w:cstheme="minorHAnsi"/>
          <w:sz w:val="20"/>
          <w:szCs w:val="20"/>
          <w:lang w:val="en-US"/>
        </w:rPr>
      </w:pPr>
      <w:r>
        <w:rPr>
          <w:rFonts w:ascii="Verdana" w:hAnsi="Verdana" w:cstheme="minorHAnsi"/>
          <w:sz w:val="20"/>
          <w:szCs w:val="20"/>
          <w:lang w:val="en-US"/>
        </w:rPr>
        <w:t>remittances above the CDD threshold;</w:t>
      </w:r>
    </w:p>
    <w:p w14:paraId="3BD97AB7" w14:textId="6E8EA5E8" w:rsidR="00A22A13" w:rsidRDefault="00A22A13" w:rsidP="00A22A13">
      <w:pPr>
        <w:pStyle w:val="Heading2"/>
        <w:numPr>
          <w:ilvl w:val="0"/>
          <w:numId w:val="29"/>
        </w:numPr>
        <w:contextualSpacing/>
        <w:jc w:val="both"/>
        <w:rPr>
          <w:rFonts w:ascii="Verdana" w:hAnsi="Verdana" w:cstheme="minorHAnsi"/>
          <w:sz w:val="20"/>
          <w:szCs w:val="20"/>
          <w:lang w:val="en-US"/>
        </w:rPr>
      </w:pPr>
      <w:r>
        <w:rPr>
          <w:rFonts w:ascii="Verdana" w:hAnsi="Verdana" w:cstheme="minorHAnsi"/>
          <w:sz w:val="20"/>
          <w:szCs w:val="20"/>
          <w:lang w:val="en-US"/>
        </w:rPr>
        <w:t>remittances that appear structured in an apparent attempt to break up the amounts to stay under the CDD threshold;</w:t>
      </w:r>
    </w:p>
    <w:p w14:paraId="717F976F" w14:textId="4D4CDBB6" w:rsidR="00A22A13" w:rsidRDefault="00A22A13" w:rsidP="00A22A13">
      <w:pPr>
        <w:pStyle w:val="Heading2"/>
        <w:numPr>
          <w:ilvl w:val="0"/>
          <w:numId w:val="29"/>
        </w:numPr>
        <w:contextualSpacing/>
        <w:jc w:val="both"/>
        <w:rPr>
          <w:rFonts w:ascii="Verdana" w:hAnsi="Verdana" w:cstheme="minorHAnsi"/>
          <w:sz w:val="20"/>
          <w:szCs w:val="20"/>
          <w:lang w:val="en-US"/>
        </w:rPr>
      </w:pPr>
      <w:r>
        <w:rPr>
          <w:rFonts w:ascii="Verdana" w:hAnsi="Verdana" w:cstheme="minorHAnsi"/>
          <w:sz w:val="20"/>
          <w:szCs w:val="20"/>
          <w:lang w:val="en-US"/>
        </w:rPr>
        <w:t xml:space="preserve">remittances </w:t>
      </w:r>
      <w:r w:rsidR="00AA708D">
        <w:rPr>
          <w:rFonts w:ascii="Verdana" w:hAnsi="Verdana" w:cstheme="minorHAnsi"/>
          <w:sz w:val="20"/>
          <w:szCs w:val="20"/>
          <w:lang w:val="en-US"/>
        </w:rPr>
        <w:t>inconsistent with the financial standing or occupation of the customer;</w:t>
      </w:r>
    </w:p>
    <w:p w14:paraId="1895BA93" w14:textId="136C4646" w:rsidR="00AA708D" w:rsidRDefault="00AA708D" w:rsidP="00A22A13">
      <w:pPr>
        <w:pStyle w:val="Heading2"/>
        <w:numPr>
          <w:ilvl w:val="0"/>
          <w:numId w:val="29"/>
        </w:numPr>
        <w:contextualSpacing/>
        <w:jc w:val="both"/>
        <w:rPr>
          <w:rFonts w:ascii="Verdana" w:hAnsi="Verdana" w:cstheme="minorHAnsi"/>
          <w:sz w:val="20"/>
          <w:szCs w:val="20"/>
          <w:lang w:val="en-US"/>
        </w:rPr>
      </w:pPr>
      <w:r>
        <w:rPr>
          <w:rFonts w:ascii="Verdana" w:hAnsi="Verdana" w:cstheme="minorHAnsi"/>
          <w:sz w:val="20"/>
          <w:szCs w:val="20"/>
          <w:lang w:val="en-US"/>
        </w:rPr>
        <w:t>remittances to high risk jurisdictions; and</w:t>
      </w:r>
    </w:p>
    <w:p w14:paraId="3BD09C0F" w14:textId="06C77E5D" w:rsidR="00AA708D" w:rsidRPr="00892CA6" w:rsidRDefault="00AA708D" w:rsidP="00195F06">
      <w:pPr>
        <w:pStyle w:val="Heading2"/>
        <w:numPr>
          <w:ilvl w:val="0"/>
          <w:numId w:val="29"/>
        </w:numPr>
        <w:contextualSpacing/>
        <w:jc w:val="both"/>
        <w:rPr>
          <w:rFonts w:ascii="Verdana" w:hAnsi="Verdana" w:cstheme="minorHAnsi"/>
          <w:sz w:val="20"/>
          <w:szCs w:val="20"/>
          <w:lang w:val="en-US"/>
        </w:rPr>
      </w:pPr>
      <w:r>
        <w:rPr>
          <w:rFonts w:ascii="Verdana" w:hAnsi="Verdana" w:cstheme="minorHAnsi"/>
          <w:sz w:val="20"/>
          <w:szCs w:val="20"/>
          <w:lang w:val="en-US"/>
        </w:rPr>
        <w:t>any other high-risk transactions detected during transactional monitoring by each MSB.</w:t>
      </w:r>
    </w:p>
    <w:p w14:paraId="2D4601D5" w14:textId="20E1EA63" w:rsidR="00CE4975" w:rsidRPr="00892CA6" w:rsidRDefault="00396C68" w:rsidP="004E5F89">
      <w:pPr>
        <w:pStyle w:val="Heading2"/>
        <w:numPr>
          <w:ilvl w:val="0"/>
          <w:numId w:val="0"/>
        </w:numPr>
        <w:rPr>
          <w:rFonts w:ascii="Verdana" w:eastAsia="Times New Roman" w:hAnsi="Verdana" w:cstheme="minorHAnsi"/>
          <w:b/>
          <w:bCs/>
          <w:sz w:val="20"/>
          <w:szCs w:val="20"/>
          <w:lang w:val="en-US"/>
        </w:rPr>
      </w:pPr>
      <w:r w:rsidRPr="00892CA6">
        <w:rPr>
          <w:rFonts w:ascii="Verdana" w:eastAsia="Times New Roman" w:hAnsi="Verdana" w:cstheme="minorHAnsi"/>
          <w:b/>
          <w:bCs/>
          <w:sz w:val="20"/>
          <w:szCs w:val="20"/>
          <w:lang w:val="en-US"/>
        </w:rPr>
        <w:t xml:space="preserve">Risk Category </w:t>
      </w:r>
      <w:r w:rsidR="00AC399A" w:rsidRPr="00892CA6">
        <w:rPr>
          <w:rFonts w:ascii="Verdana" w:eastAsia="Times New Roman" w:hAnsi="Verdana" w:cstheme="minorHAnsi"/>
          <w:b/>
          <w:bCs/>
          <w:sz w:val="20"/>
          <w:szCs w:val="20"/>
          <w:lang w:val="en-US"/>
        </w:rPr>
        <w:t xml:space="preserve">- </w:t>
      </w:r>
      <w:r w:rsidR="00CE4975" w:rsidRPr="00892CA6">
        <w:rPr>
          <w:rFonts w:ascii="Verdana" w:eastAsia="Times New Roman" w:hAnsi="Verdana" w:cstheme="minorHAnsi"/>
          <w:b/>
          <w:bCs/>
          <w:sz w:val="20"/>
          <w:szCs w:val="20"/>
          <w:lang w:val="en-US"/>
        </w:rPr>
        <w:t xml:space="preserve">Delivery </w:t>
      </w:r>
      <w:r w:rsidRPr="00892CA6">
        <w:rPr>
          <w:rFonts w:ascii="Verdana" w:eastAsia="Times New Roman" w:hAnsi="Verdana" w:cstheme="minorHAnsi"/>
          <w:b/>
          <w:bCs/>
          <w:sz w:val="20"/>
          <w:szCs w:val="20"/>
          <w:lang w:val="en-US"/>
        </w:rPr>
        <w:t>C</w:t>
      </w:r>
      <w:r w:rsidR="00CE4975" w:rsidRPr="00892CA6">
        <w:rPr>
          <w:rFonts w:ascii="Verdana" w:eastAsia="Times New Roman" w:hAnsi="Verdana" w:cstheme="minorHAnsi"/>
          <w:b/>
          <w:bCs/>
          <w:sz w:val="20"/>
          <w:szCs w:val="20"/>
          <w:lang w:val="en-US"/>
        </w:rPr>
        <w:t>hannel</w:t>
      </w:r>
      <w:r w:rsidR="00E72460" w:rsidRPr="00892CA6">
        <w:rPr>
          <w:rFonts w:ascii="Verdana" w:eastAsia="Times New Roman" w:hAnsi="Verdana" w:cstheme="minorHAnsi"/>
          <w:b/>
          <w:bCs/>
          <w:sz w:val="20"/>
          <w:szCs w:val="20"/>
          <w:lang w:val="en-US"/>
        </w:rPr>
        <w:t>s</w:t>
      </w:r>
      <w:r w:rsidR="00CE4975" w:rsidRPr="00892CA6">
        <w:rPr>
          <w:rFonts w:ascii="Verdana" w:eastAsia="Times New Roman" w:hAnsi="Verdana" w:cstheme="minorHAnsi"/>
          <w:b/>
          <w:bCs/>
          <w:sz w:val="20"/>
          <w:szCs w:val="20"/>
          <w:lang w:val="en-US"/>
        </w:rPr>
        <w:t xml:space="preserve"> </w:t>
      </w:r>
      <w:r w:rsidR="005F690E" w:rsidRPr="00892CA6">
        <w:rPr>
          <w:rFonts w:ascii="Verdana" w:eastAsia="Times New Roman" w:hAnsi="Verdana" w:cstheme="minorHAnsi"/>
          <w:b/>
          <w:bCs/>
          <w:sz w:val="20"/>
          <w:szCs w:val="20"/>
          <w:lang w:val="en-US"/>
        </w:rPr>
        <w:t>/agent risk</w:t>
      </w:r>
    </w:p>
    <w:p w14:paraId="5C828AE6" w14:textId="6A60B652" w:rsidR="00D947A9" w:rsidRPr="00892CA6" w:rsidRDefault="00EA1E0B"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hAnsi="Verdana" w:cstheme="minorHAnsi"/>
          <w:sz w:val="20"/>
          <w:szCs w:val="20"/>
          <w:lang w:val="en-US"/>
        </w:rPr>
        <w:t xml:space="preserve">No MSB </w:t>
      </w:r>
      <w:r w:rsidR="004E7383" w:rsidRPr="00892CA6">
        <w:rPr>
          <w:rFonts w:ascii="Verdana" w:hAnsi="Verdana" w:cstheme="minorHAnsi"/>
          <w:sz w:val="20"/>
          <w:szCs w:val="20"/>
          <w:lang w:val="en-US"/>
        </w:rPr>
        <w:t xml:space="preserve">licensee </w:t>
      </w:r>
      <w:r w:rsidR="00E72460" w:rsidRPr="00892CA6">
        <w:rPr>
          <w:rFonts w:ascii="Verdana" w:eastAsiaTheme="minorHAnsi" w:hAnsi="Verdana" w:cstheme="minorHAnsi"/>
          <w:color w:val="000000" w:themeColor="text1"/>
          <w:sz w:val="20"/>
          <w:szCs w:val="20"/>
          <w:lang w:val="en-US" w:eastAsia="en-US"/>
        </w:rPr>
        <w:t xml:space="preserve">indicated </w:t>
      </w:r>
      <w:r w:rsidR="00601594" w:rsidRPr="00892CA6">
        <w:rPr>
          <w:rFonts w:ascii="Verdana" w:eastAsiaTheme="minorHAnsi" w:hAnsi="Verdana" w:cstheme="minorHAnsi"/>
          <w:color w:val="000000" w:themeColor="text1"/>
          <w:sz w:val="20"/>
          <w:szCs w:val="20"/>
          <w:lang w:val="en-US" w:eastAsia="en-US"/>
        </w:rPr>
        <w:t xml:space="preserve">that they </w:t>
      </w:r>
      <w:r w:rsidR="00E72460" w:rsidRPr="00892CA6">
        <w:rPr>
          <w:rFonts w:ascii="Verdana" w:eastAsiaTheme="minorHAnsi" w:hAnsi="Verdana" w:cstheme="minorHAnsi"/>
          <w:color w:val="000000" w:themeColor="text1"/>
          <w:sz w:val="20"/>
          <w:szCs w:val="20"/>
          <w:lang w:val="en-US" w:eastAsia="en-US"/>
        </w:rPr>
        <w:t>onboard</w:t>
      </w:r>
      <w:r w:rsidR="00D947A9" w:rsidRPr="00892CA6">
        <w:rPr>
          <w:rFonts w:ascii="Verdana" w:eastAsiaTheme="minorHAnsi" w:hAnsi="Verdana" w:cstheme="minorHAnsi"/>
          <w:color w:val="000000" w:themeColor="text1"/>
          <w:sz w:val="20"/>
          <w:szCs w:val="20"/>
          <w:lang w:val="en-US" w:eastAsia="en-US"/>
        </w:rPr>
        <w:t xml:space="preserve"> clients via an online platform.</w:t>
      </w:r>
      <w:r w:rsidR="00E72460" w:rsidRPr="00892CA6">
        <w:rPr>
          <w:rFonts w:ascii="Verdana" w:eastAsiaTheme="minorHAnsi" w:hAnsi="Verdana" w:cstheme="minorHAnsi"/>
          <w:color w:val="000000" w:themeColor="text1"/>
          <w:sz w:val="20"/>
          <w:szCs w:val="20"/>
          <w:lang w:val="en-US" w:eastAsia="en-US"/>
        </w:rPr>
        <w:t xml:space="preserve"> </w:t>
      </w:r>
      <w:r w:rsidR="004E7383" w:rsidRPr="00892CA6">
        <w:rPr>
          <w:rFonts w:ascii="Verdana" w:eastAsiaTheme="minorHAnsi" w:hAnsi="Verdana" w:cstheme="minorHAnsi"/>
          <w:color w:val="000000" w:themeColor="text1"/>
          <w:sz w:val="20"/>
          <w:szCs w:val="20"/>
          <w:lang w:val="en-US" w:eastAsia="en-US"/>
        </w:rPr>
        <w:t xml:space="preserve">All customers are interacted with </w:t>
      </w:r>
      <w:r w:rsidR="00D947A9" w:rsidRPr="00892CA6">
        <w:rPr>
          <w:rFonts w:ascii="Verdana" w:eastAsiaTheme="minorHAnsi" w:hAnsi="Verdana" w:cstheme="minorHAnsi"/>
          <w:color w:val="000000" w:themeColor="text1"/>
          <w:sz w:val="20"/>
          <w:szCs w:val="20"/>
          <w:lang w:val="en-US" w:eastAsia="en-US"/>
        </w:rPr>
        <w:t>face</w:t>
      </w:r>
      <w:r w:rsidR="003260DF" w:rsidRPr="00892CA6">
        <w:rPr>
          <w:rFonts w:ascii="Verdana" w:eastAsiaTheme="minorHAnsi" w:hAnsi="Verdana" w:cstheme="minorHAnsi"/>
          <w:color w:val="000000" w:themeColor="text1"/>
          <w:sz w:val="20"/>
          <w:szCs w:val="20"/>
          <w:lang w:val="en-US" w:eastAsia="en-US"/>
        </w:rPr>
        <w:t>-</w:t>
      </w:r>
      <w:r w:rsidR="00D947A9" w:rsidRPr="00892CA6">
        <w:rPr>
          <w:rFonts w:ascii="Verdana" w:eastAsiaTheme="minorHAnsi" w:hAnsi="Verdana" w:cstheme="minorHAnsi"/>
          <w:color w:val="000000" w:themeColor="text1"/>
          <w:sz w:val="20"/>
          <w:szCs w:val="20"/>
          <w:lang w:val="en-US" w:eastAsia="en-US"/>
        </w:rPr>
        <w:t>to</w:t>
      </w:r>
      <w:r w:rsidR="003260DF" w:rsidRPr="00892CA6">
        <w:rPr>
          <w:rFonts w:ascii="Verdana" w:eastAsiaTheme="minorHAnsi" w:hAnsi="Verdana" w:cstheme="minorHAnsi"/>
          <w:color w:val="000000" w:themeColor="text1"/>
          <w:sz w:val="20"/>
          <w:szCs w:val="20"/>
          <w:lang w:val="en-US" w:eastAsia="en-US"/>
        </w:rPr>
        <w:t>-</w:t>
      </w:r>
      <w:r w:rsidR="00D947A9" w:rsidRPr="00892CA6">
        <w:rPr>
          <w:rFonts w:ascii="Verdana" w:eastAsiaTheme="minorHAnsi" w:hAnsi="Verdana" w:cstheme="minorHAnsi"/>
          <w:color w:val="000000" w:themeColor="text1"/>
          <w:sz w:val="20"/>
          <w:szCs w:val="20"/>
          <w:lang w:val="en-US" w:eastAsia="en-US"/>
        </w:rPr>
        <w:t>fac</w:t>
      </w:r>
      <w:r w:rsidR="00E72460" w:rsidRPr="00892CA6">
        <w:rPr>
          <w:rFonts w:ascii="Verdana" w:eastAsiaTheme="minorHAnsi" w:hAnsi="Verdana" w:cstheme="minorHAnsi"/>
          <w:color w:val="000000" w:themeColor="text1"/>
          <w:sz w:val="20"/>
          <w:szCs w:val="20"/>
          <w:lang w:val="en-US" w:eastAsia="en-US"/>
        </w:rPr>
        <w:t>e</w:t>
      </w:r>
      <w:r w:rsidR="003260DF" w:rsidRPr="00892CA6">
        <w:rPr>
          <w:rFonts w:ascii="Verdana" w:eastAsiaTheme="minorHAnsi" w:hAnsi="Verdana" w:cstheme="minorHAnsi"/>
          <w:color w:val="000000" w:themeColor="text1"/>
          <w:sz w:val="20"/>
          <w:szCs w:val="20"/>
          <w:lang w:val="en-US" w:eastAsia="en-US"/>
        </w:rPr>
        <w:t>.</w:t>
      </w:r>
    </w:p>
    <w:p w14:paraId="09D0D100" w14:textId="3C4BE8BA" w:rsidR="00DC0809" w:rsidRPr="00892CA6" w:rsidRDefault="00DC0809"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hAnsi="Verdana" w:cstheme="minorHAnsi"/>
          <w:sz w:val="20"/>
          <w:szCs w:val="20"/>
          <w:lang w:val="en-US"/>
        </w:rPr>
        <w:t xml:space="preserve">In total, the three (3) MSB licensees </w:t>
      </w:r>
      <w:r w:rsidR="00664751" w:rsidRPr="00892CA6">
        <w:rPr>
          <w:rFonts w:ascii="Verdana" w:hAnsi="Verdana" w:cstheme="minorHAnsi"/>
          <w:sz w:val="20"/>
          <w:szCs w:val="20"/>
          <w:lang w:val="en-US"/>
        </w:rPr>
        <w:t>operate their businesses through twelve (12) domestic agents. The total number of domestic branches is seven (7).</w:t>
      </w:r>
      <w:r w:rsidR="005C0115">
        <w:rPr>
          <w:rFonts w:ascii="Verdana" w:hAnsi="Verdana" w:cstheme="minorHAnsi"/>
          <w:sz w:val="20"/>
          <w:szCs w:val="20"/>
          <w:lang w:val="en-US"/>
        </w:rPr>
        <w:t xml:space="preserve"> </w:t>
      </w:r>
    </w:p>
    <w:p w14:paraId="779FC613" w14:textId="494FFE1B" w:rsidR="00664751" w:rsidRPr="00195F06" w:rsidRDefault="00664751">
      <w:pPr>
        <w:pStyle w:val="Heading2"/>
        <w:numPr>
          <w:ilvl w:val="0"/>
          <w:numId w:val="3"/>
        </w:numPr>
        <w:spacing w:line="276" w:lineRule="auto"/>
        <w:ind w:left="0" w:right="-6" w:firstLine="0"/>
        <w:jc w:val="both"/>
        <w:rPr>
          <w:rFonts w:ascii="Verdana" w:hAnsi="Verdana" w:cstheme="minorHAnsi"/>
          <w:sz w:val="20"/>
          <w:szCs w:val="20"/>
          <w:lang w:val="en-US"/>
        </w:rPr>
      </w:pPr>
      <w:r w:rsidRPr="00892CA6">
        <w:rPr>
          <w:rFonts w:ascii="Verdana" w:hAnsi="Verdana" w:cstheme="minorHAnsi"/>
          <w:sz w:val="20"/>
          <w:szCs w:val="20"/>
          <w:lang w:val="en-US"/>
        </w:rPr>
        <w:t xml:space="preserve">The total number of outsourced functions is </w:t>
      </w:r>
      <w:r w:rsidR="00900142" w:rsidRPr="00892CA6">
        <w:rPr>
          <w:rFonts w:ascii="Verdana" w:hAnsi="Verdana" w:cstheme="minorHAnsi"/>
          <w:sz w:val="20"/>
          <w:szCs w:val="20"/>
          <w:lang w:val="en-US"/>
        </w:rPr>
        <w:t>f</w:t>
      </w:r>
      <w:r w:rsidR="002C4789">
        <w:rPr>
          <w:rFonts w:ascii="Verdana" w:hAnsi="Verdana" w:cstheme="minorHAnsi"/>
          <w:sz w:val="20"/>
          <w:szCs w:val="20"/>
          <w:lang w:val="en-US"/>
        </w:rPr>
        <w:t>our</w:t>
      </w:r>
      <w:r w:rsidR="00900142" w:rsidRPr="00892CA6">
        <w:rPr>
          <w:rFonts w:ascii="Verdana" w:hAnsi="Verdana" w:cstheme="minorHAnsi"/>
          <w:sz w:val="20"/>
          <w:szCs w:val="20"/>
          <w:lang w:val="en-US"/>
        </w:rPr>
        <w:t xml:space="preserve"> (</w:t>
      </w:r>
      <w:r w:rsidR="002C4789">
        <w:rPr>
          <w:rFonts w:ascii="Verdana" w:hAnsi="Verdana" w:cstheme="minorHAnsi"/>
          <w:sz w:val="20"/>
          <w:szCs w:val="20"/>
          <w:lang w:val="en-US"/>
        </w:rPr>
        <w:t>4</w:t>
      </w:r>
      <w:r w:rsidR="00900142" w:rsidRPr="00892CA6">
        <w:rPr>
          <w:rFonts w:ascii="Verdana" w:hAnsi="Verdana" w:cstheme="minorHAnsi"/>
          <w:sz w:val="20"/>
          <w:szCs w:val="20"/>
          <w:lang w:val="en-US"/>
        </w:rPr>
        <w:t>), namely</w:t>
      </w:r>
      <w:r w:rsidR="00FB3715">
        <w:rPr>
          <w:rFonts w:ascii="Verdana" w:hAnsi="Verdana" w:cstheme="minorHAnsi"/>
          <w:sz w:val="20"/>
          <w:szCs w:val="20"/>
          <w:lang w:val="en-US"/>
        </w:rPr>
        <w:t>:</w:t>
      </w:r>
      <w:r w:rsidR="00FB3715" w:rsidRPr="00892CA6">
        <w:rPr>
          <w:rFonts w:ascii="Verdana" w:hAnsi="Verdana" w:cstheme="minorHAnsi"/>
          <w:sz w:val="20"/>
          <w:szCs w:val="20"/>
          <w:lang w:val="en-US"/>
        </w:rPr>
        <w:t xml:space="preserve"> </w:t>
      </w:r>
      <w:r w:rsidR="00900142" w:rsidRPr="00892CA6">
        <w:rPr>
          <w:rFonts w:ascii="Verdana" w:hAnsi="Verdana" w:cstheme="minorHAnsi"/>
          <w:sz w:val="20"/>
          <w:szCs w:val="20"/>
          <w:lang w:val="en-US"/>
        </w:rPr>
        <w:t xml:space="preserve">compliance, </w:t>
      </w:r>
      <w:r w:rsidR="003016F8">
        <w:rPr>
          <w:rFonts w:ascii="Verdana" w:hAnsi="Verdana" w:cstheme="minorHAnsi"/>
          <w:sz w:val="20"/>
          <w:szCs w:val="20"/>
          <w:lang w:val="en-US"/>
        </w:rPr>
        <w:t>anti-m</w:t>
      </w:r>
      <w:r w:rsidR="003016F8" w:rsidRPr="00892CA6">
        <w:rPr>
          <w:rFonts w:ascii="Verdana" w:hAnsi="Verdana" w:cstheme="minorHAnsi"/>
          <w:sz w:val="20"/>
          <w:szCs w:val="20"/>
          <w:lang w:val="en-US"/>
        </w:rPr>
        <w:t xml:space="preserve">oney </w:t>
      </w:r>
      <w:r w:rsidR="003016F8">
        <w:rPr>
          <w:rFonts w:ascii="Verdana" w:hAnsi="Verdana" w:cstheme="minorHAnsi"/>
          <w:sz w:val="20"/>
          <w:szCs w:val="20"/>
          <w:lang w:val="en-US"/>
        </w:rPr>
        <w:t>l</w:t>
      </w:r>
      <w:r w:rsidR="003016F8" w:rsidRPr="00892CA6">
        <w:rPr>
          <w:rFonts w:ascii="Verdana" w:hAnsi="Verdana" w:cstheme="minorHAnsi"/>
          <w:sz w:val="20"/>
          <w:szCs w:val="20"/>
          <w:lang w:val="en-US"/>
        </w:rPr>
        <w:t xml:space="preserve">aundering </w:t>
      </w:r>
      <w:r w:rsidR="003016F8">
        <w:rPr>
          <w:rFonts w:ascii="Verdana" w:hAnsi="Verdana" w:cstheme="minorHAnsi"/>
          <w:sz w:val="20"/>
          <w:szCs w:val="20"/>
          <w:lang w:val="en-US"/>
        </w:rPr>
        <w:t>r</w:t>
      </w:r>
      <w:r w:rsidR="003016F8" w:rsidRPr="00892CA6">
        <w:rPr>
          <w:rFonts w:ascii="Verdana" w:hAnsi="Verdana" w:cstheme="minorHAnsi"/>
          <w:sz w:val="20"/>
          <w:szCs w:val="20"/>
          <w:lang w:val="en-US"/>
        </w:rPr>
        <w:t xml:space="preserve">eporting </w:t>
      </w:r>
      <w:r w:rsidR="003016F8">
        <w:rPr>
          <w:rFonts w:ascii="Verdana" w:hAnsi="Verdana" w:cstheme="minorHAnsi"/>
          <w:sz w:val="20"/>
          <w:szCs w:val="20"/>
          <w:lang w:val="en-US"/>
        </w:rPr>
        <w:t>o</w:t>
      </w:r>
      <w:r w:rsidR="003016F8" w:rsidRPr="00892CA6">
        <w:rPr>
          <w:rFonts w:ascii="Verdana" w:hAnsi="Verdana" w:cstheme="minorHAnsi"/>
          <w:sz w:val="20"/>
          <w:szCs w:val="20"/>
          <w:lang w:val="en-US"/>
        </w:rPr>
        <w:t>fficer</w:t>
      </w:r>
      <w:r w:rsidR="00900142" w:rsidRPr="00892CA6">
        <w:rPr>
          <w:rFonts w:ascii="Verdana" w:hAnsi="Verdana" w:cstheme="minorHAnsi"/>
          <w:sz w:val="20"/>
          <w:szCs w:val="20"/>
          <w:lang w:val="en-US"/>
        </w:rPr>
        <w:t xml:space="preserve">, transaction monitoring and </w:t>
      </w:r>
      <w:r w:rsidR="000542CF">
        <w:rPr>
          <w:rFonts w:ascii="Verdana" w:hAnsi="Verdana" w:cstheme="minorHAnsi"/>
          <w:sz w:val="20"/>
          <w:szCs w:val="20"/>
          <w:lang w:val="en-US"/>
        </w:rPr>
        <w:t>accounting</w:t>
      </w:r>
      <w:r w:rsidR="00900142" w:rsidRPr="00892CA6">
        <w:rPr>
          <w:rFonts w:ascii="Verdana" w:hAnsi="Verdana" w:cstheme="minorHAnsi"/>
          <w:sz w:val="20"/>
          <w:szCs w:val="20"/>
          <w:lang w:val="en-US"/>
        </w:rPr>
        <w:t xml:space="preserve">. All services </w:t>
      </w:r>
      <w:r w:rsidR="002C4789">
        <w:rPr>
          <w:rFonts w:ascii="Verdana" w:hAnsi="Verdana" w:cstheme="minorHAnsi"/>
          <w:sz w:val="20"/>
          <w:szCs w:val="20"/>
          <w:lang w:val="en-US"/>
        </w:rPr>
        <w:t xml:space="preserve">other than transaction monitoring </w:t>
      </w:r>
      <w:r w:rsidR="00900142" w:rsidRPr="00892CA6">
        <w:rPr>
          <w:rFonts w:ascii="Verdana" w:hAnsi="Verdana" w:cstheme="minorHAnsi"/>
          <w:sz w:val="20"/>
          <w:szCs w:val="20"/>
          <w:lang w:val="en-US"/>
        </w:rPr>
        <w:t>are outsourced in the Cayman Islands</w:t>
      </w:r>
      <w:r w:rsidR="002C4789">
        <w:rPr>
          <w:rFonts w:ascii="Verdana" w:hAnsi="Verdana" w:cstheme="minorHAnsi"/>
          <w:sz w:val="20"/>
          <w:szCs w:val="20"/>
          <w:lang w:val="en-US"/>
        </w:rPr>
        <w:t xml:space="preserve">. </w:t>
      </w:r>
      <w:r w:rsidR="000542CF" w:rsidRPr="00892CA6">
        <w:rPr>
          <w:rFonts w:ascii="Verdana" w:hAnsi="Verdana" w:cstheme="minorHAnsi"/>
          <w:sz w:val="20"/>
          <w:szCs w:val="20"/>
          <w:lang w:val="en-US"/>
        </w:rPr>
        <w:t>T</w:t>
      </w:r>
      <w:r w:rsidR="00900142" w:rsidRPr="00892CA6">
        <w:rPr>
          <w:rFonts w:ascii="Verdana" w:hAnsi="Verdana" w:cstheme="minorHAnsi"/>
          <w:sz w:val="20"/>
          <w:szCs w:val="20"/>
          <w:lang w:val="en-US"/>
        </w:rPr>
        <w:t>ransaction monitoring is</w:t>
      </w:r>
      <w:r w:rsidR="000542CF" w:rsidRPr="00892CA6">
        <w:rPr>
          <w:rFonts w:ascii="Verdana" w:hAnsi="Verdana" w:cstheme="minorHAnsi"/>
          <w:sz w:val="20"/>
          <w:szCs w:val="20"/>
          <w:lang w:val="en-US"/>
        </w:rPr>
        <w:t xml:space="preserve"> only</w:t>
      </w:r>
      <w:r w:rsidR="00900142" w:rsidRPr="00892CA6">
        <w:rPr>
          <w:rFonts w:ascii="Verdana" w:hAnsi="Verdana" w:cstheme="minorHAnsi"/>
          <w:sz w:val="20"/>
          <w:szCs w:val="20"/>
          <w:lang w:val="en-US"/>
        </w:rPr>
        <w:t xml:space="preserve"> outsourced </w:t>
      </w:r>
      <w:r w:rsidR="000542CF" w:rsidRPr="00892CA6">
        <w:rPr>
          <w:rFonts w:ascii="Verdana" w:hAnsi="Verdana" w:cstheme="minorHAnsi"/>
          <w:sz w:val="20"/>
          <w:szCs w:val="20"/>
          <w:lang w:val="en-US"/>
        </w:rPr>
        <w:t xml:space="preserve">by one of the primary MSBs </w:t>
      </w:r>
      <w:r w:rsidR="00900142" w:rsidRPr="00892CA6">
        <w:rPr>
          <w:rFonts w:ascii="Verdana" w:hAnsi="Verdana" w:cstheme="minorHAnsi"/>
          <w:sz w:val="20"/>
          <w:szCs w:val="20"/>
          <w:lang w:val="en-US"/>
        </w:rPr>
        <w:t>to a third party</w:t>
      </w:r>
      <w:r w:rsidR="002C4789" w:rsidRPr="00892CA6">
        <w:rPr>
          <w:rFonts w:ascii="Verdana" w:hAnsi="Verdana" w:cstheme="minorHAnsi"/>
          <w:sz w:val="20"/>
          <w:szCs w:val="20"/>
          <w:lang w:val="en-US"/>
        </w:rPr>
        <w:t xml:space="preserve"> which is based in the United States</w:t>
      </w:r>
      <w:r w:rsidR="000542CF" w:rsidRPr="00892CA6">
        <w:rPr>
          <w:rFonts w:ascii="Verdana" w:hAnsi="Verdana" w:cstheme="minorHAnsi"/>
          <w:sz w:val="20"/>
          <w:szCs w:val="20"/>
          <w:lang w:val="en-US"/>
        </w:rPr>
        <w:t xml:space="preserve"> and utilized by other members of its group.</w:t>
      </w:r>
      <w:r w:rsidR="00900142" w:rsidRPr="00892CA6">
        <w:rPr>
          <w:rFonts w:ascii="Verdana" w:hAnsi="Verdana" w:cstheme="minorHAnsi"/>
          <w:sz w:val="20"/>
          <w:szCs w:val="20"/>
          <w:lang w:val="en-US"/>
        </w:rPr>
        <w:t xml:space="preserve"> </w:t>
      </w:r>
    </w:p>
    <w:p w14:paraId="202FF127" w14:textId="77777777" w:rsidR="00892CA6" w:rsidRDefault="00892CA6" w:rsidP="004E5F89">
      <w:pPr>
        <w:pStyle w:val="Heading2"/>
        <w:numPr>
          <w:ilvl w:val="0"/>
          <w:numId w:val="0"/>
        </w:numPr>
        <w:rPr>
          <w:rFonts w:ascii="Verdana" w:hAnsi="Verdana" w:cstheme="minorHAnsi"/>
          <w:b/>
          <w:bCs/>
          <w:sz w:val="20"/>
          <w:szCs w:val="20"/>
          <w:lang w:val="en-US"/>
        </w:rPr>
      </w:pPr>
    </w:p>
    <w:p w14:paraId="4BA60C50" w14:textId="2A6FDAF7" w:rsidR="002A4231" w:rsidRPr="00892CA6" w:rsidRDefault="00396C68" w:rsidP="004E5F89">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Conclusion for Risk Category Delivery Channels</w:t>
      </w:r>
      <w:r w:rsidR="005F690E" w:rsidRPr="00892CA6">
        <w:rPr>
          <w:rFonts w:ascii="Verdana" w:hAnsi="Verdana" w:cstheme="minorHAnsi"/>
          <w:b/>
          <w:bCs/>
          <w:sz w:val="20"/>
          <w:szCs w:val="20"/>
          <w:lang w:val="en-US"/>
        </w:rPr>
        <w:t>/agent risk</w:t>
      </w:r>
    </w:p>
    <w:p w14:paraId="3888DEC2" w14:textId="1F95E69B" w:rsidR="002A4231" w:rsidRPr="00892CA6" w:rsidRDefault="00434E78" w:rsidP="0090487E">
      <w:pPr>
        <w:pStyle w:val="Heading2"/>
        <w:numPr>
          <w:ilvl w:val="0"/>
          <w:numId w:val="3"/>
        </w:numPr>
        <w:spacing w:line="276" w:lineRule="auto"/>
        <w:ind w:left="0" w:right="-6" w:firstLine="0"/>
        <w:jc w:val="both"/>
        <w:rPr>
          <w:rFonts w:ascii="Verdana" w:eastAsiaTheme="minorHAnsi" w:hAnsi="Verdana" w:cstheme="minorHAnsi"/>
          <w:color w:val="000000" w:themeColor="text1"/>
          <w:sz w:val="20"/>
          <w:szCs w:val="20"/>
          <w:lang w:val="en-US" w:eastAsia="en-US"/>
        </w:rPr>
      </w:pPr>
      <w:r w:rsidRPr="00892CA6">
        <w:rPr>
          <w:rFonts w:ascii="Verdana" w:eastAsiaTheme="minorHAnsi" w:hAnsi="Verdana" w:cstheme="minorHAnsi"/>
          <w:color w:val="000000" w:themeColor="text1"/>
          <w:sz w:val="20"/>
          <w:szCs w:val="20"/>
          <w:lang w:val="en-US" w:eastAsia="en-US"/>
        </w:rPr>
        <w:t>O</w:t>
      </w:r>
      <w:r w:rsidR="001A704E" w:rsidRPr="00892CA6">
        <w:rPr>
          <w:rFonts w:ascii="Verdana" w:eastAsiaTheme="minorHAnsi" w:hAnsi="Verdana" w:cstheme="minorHAnsi"/>
          <w:color w:val="000000" w:themeColor="text1"/>
          <w:sz w:val="20"/>
          <w:szCs w:val="20"/>
          <w:lang w:val="en-US" w:eastAsia="en-US"/>
        </w:rPr>
        <w:t>nline onboarding</w:t>
      </w:r>
      <w:r w:rsidR="00971A3E" w:rsidRPr="00892CA6">
        <w:rPr>
          <w:rFonts w:ascii="Verdana" w:eastAsiaTheme="minorHAnsi" w:hAnsi="Verdana" w:cstheme="minorHAnsi"/>
          <w:color w:val="000000" w:themeColor="text1"/>
          <w:sz w:val="20"/>
          <w:szCs w:val="20"/>
          <w:lang w:val="en-US" w:eastAsia="en-US"/>
        </w:rPr>
        <w:t xml:space="preserve"> </w:t>
      </w:r>
      <w:r w:rsidR="00463071" w:rsidRPr="00892CA6">
        <w:rPr>
          <w:rFonts w:ascii="Verdana" w:eastAsiaTheme="minorHAnsi" w:hAnsi="Verdana" w:cstheme="minorHAnsi"/>
          <w:color w:val="000000" w:themeColor="text1"/>
          <w:sz w:val="20"/>
          <w:szCs w:val="20"/>
          <w:lang w:val="en-US" w:eastAsia="en-US"/>
        </w:rPr>
        <w:t xml:space="preserve">was not reported by </w:t>
      </w:r>
      <w:r w:rsidR="00AD7A96">
        <w:rPr>
          <w:rFonts w:ascii="Verdana" w:eastAsiaTheme="minorHAnsi" w:hAnsi="Verdana" w:cstheme="minorHAnsi"/>
          <w:color w:val="000000" w:themeColor="text1"/>
          <w:sz w:val="20"/>
          <w:szCs w:val="20"/>
          <w:lang w:val="en-US" w:eastAsia="en-US"/>
        </w:rPr>
        <w:t xml:space="preserve">the </w:t>
      </w:r>
      <w:r w:rsidR="00463071" w:rsidRPr="00892CA6">
        <w:rPr>
          <w:rFonts w:ascii="Verdana" w:eastAsiaTheme="minorHAnsi" w:hAnsi="Verdana" w:cstheme="minorHAnsi"/>
          <w:color w:val="000000" w:themeColor="text1"/>
          <w:sz w:val="20"/>
          <w:szCs w:val="20"/>
          <w:lang w:val="en-US" w:eastAsia="en-US"/>
        </w:rPr>
        <w:t>sector</w:t>
      </w:r>
      <w:r w:rsidRPr="00892CA6">
        <w:rPr>
          <w:rFonts w:ascii="Verdana" w:eastAsiaTheme="minorHAnsi" w:hAnsi="Verdana" w:cstheme="minorHAnsi"/>
          <w:color w:val="000000" w:themeColor="text1"/>
          <w:sz w:val="20"/>
          <w:szCs w:val="20"/>
          <w:lang w:val="en-US" w:eastAsia="en-US"/>
        </w:rPr>
        <w:t>. Th</w:t>
      </w:r>
      <w:r w:rsidR="00463071" w:rsidRPr="00892CA6">
        <w:rPr>
          <w:rFonts w:ascii="Verdana" w:eastAsiaTheme="minorHAnsi" w:hAnsi="Verdana" w:cstheme="minorHAnsi"/>
          <w:color w:val="000000" w:themeColor="text1"/>
          <w:sz w:val="20"/>
          <w:szCs w:val="20"/>
          <w:lang w:val="en-US" w:eastAsia="en-US"/>
        </w:rPr>
        <w:t>e use of agents is very minimal</w:t>
      </w:r>
      <w:r w:rsidR="008A39DD">
        <w:rPr>
          <w:rFonts w:ascii="Verdana" w:eastAsiaTheme="minorHAnsi" w:hAnsi="Verdana" w:cstheme="minorHAnsi"/>
          <w:color w:val="000000" w:themeColor="text1"/>
          <w:sz w:val="20"/>
          <w:szCs w:val="20"/>
          <w:lang w:val="en-US" w:eastAsia="en-US"/>
        </w:rPr>
        <w:t xml:space="preserve"> considering the number of customers reportedly being served by the three (3) active MSBs</w:t>
      </w:r>
      <w:r w:rsidR="00463071" w:rsidRPr="00892CA6">
        <w:rPr>
          <w:rFonts w:ascii="Verdana" w:eastAsiaTheme="minorHAnsi" w:hAnsi="Verdana" w:cstheme="minorHAnsi"/>
          <w:color w:val="000000" w:themeColor="text1"/>
          <w:sz w:val="20"/>
          <w:szCs w:val="20"/>
          <w:lang w:val="en-US" w:eastAsia="en-US"/>
        </w:rPr>
        <w:t xml:space="preserve">. Furthermore, there is </w:t>
      </w:r>
      <w:r w:rsidR="005C0115">
        <w:rPr>
          <w:rFonts w:ascii="Verdana" w:eastAsiaTheme="minorHAnsi" w:hAnsi="Verdana" w:cstheme="minorHAnsi"/>
          <w:color w:val="000000" w:themeColor="text1"/>
          <w:sz w:val="20"/>
          <w:szCs w:val="20"/>
          <w:lang w:val="en-US" w:eastAsia="en-US"/>
        </w:rPr>
        <w:t xml:space="preserve">no </w:t>
      </w:r>
      <w:r w:rsidR="005C0115" w:rsidRPr="00892CA6">
        <w:rPr>
          <w:rFonts w:ascii="Verdana" w:eastAsiaTheme="minorHAnsi" w:hAnsi="Verdana" w:cstheme="minorHAnsi"/>
          <w:color w:val="000000" w:themeColor="text1"/>
          <w:sz w:val="20"/>
          <w:szCs w:val="20"/>
          <w:lang w:val="en-US" w:eastAsia="en-US"/>
        </w:rPr>
        <w:t>use</w:t>
      </w:r>
      <w:r w:rsidR="00463071" w:rsidRPr="00892CA6">
        <w:rPr>
          <w:rFonts w:ascii="Verdana" w:eastAsiaTheme="minorHAnsi" w:hAnsi="Verdana" w:cstheme="minorHAnsi"/>
          <w:color w:val="000000" w:themeColor="text1"/>
          <w:sz w:val="20"/>
          <w:szCs w:val="20"/>
          <w:lang w:val="en-US" w:eastAsia="en-US"/>
        </w:rPr>
        <w:t xml:space="preserve"> of</w:t>
      </w:r>
      <w:r w:rsidRPr="00892CA6">
        <w:rPr>
          <w:rFonts w:ascii="Verdana" w:eastAsiaTheme="minorHAnsi" w:hAnsi="Verdana" w:cstheme="minorHAnsi"/>
          <w:color w:val="000000" w:themeColor="text1"/>
          <w:sz w:val="20"/>
          <w:szCs w:val="20"/>
          <w:lang w:val="en-US" w:eastAsia="en-US"/>
        </w:rPr>
        <w:t xml:space="preserve"> </w:t>
      </w:r>
      <w:r w:rsidR="00BA53F9" w:rsidRPr="00892CA6">
        <w:rPr>
          <w:rFonts w:ascii="Verdana" w:eastAsiaTheme="minorHAnsi" w:hAnsi="Verdana" w:cstheme="minorHAnsi"/>
          <w:color w:val="000000" w:themeColor="text1"/>
          <w:sz w:val="20"/>
          <w:szCs w:val="20"/>
          <w:lang w:val="en-US" w:eastAsia="en-US"/>
        </w:rPr>
        <w:t>group entities</w:t>
      </w:r>
      <w:r w:rsidR="008A39DD">
        <w:rPr>
          <w:rFonts w:ascii="Verdana" w:eastAsiaTheme="minorHAnsi" w:hAnsi="Verdana" w:cstheme="minorHAnsi"/>
          <w:color w:val="000000" w:themeColor="text1"/>
          <w:sz w:val="20"/>
          <w:szCs w:val="20"/>
          <w:lang w:val="en-US" w:eastAsia="en-US"/>
        </w:rPr>
        <w:t xml:space="preserve"> in the delivery of services</w:t>
      </w:r>
      <w:r w:rsidR="00BA53F9" w:rsidRPr="00892CA6">
        <w:rPr>
          <w:rFonts w:ascii="Verdana" w:eastAsiaTheme="minorHAnsi" w:hAnsi="Verdana" w:cstheme="minorHAnsi"/>
          <w:color w:val="000000" w:themeColor="text1"/>
          <w:sz w:val="20"/>
          <w:szCs w:val="20"/>
          <w:lang w:val="en-US" w:eastAsia="en-US"/>
        </w:rPr>
        <w:t xml:space="preserve"> </w:t>
      </w:r>
      <w:r w:rsidR="00463071" w:rsidRPr="00892CA6">
        <w:rPr>
          <w:rFonts w:ascii="Verdana" w:eastAsiaTheme="minorHAnsi" w:hAnsi="Verdana" w:cstheme="minorHAnsi"/>
          <w:color w:val="000000" w:themeColor="text1"/>
          <w:sz w:val="20"/>
          <w:szCs w:val="20"/>
          <w:lang w:val="en-US" w:eastAsia="en-US"/>
        </w:rPr>
        <w:t xml:space="preserve">due to the nature of the MSB </w:t>
      </w:r>
      <w:r w:rsidR="008A39DD">
        <w:rPr>
          <w:rFonts w:ascii="Verdana" w:eastAsiaTheme="minorHAnsi" w:hAnsi="Verdana" w:cstheme="minorHAnsi"/>
          <w:color w:val="000000" w:themeColor="text1"/>
          <w:sz w:val="20"/>
          <w:szCs w:val="20"/>
          <w:lang w:val="en-US" w:eastAsia="en-US"/>
        </w:rPr>
        <w:t>sector whereby customers are normally face-to-face</w:t>
      </w:r>
      <w:r w:rsidR="00463071" w:rsidRPr="00892CA6">
        <w:rPr>
          <w:rFonts w:ascii="Verdana" w:eastAsiaTheme="minorHAnsi" w:hAnsi="Verdana" w:cstheme="minorHAnsi"/>
          <w:color w:val="000000" w:themeColor="text1"/>
          <w:sz w:val="20"/>
          <w:szCs w:val="20"/>
          <w:lang w:val="en-US" w:eastAsia="en-US"/>
        </w:rPr>
        <w:t xml:space="preserve">. </w:t>
      </w:r>
      <w:r w:rsidR="00222C22" w:rsidRPr="00892CA6">
        <w:rPr>
          <w:rFonts w:ascii="Verdana" w:eastAsiaTheme="minorHAnsi" w:hAnsi="Verdana" w:cstheme="minorHAnsi"/>
          <w:color w:val="000000" w:themeColor="text1"/>
          <w:sz w:val="20"/>
          <w:szCs w:val="20"/>
          <w:lang w:val="en-US" w:eastAsia="en-US"/>
        </w:rPr>
        <w:t xml:space="preserve">The subsidiaries, affiliates and or branches are mostly located in low risk countries. </w:t>
      </w:r>
      <w:r w:rsidR="00BA53F9" w:rsidRPr="00892CA6">
        <w:rPr>
          <w:rFonts w:ascii="Verdana" w:eastAsiaTheme="minorHAnsi" w:hAnsi="Verdana" w:cstheme="minorHAnsi"/>
          <w:color w:val="000000" w:themeColor="text1"/>
          <w:sz w:val="20"/>
          <w:szCs w:val="20"/>
          <w:lang w:val="en-US" w:eastAsia="en-US"/>
        </w:rPr>
        <w:t xml:space="preserve">As such, the risk for delivery channels has been rated low. </w:t>
      </w:r>
    </w:p>
    <w:tbl>
      <w:tblPr>
        <w:tblStyle w:val="TableGrid"/>
        <w:tblW w:w="0" w:type="auto"/>
        <w:jc w:val="center"/>
        <w:tblLook w:val="04A0" w:firstRow="1" w:lastRow="0" w:firstColumn="1" w:lastColumn="0" w:noHBand="0" w:noVBand="1"/>
      </w:tblPr>
      <w:tblGrid>
        <w:gridCol w:w="2547"/>
        <w:gridCol w:w="2835"/>
      </w:tblGrid>
      <w:tr w:rsidR="002A4231" w:rsidRPr="001D0A24" w14:paraId="0238100E" w14:textId="77777777" w:rsidTr="00762739">
        <w:trPr>
          <w:jc w:val="center"/>
        </w:trPr>
        <w:tc>
          <w:tcPr>
            <w:tcW w:w="2547" w:type="dxa"/>
          </w:tcPr>
          <w:p w14:paraId="3C33392F" w14:textId="22D37A81" w:rsidR="002A4231" w:rsidRPr="00892CA6" w:rsidRDefault="00222C22" w:rsidP="00762739">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factor</w:t>
            </w:r>
          </w:p>
        </w:tc>
        <w:tc>
          <w:tcPr>
            <w:tcW w:w="2835" w:type="dxa"/>
          </w:tcPr>
          <w:p w14:paraId="14259E56" w14:textId="260F7AEF" w:rsidR="002A4231" w:rsidRPr="00892CA6" w:rsidRDefault="00222C22" w:rsidP="00762739">
            <w:pPr>
              <w:spacing w:before="100" w:beforeAutospacing="1" w:after="100" w:afterAutospacing="1"/>
              <w:jc w:val="both"/>
              <w:rPr>
                <w:rFonts w:ascii="Verdana" w:eastAsia="Times New Roman" w:hAnsi="Verdana" w:cstheme="minorHAnsi"/>
                <w:b/>
                <w:bCs/>
                <w:color w:val="191919"/>
                <w:sz w:val="20"/>
                <w:szCs w:val="20"/>
                <w:lang w:val="en-US" w:eastAsia="en-GB"/>
              </w:rPr>
            </w:pPr>
            <w:r w:rsidRPr="00892CA6">
              <w:rPr>
                <w:rFonts w:ascii="Verdana" w:eastAsia="Times New Roman" w:hAnsi="Verdana" w:cstheme="minorHAnsi"/>
                <w:b/>
                <w:bCs/>
                <w:color w:val="191919"/>
                <w:sz w:val="20"/>
                <w:szCs w:val="20"/>
                <w:lang w:val="en-US" w:eastAsia="en-GB"/>
              </w:rPr>
              <w:t>Risk rating</w:t>
            </w:r>
          </w:p>
        </w:tc>
      </w:tr>
      <w:tr w:rsidR="002A4231" w:rsidRPr="001D0A24" w14:paraId="5D45D682" w14:textId="77777777" w:rsidTr="00AC399A">
        <w:trPr>
          <w:jc w:val="center"/>
        </w:trPr>
        <w:tc>
          <w:tcPr>
            <w:tcW w:w="2547" w:type="dxa"/>
            <w:shd w:val="clear" w:color="auto" w:fill="auto"/>
          </w:tcPr>
          <w:p w14:paraId="3BCC8F26" w14:textId="0923A4A0" w:rsidR="002A4231" w:rsidRPr="00892CA6" w:rsidRDefault="00222C22" w:rsidP="00762739">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Delivery Channels/agent risk</w:t>
            </w:r>
          </w:p>
        </w:tc>
        <w:tc>
          <w:tcPr>
            <w:tcW w:w="2835" w:type="dxa"/>
            <w:shd w:val="clear" w:color="auto" w:fill="00B050"/>
          </w:tcPr>
          <w:p w14:paraId="319C8923" w14:textId="41E4063D" w:rsidR="002A4231" w:rsidRPr="00892CA6" w:rsidRDefault="00222C22" w:rsidP="00762739">
            <w:pPr>
              <w:spacing w:before="100" w:beforeAutospacing="1" w:after="100" w:afterAutospacing="1"/>
              <w:jc w:val="both"/>
              <w:rPr>
                <w:rFonts w:ascii="Verdana" w:eastAsia="Times New Roman" w:hAnsi="Verdana" w:cstheme="minorHAnsi"/>
                <w:color w:val="191919"/>
                <w:sz w:val="20"/>
                <w:szCs w:val="20"/>
                <w:lang w:val="en-US" w:eastAsia="en-GB"/>
              </w:rPr>
            </w:pPr>
            <w:r w:rsidRPr="00892CA6">
              <w:rPr>
                <w:rFonts w:ascii="Verdana" w:eastAsia="Times New Roman" w:hAnsi="Verdana" w:cstheme="minorHAnsi"/>
                <w:color w:val="191919"/>
                <w:sz w:val="20"/>
                <w:szCs w:val="20"/>
                <w:lang w:val="en-US" w:eastAsia="en-GB"/>
              </w:rPr>
              <w:t>low</w:t>
            </w:r>
          </w:p>
        </w:tc>
      </w:tr>
    </w:tbl>
    <w:p w14:paraId="41E6540C" w14:textId="36500EF7" w:rsidR="002A4231" w:rsidRPr="00195F06" w:rsidRDefault="00C7198E" w:rsidP="00195F06">
      <w:pPr>
        <w:pStyle w:val="Heading2"/>
        <w:numPr>
          <w:ilvl w:val="0"/>
          <w:numId w:val="0"/>
        </w:numPr>
        <w:rPr>
          <w:rFonts w:ascii="Verdana" w:hAnsi="Verdana" w:cstheme="minorHAnsi"/>
          <w:b/>
          <w:bCs/>
          <w:sz w:val="20"/>
          <w:szCs w:val="20"/>
          <w:lang w:val="en-US"/>
        </w:rPr>
      </w:pPr>
      <w:r w:rsidRPr="00195F06">
        <w:rPr>
          <w:rFonts w:ascii="Verdana" w:hAnsi="Verdana" w:cstheme="minorHAnsi"/>
          <w:b/>
          <w:bCs/>
          <w:sz w:val="20"/>
          <w:szCs w:val="20"/>
          <w:lang w:val="en-US"/>
        </w:rPr>
        <w:t>Mitigating measures</w:t>
      </w:r>
    </w:p>
    <w:p w14:paraId="385AF2AC" w14:textId="7F6A4021" w:rsidR="00C7198E" w:rsidRPr="00892CA6" w:rsidRDefault="00B47426" w:rsidP="00195F06">
      <w:pPr>
        <w:pStyle w:val="Heading1"/>
        <w:keepNext w:val="0"/>
        <w:keepLines w:val="0"/>
        <w:numPr>
          <w:ilvl w:val="0"/>
          <w:numId w:val="17"/>
        </w:numPr>
        <w:spacing w:after="60" w:line="276" w:lineRule="auto"/>
        <w:ind w:left="0" w:firstLine="0"/>
        <w:jc w:val="both"/>
        <w:rPr>
          <w:rFonts w:ascii="Verdana" w:eastAsiaTheme="minorHAnsi" w:hAnsi="Verdana" w:cstheme="minorHAnsi"/>
          <w:color w:val="000000" w:themeColor="text1"/>
          <w:sz w:val="20"/>
          <w:szCs w:val="20"/>
          <w:lang w:val="en-US"/>
        </w:rPr>
      </w:pPr>
      <w:r>
        <w:rPr>
          <w:rFonts w:ascii="Verdana" w:eastAsiaTheme="minorHAnsi" w:hAnsi="Verdana" w:cstheme="minorHAnsi"/>
          <w:color w:val="000000" w:themeColor="text1"/>
          <w:sz w:val="20"/>
          <w:szCs w:val="20"/>
          <w:lang w:val="en-US"/>
        </w:rPr>
        <w:t xml:space="preserve">The MLS was amended in 2019 to require MSBs to monitor their agents’ compliance with the AMLRs. </w:t>
      </w:r>
      <w:r w:rsidR="00817D2D">
        <w:rPr>
          <w:rFonts w:ascii="Verdana" w:eastAsiaTheme="minorHAnsi" w:hAnsi="Verdana" w:cstheme="minorHAnsi"/>
          <w:color w:val="000000" w:themeColor="text1"/>
          <w:sz w:val="20"/>
          <w:szCs w:val="20"/>
          <w:lang w:val="en-US"/>
        </w:rPr>
        <w:t xml:space="preserve">CIMA will continue to collect and assess information on the remittances by MSBs as part of its efforts to gather information on the origin and destination of the financial flows by the sector. </w:t>
      </w:r>
      <w:r>
        <w:rPr>
          <w:rFonts w:ascii="Verdana" w:eastAsiaTheme="minorHAnsi" w:hAnsi="Verdana" w:cstheme="minorHAnsi"/>
          <w:color w:val="000000" w:themeColor="text1"/>
          <w:sz w:val="20"/>
          <w:szCs w:val="20"/>
          <w:lang w:val="en-US"/>
        </w:rPr>
        <w:t xml:space="preserve">During onsite inspections, procedures will be performed to scrutinize remittances to high risk countries or those that the Cayman Islands population does not have any connections with. </w:t>
      </w:r>
      <w:r w:rsidR="006B7B17" w:rsidRPr="006B7B17">
        <w:rPr>
          <w:rFonts w:ascii="Verdana" w:eastAsiaTheme="minorHAnsi" w:hAnsi="Verdana" w:cstheme="minorHAnsi"/>
          <w:color w:val="000000" w:themeColor="text1"/>
          <w:sz w:val="20"/>
          <w:szCs w:val="20"/>
          <w:lang w:val="en-US"/>
        </w:rPr>
        <w:t>Since MSBs carry on relevant financial business as defined in P</w:t>
      </w:r>
      <w:r w:rsidR="006B7B17">
        <w:rPr>
          <w:rFonts w:ascii="Verdana" w:eastAsiaTheme="minorHAnsi" w:hAnsi="Verdana" w:cstheme="minorHAnsi"/>
          <w:color w:val="000000" w:themeColor="text1"/>
          <w:sz w:val="20"/>
          <w:szCs w:val="20"/>
          <w:lang w:val="en-US"/>
        </w:rPr>
        <w:t xml:space="preserve">roceeds of </w:t>
      </w:r>
      <w:r w:rsidR="006B7B17" w:rsidRPr="006B7B17">
        <w:rPr>
          <w:rFonts w:ascii="Verdana" w:eastAsiaTheme="minorHAnsi" w:hAnsi="Verdana" w:cstheme="minorHAnsi"/>
          <w:color w:val="000000" w:themeColor="text1"/>
          <w:sz w:val="20"/>
          <w:szCs w:val="20"/>
          <w:lang w:val="en-US"/>
        </w:rPr>
        <w:t>C</w:t>
      </w:r>
      <w:r w:rsidR="006B7B17">
        <w:rPr>
          <w:rFonts w:ascii="Verdana" w:eastAsiaTheme="minorHAnsi" w:hAnsi="Verdana" w:cstheme="minorHAnsi"/>
          <w:color w:val="000000" w:themeColor="text1"/>
          <w:sz w:val="20"/>
          <w:szCs w:val="20"/>
          <w:lang w:val="en-US"/>
        </w:rPr>
        <w:t xml:space="preserve">rime </w:t>
      </w:r>
      <w:r w:rsidR="006B7B17" w:rsidRPr="006B7B17">
        <w:rPr>
          <w:rFonts w:ascii="Verdana" w:eastAsiaTheme="minorHAnsi" w:hAnsi="Verdana" w:cstheme="minorHAnsi"/>
          <w:color w:val="000000" w:themeColor="text1"/>
          <w:sz w:val="20"/>
          <w:szCs w:val="20"/>
          <w:lang w:val="en-US"/>
        </w:rPr>
        <w:t>L</w:t>
      </w:r>
      <w:r w:rsidR="006B7B17">
        <w:rPr>
          <w:rFonts w:ascii="Verdana" w:eastAsiaTheme="minorHAnsi" w:hAnsi="Verdana" w:cstheme="minorHAnsi"/>
          <w:color w:val="000000" w:themeColor="text1"/>
          <w:sz w:val="20"/>
          <w:szCs w:val="20"/>
          <w:lang w:val="en-US"/>
        </w:rPr>
        <w:t>aw</w:t>
      </w:r>
      <w:r w:rsidR="006B7B17" w:rsidRPr="006B7B17">
        <w:rPr>
          <w:rFonts w:ascii="Verdana" w:eastAsiaTheme="minorHAnsi" w:hAnsi="Verdana" w:cstheme="minorHAnsi"/>
          <w:color w:val="000000" w:themeColor="text1"/>
          <w:sz w:val="20"/>
          <w:szCs w:val="20"/>
          <w:lang w:val="en-US"/>
        </w:rPr>
        <w:t xml:space="preserve">, they are required to comply with the AMLRs. CIMA </w:t>
      </w:r>
      <w:r w:rsidR="006B7B17">
        <w:rPr>
          <w:rFonts w:ascii="Verdana" w:eastAsiaTheme="minorHAnsi" w:hAnsi="Verdana" w:cstheme="minorHAnsi"/>
          <w:color w:val="000000" w:themeColor="text1"/>
          <w:sz w:val="20"/>
          <w:szCs w:val="20"/>
          <w:lang w:val="en-US"/>
        </w:rPr>
        <w:t xml:space="preserve">will thus continue to </w:t>
      </w:r>
      <w:r w:rsidR="006B7B17" w:rsidRPr="006B7B17">
        <w:rPr>
          <w:rFonts w:ascii="Verdana" w:eastAsiaTheme="minorHAnsi" w:hAnsi="Verdana" w:cstheme="minorHAnsi"/>
          <w:color w:val="000000" w:themeColor="text1"/>
          <w:sz w:val="20"/>
          <w:szCs w:val="20"/>
          <w:lang w:val="en-US"/>
        </w:rPr>
        <w:t>monitor their compliance with the AMLRs.</w:t>
      </w:r>
      <w:r w:rsidR="006B7B17">
        <w:rPr>
          <w:rFonts w:ascii="Verdana" w:eastAsiaTheme="minorHAnsi" w:hAnsi="Verdana" w:cstheme="minorHAnsi"/>
          <w:color w:val="000000" w:themeColor="text1"/>
          <w:sz w:val="20"/>
          <w:szCs w:val="20"/>
          <w:lang w:val="en-US"/>
        </w:rPr>
        <w:t xml:space="preserve"> Each licensee’s risk assessment and supervis</w:t>
      </w:r>
      <w:r>
        <w:rPr>
          <w:rFonts w:ascii="Verdana" w:eastAsiaTheme="minorHAnsi" w:hAnsi="Verdana" w:cstheme="minorHAnsi"/>
          <w:color w:val="000000" w:themeColor="text1"/>
          <w:sz w:val="20"/>
          <w:szCs w:val="20"/>
          <w:lang w:val="en-US"/>
        </w:rPr>
        <w:t>ory</w:t>
      </w:r>
      <w:r w:rsidR="006B7B17">
        <w:rPr>
          <w:rFonts w:ascii="Verdana" w:eastAsiaTheme="minorHAnsi" w:hAnsi="Verdana" w:cstheme="minorHAnsi"/>
          <w:color w:val="000000" w:themeColor="text1"/>
          <w:sz w:val="20"/>
          <w:szCs w:val="20"/>
          <w:lang w:val="en-US"/>
        </w:rPr>
        <w:t xml:space="preserve"> plan will be updated regularly. The analysis of quarterly prudential returns and annual audited financial statements will continue to be performed, supplemented with the prudential meetings. Onsite inspections will continue to be conducted on MSBs in accordance with each licensee’s supervis</w:t>
      </w:r>
      <w:r>
        <w:rPr>
          <w:rFonts w:ascii="Verdana" w:eastAsiaTheme="minorHAnsi" w:hAnsi="Verdana" w:cstheme="minorHAnsi"/>
          <w:color w:val="000000" w:themeColor="text1"/>
          <w:sz w:val="20"/>
          <w:szCs w:val="20"/>
          <w:lang w:val="en-US"/>
        </w:rPr>
        <w:t>ory</w:t>
      </w:r>
      <w:r w:rsidR="006B7B17">
        <w:rPr>
          <w:rFonts w:ascii="Verdana" w:eastAsiaTheme="minorHAnsi" w:hAnsi="Verdana" w:cstheme="minorHAnsi"/>
          <w:color w:val="000000" w:themeColor="text1"/>
          <w:sz w:val="20"/>
          <w:szCs w:val="20"/>
          <w:lang w:val="en-US"/>
        </w:rPr>
        <w:t xml:space="preserve"> plan, which takes into consideration the results of the risk assessments</w:t>
      </w:r>
      <w:r>
        <w:rPr>
          <w:rFonts w:ascii="Verdana" w:eastAsiaTheme="minorHAnsi" w:hAnsi="Verdana" w:cstheme="minorHAnsi"/>
          <w:color w:val="000000" w:themeColor="text1"/>
          <w:sz w:val="20"/>
          <w:szCs w:val="20"/>
          <w:lang w:val="en-US"/>
        </w:rPr>
        <w:t>,</w:t>
      </w:r>
      <w:r w:rsidR="006B7B17">
        <w:rPr>
          <w:rFonts w:ascii="Verdana" w:eastAsiaTheme="minorHAnsi" w:hAnsi="Verdana" w:cstheme="minorHAnsi"/>
          <w:color w:val="000000" w:themeColor="text1"/>
          <w:sz w:val="20"/>
          <w:szCs w:val="20"/>
          <w:lang w:val="en-US"/>
        </w:rPr>
        <w:t xml:space="preserve"> </w:t>
      </w:r>
      <w:r>
        <w:rPr>
          <w:rFonts w:ascii="Verdana" w:eastAsiaTheme="minorHAnsi" w:hAnsi="Verdana" w:cstheme="minorHAnsi"/>
          <w:color w:val="000000" w:themeColor="text1"/>
          <w:sz w:val="20"/>
          <w:szCs w:val="20"/>
          <w:lang w:val="en-US"/>
        </w:rPr>
        <w:t xml:space="preserve">results of the </w:t>
      </w:r>
      <w:r w:rsidR="006B7B17">
        <w:rPr>
          <w:rFonts w:ascii="Verdana" w:eastAsiaTheme="minorHAnsi" w:hAnsi="Verdana" w:cstheme="minorHAnsi"/>
          <w:color w:val="000000" w:themeColor="text1"/>
          <w:sz w:val="20"/>
          <w:szCs w:val="20"/>
          <w:lang w:val="en-US"/>
        </w:rPr>
        <w:t>previous onsite inspections</w:t>
      </w:r>
      <w:r>
        <w:rPr>
          <w:rFonts w:ascii="Verdana" w:eastAsiaTheme="minorHAnsi" w:hAnsi="Verdana" w:cstheme="minorHAnsi"/>
          <w:color w:val="000000" w:themeColor="text1"/>
          <w:sz w:val="20"/>
          <w:szCs w:val="20"/>
          <w:lang w:val="en-US"/>
        </w:rPr>
        <w:t xml:space="preserve"> etc</w:t>
      </w:r>
      <w:r w:rsidR="006B7B17">
        <w:rPr>
          <w:rFonts w:ascii="Verdana" w:eastAsiaTheme="minorHAnsi" w:hAnsi="Verdana" w:cstheme="minorHAnsi"/>
          <w:color w:val="000000" w:themeColor="text1"/>
          <w:sz w:val="20"/>
          <w:szCs w:val="20"/>
          <w:lang w:val="en-US"/>
        </w:rPr>
        <w:t xml:space="preserve">. </w:t>
      </w:r>
    </w:p>
    <w:p w14:paraId="4E0FBCF1" w14:textId="63D02BD9" w:rsidR="00E72460" w:rsidRPr="00892CA6" w:rsidRDefault="00DE006B" w:rsidP="00AC399A">
      <w:pPr>
        <w:pStyle w:val="Heading2"/>
        <w:numPr>
          <w:ilvl w:val="0"/>
          <w:numId w:val="0"/>
        </w:numPr>
        <w:rPr>
          <w:rFonts w:ascii="Verdana" w:hAnsi="Verdana" w:cstheme="minorHAnsi"/>
          <w:b/>
          <w:bCs/>
          <w:sz w:val="20"/>
          <w:szCs w:val="20"/>
          <w:lang w:val="en-US"/>
        </w:rPr>
      </w:pPr>
      <w:r w:rsidRPr="00892CA6">
        <w:rPr>
          <w:rFonts w:ascii="Verdana" w:hAnsi="Verdana" w:cstheme="minorHAnsi"/>
          <w:b/>
          <w:bCs/>
          <w:sz w:val="20"/>
          <w:szCs w:val="20"/>
          <w:lang w:val="en-US"/>
        </w:rPr>
        <w:t xml:space="preserve">Overall summary and conclusion </w:t>
      </w:r>
    </w:p>
    <w:p w14:paraId="30A6791F" w14:textId="54BC8620" w:rsidR="00BE4821" w:rsidRPr="00892CA6" w:rsidRDefault="00BE4821" w:rsidP="00BE4821">
      <w:pPr>
        <w:pStyle w:val="Heading1"/>
        <w:keepNext w:val="0"/>
        <w:keepLines w:val="0"/>
        <w:numPr>
          <w:ilvl w:val="0"/>
          <w:numId w:val="17"/>
        </w:numPr>
        <w:spacing w:after="60" w:line="276" w:lineRule="auto"/>
        <w:ind w:left="0" w:firstLine="0"/>
        <w:jc w:val="both"/>
        <w:rPr>
          <w:rFonts w:ascii="Verdana" w:eastAsiaTheme="minorHAnsi" w:hAnsi="Verdana" w:cstheme="minorHAnsi"/>
          <w:b/>
          <w:color w:val="000000" w:themeColor="text1"/>
          <w:sz w:val="20"/>
          <w:szCs w:val="20"/>
        </w:rPr>
      </w:pPr>
      <w:r w:rsidRPr="00892CA6">
        <w:rPr>
          <w:rFonts w:ascii="Verdana" w:eastAsiaTheme="minorHAnsi" w:hAnsi="Verdana" w:cstheme="minorHAnsi"/>
          <w:color w:val="000000" w:themeColor="text1"/>
          <w:sz w:val="20"/>
          <w:szCs w:val="20"/>
        </w:rPr>
        <w:t xml:space="preserve">CIMA has undergone a data analysis for the MSBs sector to conclude on the country’s risk exposure to ML/TF and </w:t>
      </w:r>
      <w:r w:rsidR="00A57AAB">
        <w:rPr>
          <w:rFonts w:ascii="Verdana" w:eastAsiaTheme="minorHAnsi" w:hAnsi="Verdana" w:cstheme="minorHAnsi"/>
          <w:color w:val="000000" w:themeColor="text1"/>
          <w:sz w:val="20"/>
          <w:szCs w:val="20"/>
        </w:rPr>
        <w:t>concludes</w:t>
      </w:r>
      <w:r w:rsidR="00A57AAB" w:rsidRPr="00892CA6">
        <w:rPr>
          <w:rFonts w:ascii="Verdana" w:eastAsiaTheme="minorHAnsi" w:hAnsi="Verdana" w:cstheme="minorHAnsi"/>
          <w:color w:val="000000" w:themeColor="text1"/>
          <w:sz w:val="20"/>
          <w:szCs w:val="20"/>
        </w:rPr>
        <w:t xml:space="preserve"> </w:t>
      </w:r>
      <w:r w:rsidRPr="00892CA6">
        <w:rPr>
          <w:rFonts w:ascii="Verdana" w:eastAsiaTheme="minorHAnsi" w:hAnsi="Verdana" w:cstheme="minorHAnsi"/>
          <w:color w:val="000000" w:themeColor="text1"/>
          <w:sz w:val="20"/>
          <w:szCs w:val="20"/>
        </w:rPr>
        <w:t xml:space="preserve">that there is a medium-low risk of the MSBs sector being misused for ML/TF purposes.  While the risks emanating from the nature of the sector, products and services and distribution channels are determined to be low, the risks associated with the types of customers are medium-high, mainly due to the </w:t>
      </w:r>
      <w:r w:rsidR="004274F5">
        <w:rPr>
          <w:rFonts w:ascii="Verdana" w:eastAsiaTheme="minorHAnsi" w:hAnsi="Verdana" w:cstheme="minorHAnsi"/>
          <w:color w:val="000000" w:themeColor="text1"/>
          <w:sz w:val="20"/>
          <w:szCs w:val="20"/>
        </w:rPr>
        <w:t xml:space="preserve">number </w:t>
      </w:r>
      <w:r w:rsidRPr="00892CA6">
        <w:rPr>
          <w:rFonts w:ascii="Verdana" w:eastAsiaTheme="minorHAnsi" w:hAnsi="Verdana" w:cstheme="minorHAnsi"/>
          <w:color w:val="000000" w:themeColor="text1"/>
          <w:sz w:val="20"/>
          <w:szCs w:val="20"/>
        </w:rPr>
        <w:t>of the customers originating from high</w:t>
      </w:r>
      <w:r w:rsidR="00A57AAB">
        <w:rPr>
          <w:rFonts w:ascii="Verdana" w:eastAsiaTheme="minorHAnsi" w:hAnsi="Verdana" w:cstheme="minorHAnsi"/>
          <w:color w:val="000000" w:themeColor="text1"/>
          <w:sz w:val="20"/>
          <w:szCs w:val="20"/>
        </w:rPr>
        <w:t>-</w:t>
      </w:r>
      <w:r w:rsidRPr="00892CA6">
        <w:rPr>
          <w:rFonts w:ascii="Verdana" w:eastAsiaTheme="minorHAnsi" w:hAnsi="Verdana" w:cstheme="minorHAnsi"/>
          <w:color w:val="000000" w:themeColor="text1"/>
          <w:sz w:val="20"/>
          <w:szCs w:val="20"/>
        </w:rPr>
        <w:t xml:space="preserve">risk countries. The weighting </w:t>
      </w:r>
      <w:r w:rsidR="00B45F92" w:rsidRPr="00892CA6">
        <w:rPr>
          <w:rFonts w:ascii="Verdana" w:eastAsiaTheme="minorHAnsi" w:hAnsi="Verdana" w:cstheme="minorHAnsi"/>
          <w:color w:val="000000" w:themeColor="text1"/>
          <w:sz w:val="20"/>
          <w:szCs w:val="20"/>
        </w:rPr>
        <w:t>of the “</w:t>
      </w:r>
      <w:r w:rsidRPr="00892CA6">
        <w:rPr>
          <w:rFonts w:ascii="Verdana" w:eastAsiaTheme="minorHAnsi" w:hAnsi="Verdana" w:cstheme="minorHAnsi"/>
          <w:color w:val="000000" w:themeColor="text1"/>
          <w:sz w:val="20"/>
          <w:szCs w:val="20"/>
        </w:rPr>
        <w:t>types of customers</w:t>
      </w:r>
      <w:r w:rsidR="00B45F92" w:rsidRPr="00892CA6">
        <w:rPr>
          <w:rFonts w:ascii="Verdana" w:eastAsiaTheme="minorHAnsi" w:hAnsi="Verdana" w:cstheme="minorHAnsi"/>
          <w:color w:val="000000" w:themeColor="text1"/>
          <w:sz w:val="20"/>
          <w:szCs w:val="20"/>
        </w:rPr>
        <w:t>” risk factor resulted</w:t>
      </w:r>
      <w:r w:rsidRPr="00892CA6">
        <w:rPr>
          <w:rFonts w:ascii="Verdana" w:eastAsiaTheme="minorHAnsi" w:hAnsi="Verdana" w:cstheme="minorHAnsi"/>
          <w:color w:val="000000" w:themeColor="text1"/>
          <w:sz w:val="20"/>
          <w:szCs w:val="20"/>
        </w:rPr>
        <w:t xml:space="preserve"> in a composite ML/TF risk rating of medium-low</w:t>
      </w:r>
      <w:r w:rsidR="00B45F92" w:rsidRPr="00892CA6">
        <w:rPr>
          <w:rFonts w:ascii="Verdana" w:eastAsiaTheme="minorHAnsi" w:hAnsi="Verdana" w:cstheme="minorHAnsi"/>
          <w:color w:val="000000" w:themeColor="text1"/>
          <w:sz w:val="20"/>
          <w:szCs w:val="20"/>
        </w:rPr>
        <w:t xml:space="preserve"> for the sector</w:t>
      </w:r>
      <w:r w:rsidRPr="00892CA6">
        <w:rPr>
          <w:rFonts w:ascii="Verdana" w:eastAsiaTheme="minorHAnsi" w:hAnsi="Verdana" w:cstheme="minorHAnsi"/>
          <w:color w:val="000000" w:themeColor="text1"/>
          <w:sz w:val="20"/>
          <w:szCs w:val="20"/>
        </w:rPr>
        <w:t>.</w:t>
      </w:r>
    </w:p>
    <w:p w14:paraId="61DA9703" w14:textId="77777777" w:rsidR="004637E1" w:rsidRPr="00892CA6" w:rsidRDefault="004637E1" w:rsidP="00E72460">
      <w:pPr>
        <w:pStyle w:val="Heading2"/>
        <w:numPr>
          <w:ilvl w:val="0"/>
          <w:numId w:val="0"/>
        </w:numPr>
        <w:spacing w:line="276" w:lineRule="auto"/>
        <w:ind w:left="1440" w:right="-6" w:hanging="360"/>
        <w:jc w:val="both"/>
        <w:rPr>
          <w:rFonts w:ascii="Verdana" w:eastAsiaTheme="minorHAnsi" w:hAnsi="Verdana" w:cstheme="minorHAnsi"/>
          <w:color w:val="000000" w:themeColor="text1"/>
          <w:sz w:val="20"/>
          <w:szCs w:val="20"/>
          <w:lang w:val="en-US" w:eastAsia="en-US"/>
        </w:rPr>
      </w:pPr>
    </w:p>
    <w:sectPr w:rsidR="004637E1" w:rsidRPr="00892CA6" w:rsidSect="00DF387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E489" w14:textId="77777777" w:rsidR="006D2748" w:rsidRDefault="006D2748" w:rsidP="002E1CAE">
      <w:r>
        <w:separator/>
      </w:r>
    </w:p>
  </w:endnote>
  <w:endnote w:type="continuationSeparator" w:id="0">
    <w:p w14:paraId="4046906D" w14:textId="77777777" w:rsidR="006D2748" w:rsidRDefault="006D2748" w:rsidP="002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D69D" w14:textId="77777777" w:rsidR="006D2748" w:rsidRDefault="006D2748" w:rsidP="002E1CAE">
      <w:r>
        <w:separator/>
      </w:r>
    </w:p>
  </w:footnote>
  <w:footnote w:type="continuationSeparator" w:id="0">
    <w:p w14:paraId="4832142B" w14:textId="77777777" w:rsidR="006D2748" w:rsidRDefault="006D2748" w:rsidP="002E1CAE">
      <w:r>
        <w:continuationSeparator/>
      </w:r>
    </w:p>
  </w:footnote>
  <w:footnote w:id="1">
    <w:p w14:paraId="49BB92E7" w14:textId="77777777" w:rsidR="00E87B28" w:rsidRPr="00116BC6" w:rsidRDefault="00E87B28" w:rsidP="008F0348">
      <w:pPr>
        <w:pStyle w:val="FootnoteText"/>
        <w:rPr>
          <w:rFonts w:ascii="Verdana" w:hAnsi="Verdana"/>
          <w:sz w:val="16"/>
          <w:szCs w:val="16"/>
        </w:rPr>
      </w:pPr>
      <w:r w:rsidRPr="00116BC6">
        <w:rPr>
          <w:rStyle w:val="FootnoteReference"/>
          <w:rFonts w:ascii="Verdana" w:hAnsi="Verdana"/>
          <w:sz w:val="16"/>
          <w:szCs w:val="16"/>
        </w:rPr>
        <w:footnoteRef/>
      </w:r>
      <w:r w:rsidRPr="00116BC6">
        <w:rPr>
          <w:rFonts w:ascii="Verdana" w:hAnsi="Verdana"/>
          <w:sz w:val="16"/>
          <w:szCs w:val="16"/>
        </w:rPr>
        <w:t xml:space="preserve"> </w:t>
      </w:r>
      <w:hyperlink r:id="rId1" w:history="1">
        <w:r w:rsidRPr="00116BC6">
          <w:rPr>
            <w:rStyle w:val="Hyperlink"/>
            <w:rFonts w:ascii="Verdana" w:hAnsi="Verdana"/>
            <w:sz w:val="16"/>
            <w:szCs w:val="16"/>
          </w:rPr>
          <w:t>http://www.fatf-gafi.org/documents/riskbasedapproach/?hf=10&amp;b=0&amp;s=desc(fatf_releasedate)</w:t>
        </w:r>
      </w:hyperlink>
    </w:p>
    <w:p w14:paraId="3BFF82CE" w14:textId="77777777" w:rsidR="00E87B28" w:rsidRPr="00116BC6" w:rsidRDefault="00E87B28" w:rsidP="008F0348">
      <w:pPr>
        <w:pStyle w:val="FootnoteText"/>
        <w:rPr>
          <w:rFonts w:ascii="Verdana" w:hAnsi="Verdana"/>
          <w:sz w:val="16"/>
          <w:szCs w:val="16"/>
          <w:lang w:val="en-US"/>
        </w:rPr>
      </w:pPr>
    </w:p>
  </w:footnote>
  <w:footnote w:id="2">
    <w:p w14:paraId="78979C0A" w14:textId="77777777" w:rsidR="00E87B28" w:rsidRPr="00116BC6" w:rsidRDefault="00E87B28" w:rsidP="008F0348">
      <w:pPr>
        <w:pStyle w:val="FootnoteText"/>
        <w:rPr>
          <w:rFonts w:ascii="Verdana" w:hAnsi="Verdana"/>
          <w:sz w:val="16"/>
          <w:szCs w:val="16"/>
          <w:lang w:val="en-US"/>
        </w:rPr>
      </w:pPr>
      <w:r w:rsidRPr="00116BC6">
        <w:rPr>
          <w:rStyle w:val="FootnoteReference"/>
          <w:rFonts w:ascii="Verdana" w:hAnsi="Verdana"/>
          <w:sz w:val="16"/>
          <w:szCs w:val="16"/>
        </w:rPr>
        <w:footnoteRef/>
      </w:r>
      <w:r w:rsidRPr="00116BC6">
        <w:rPr>
          <w:rFonts w:ascii="Verdana" w:hAnsi="Verdana"/>
          <w:sz w:val="16"/>
          <w:szCs w:val="16"/>
        </w:rPr>
        <w:t xml:space="preserve"> </w:t>
      </w:r>
      <w:hyperlink r:id="rId2" w:history="1">
        <w:r w:rsidRPr="00116BC6">
          <w:rPr>
            <w:rStyle w:val="Hyperlink"/>
            <w:rFonts w:ascii="Verdana" w:hAnsi="Verdana"/>
            <w:sz w:val="16"/>
            <w:szCs w:val="16"/>
          </w:rPr>
          <w:t>https://www.cima.ky/guidance-notes</w:t>
        </w:r>
      </w:hyperlink>
    </w:p>
  </w:footnote>
  <w:footnote w:id="3">
    <w:p w14:paraId="69434C5A" w14:textId="77777777" w:rsidR="00E87B28" w:rsidRPr="00892CA6" w:rsidRDefault="00E87B28" w:rsidP="00FC307D">
      <w:pPr>
        <w:pStyle w:val="FootnoteText"/>
        <w:rPr>
          <w:rFonts w:ascii="Verdana" w:hAnsi="Verdana"/>
          <w:sz w:val="16"/>
          <w:szCs w:val="16"/>
          <w:lang w:val="en-US"/>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3" w:anchor="high-risk" w:history="1">
        <w:r w:rsidRPr="00892CA6">
          <w:rPr>
            <w:rStyle w:val="Hyperlink"/>
            <w:rFonts w:ascii="Verdana" w:hAnsi="Verdana"/>
            <w:sz w:val="16"/>
            <w:szCs w:val="16"/>
          </w:rPr>
          <w:t>http://www.fatf-gafi.org/countries/#high-risk</w:t>
        </w:r>
      </w:hyperlink>
      <w:r w:rsidRPr="00892CA6">
        <w:rPr>
          <w:rFonts w:ascii="Verdana" w:hAnsi="Verdana"/>
          <w:sz w:val="16"/>
          <w:szCs w:val="16"/>
        </w:rPr>
        <w:t xml:space="preserve">. </w:t>
      </w:r>
    </w:p>
  </w:footnote>
  <w:footnote w:id="4">
    <w:p w14:paraId="402237F7" w14:textId="77777777" w:rsidR="00E87B28" w:rsidRPr="000333A2" w:rsidRDefault="00E87B28" w:rsidP="00A0438C">
      <w:pPr>
        <w:pStyle w:val="FootnoteText"/>
        <w:rPr>
          <w:rFonts w:ascii="Verdana" w:hAnsi="Verdana"/>
          <w:sz w:val="16"/>
          <w:szCs w:val="16"/>
        </w:rPr>
      </w:pPr>
      <w:r w:rsidRPr="000333A2">
        <w:rPr>
          <w:rStyle w:val="FootnoteReference"/>
          <w:rFonts w:ascii="Verdana" w:hAnsi="Verdana"/>
          <w:sz w:val="16"/>
          <w:szCs w:val="16"/>
        </w:rPr>
        <w:footnoteRef/>
      </w:r>
      <w:r w:rsidRPr="000333A2">
        <w:rPr>
          <w:rFonts w:ascii="Verdana" w:hAnsi="Verdana"/>
          <w:sz w:val="16"/>
          <w:szCs w:val="16"/>
        </w:rPr>
        <w:t xml:space="preserve"> </w:t>
      </w:r>
      <w:hyperlink r:id="rId4" w:history="1">
        <w:r w:rsidRPr="000333A2">
          <w:rPr>
            <w:rFonts w:ascii="Verdana" w:hAnsi="Verdana"/>
            <w:color w:val="0000FF"/>
            <w:sz w:val="16"/>
            <w:szCs w:val="16"/>
            <w:u w:val="single"/>
          </w:rPr>
          <w:t>https://data.gov.uk/dataset/a424169b-a2c9-4809-9ccd-a68411e5cf51/consolidated-list-of-financial-sanctions-targets</w:t>
        </w:r>
      </w:hyperlink>
    </w:p>
  </w:footnote>
  <w:footnote w:id="5">
    <w:p w14:paraId="6A0F4DE6" w14:textId="77777777" w:rsidR="00E87B28" w:rsidRPr="00892CA6" w:rsidRDefault="00E87B28" w:rsidP="00FC307D">
      <w:pPr>
        <w:pStyle w:val="FootnoteText"/>
        <w:rPr>
          <w:rFonts w:ascii="Verdana" w:hAnsi="Verdana"/>
          <w:sz w:val="16"/>
          <w:szCs w:val="16"/>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5" w:history="1">
        <w:r w:rsidRPr="00892CA6">
          <w:rPr>
            <w:rStyle w:val="Hyperlink"/>
            <w:rFonts w:ascii="Verdana" w:hAnsi="Verdana"/>
            <w:sz w:val="16"/>
            <w:szCs w:val="16"/>
          </w:rPr>
          <w:t>https://www.baselgovernance.org/basel-aml-index/public-ranking</w:t>
        </w:r>
      </w:hyperlink>
      <w:r w:rsidRPr="00892CA6">
        <w:rPr>
          <w:rFonts w:ascii="Verdana" w:hAnsi="Verdana"/>
          <w:sz w:val="16"/>
          <w:szCs w:val="16"/>
        </w:rPr>
        <w:t xml:space="preserve"> </w:t>
      </w:r>
    </w:p>
  </w:footnote>
  <w:footnote w:id="6">
    <w:p w14:paraId="17B13679" w14:textId="0285172D" w:rsidR="00E87B28" w:rsidRPr="00892CA6" w:rsidRDefault="00E87B28">
      <w:pPr>
        <w:pStyle w:val="FootnoteText"/>
        <w:rPr>
          <w:rFonts w:ascii="Verdana" w:hAnsi="Verdana"/>
          <w:sz w:val="16"/>
          <w:szCs w:val="16"/>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6" w:history="1">
        <w:r w:rsidRPr="00892CA6">
          <w:rPr>
            <w:rStyle w:val="Hyperlink"/>
            <w:rFonts w:ascii="Verdana" w:hAnsi="Verdana"/>
            <w:sz w:val="16"/>
            <w:szCs w:val="16"/>
          </w:rPr>
          <w:t>https://reliefweb.int/sites/reliefweb.int/files/resources/Global-Terrorism-Index-2018-1.pdf</w:t>
        </w:r>
      </w:hyperlink>
    </w:p>
    <w:p w14:paraId="69564D10" w14:textId="77777777" w:rsidR="00E87B28" w:rsidRPr="00AC399A" w:rsidRDefault="00E87B28">
      <w:pPr>
        <w:pStyle w:val="FootnoteText"/>
        <w:rPr>
          <w:lang w:val="en-US"/>
        </w:rPr>
      </w:pPr>
    </w:p>
  </w:footnote>
  <w:footnote w:id="7">
    <w:p w14:paraId="0B7C6832" w14:textId="19459D19" w:rsidR="00E87B28" w:rsidRPr="00892CA6" w:rsidRDefault="00E87B28">
      <w:pPr>
        <w:pStyle w:val="FootnoteText"/>
        <w:rPr>
          <w:rFonts w:ascii="Verdana" w:hAnsi="Verdana"/>
          <w:sz w:val="16"/>
          <w:szCs w:val="16"/>
          <w:lang w:val="en-US"/>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7" w:anchor="4" w:history="1">
        <w:r w:rsidRPr="00892CA6">
          <w:rPr>
            <w:rStyle w:val="Hyperlink"/>
            <w:rFonts w:ascii="Verdana" w:hAnsi="Verdana"/>
            <w:sz w:val="16"/>
            <w:szCs w:val="16"/>
          </w:rPr>
          <w:t>https://www.eso.ky/populationandvitalstatistics.html#4</w:t>
        </w:r>
      </w:hyperlink>
    </w:p>
  </w:footnote>
  <w:footnote w:id="8">
    <w:p w14:paraId="77EAD013" w14:textId="77777777" w:rsidR="00E87B28" w:rsidRPr="009A3BA3" w:rsidRDefault="00E87B28" w:rsidP="005C0CE8">
      <w:pPr>
        <w:pStyle w:val="FootnoteText"/>
        <w:rPr>
          <w:rFonts w:ascii="Verdana" w:hAnsi="Verdana"/>
          <w:sz w:val="16"/>
          <w:szCs w:val="16"/>
        </w:rPr>
      </w:pPr>
      <w:r w:rsidRPr="009A3BA3">
        <w:rPr>
          <w:rStyle w:val="FootnoteReference"/>
          <w:rFonts w:ascii="Verdana" w:hAnsi="Verdana"/>
          <w:sz w:val="16"/>
          <w:szCs w:val="16"/>
        </w:rPr>
        <w:footnoteRef/>
      </w:r>
      <w:r w:rsidRPr="009A3BA3">
        <w:rPr>
          <w:rFonts w:ascii="Verdana" w:hAnsi="Verdana"/>
          <w:sz w:val="16"/>
          <w:szCs w:val="16"/>
        </w:rPr>
        <w:t xml:space="preserve"> </w:t>
      </w:r>
      <w:hyperlink r:id="rId8" w:history="1">
        <w:r w:rsidRPr="009A3BA3">
          <w:rPr>
            <w:rFonts w:ascii="Verdana" w:hAnsi="Verdana"/>
            <w:color w:val="0000FF"/>
            <w:sz w:val="16"/>
            <w:szCs w:val="16"/>
            <w:u w:val="single"/>
          </w:rPr>
          <w:t>https://data.gov.uk/dataset/a424169b-a2c9-4809-9ccd-a68411e5cf51/consolidated-list-of-financial-sanctions-targets</w:t>
        </w:r>
      </w:hyperlink>
    </w:p>
  </w:footnote>
  <w:footnote w:id="9">
    <w:p w14:paraId="2B483FAD" w14:textId="77777777" w:rsidR="00E87B28" w:rsidRPr="00892CA6" w:rsidRDefault="00E87B28" w:rsidP="00F30152">
      <w:pPr>
        <w:pStyle w:val="FootnoteText"/>
        <w:rPr>
          <w:rFonts w:ascii="Verdana" w:hAnsi="Verdana"/>
          <w:sz w:val="16"/>
          <w:szCs w:val="16"/>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9" w:history="1">
        <w:r w:rsidRPr="00892CA6">
          <w:rPr>
            <w:rStyle w:val="Hyperlink"/>
            <w:rFonts w:ascii="Verdana" w:hAnsi="Verdana"/>
            <w:sz w:val="16"/>
            <w:szCs w:val="16"/>
          </w:rPr>
          <w:t>https://www.baselgovernance.org/basel-aml-index/public-ranking</w:t>
        </w:r>
      </w:hyperlink>
      <w:r w:rsidRPr="00892CA6">
        <w:rPr>
          <w:rFonts w:ascii="Verdana" w:hAnsi="Verdana"/>
          <w:sz w:val="16"/>
          <w:szCs w:val="16"/>
        </w:rPr>
        <w:t xml:space="preserve"> </w:t>
      </w:r>
    </w:p>
  </w:footnote>
  <w:footnote w:id="10">
    <w:p w14:paraId="0DBF9A1B" w14:textId="77777777" w:rsidR="00E87B28" w:rsidRPr="00892CA6" w:rsidRDefault="00E87B28" w:rsidP="00F30152">
      <w:pPr>
        <w:pStyle w:val="FootnoteText"/>
        <w:rPr>
          <w:rFonts w:ascii="Verdana" w:hAnsi="Verdana"/>
          <w:sz w:val="16"/>
          <w:szCs w:val="16"/>
        </w:rPr>
      </w:pPr>
      <w:r w:rsidRPr="00892CA6">
        <w:rPr>
          <w:rStyle w:val="FootnoteReference"/>
          <w:rFonts w:ascii="Verdana" w:hAnsi="Verdana"/>
          <w:sz w:val="16"/>
          <w:szCs w:val="16"/>
        </w:rPr>
        <w:footnoteRef/>
      </w:r>
      <w:r w:rsidRPr="00892CA6">
        <w:rPr>
          <w:rFonts w:ascii="Verdana" w:hAnsi="Verdana"/>
          <w:sz w:val="16"/>
          <w:szCs w:val="16"/>
        </w:rPr>
        <w:t xml:space="preserve"> </w:t>
      </w:r>
      <w:hyperlink r:id="rId10" w:history="1">
        <w:r w:rsidRPr="00892CA6">
          <w:rPr>
            <w:rStyle w:val="Hyperlink"/>
            <w:rFonts w:ascii="Verdana" w:hAnsi="Verdana"/>
            <w:sz w:val="16"/>
            <w:szCs w:val="16"/>
          </w:rPr>
          <w:t>https://reliefweb.int/sites/reliefweb.int/files/resources/Global-Terrorism-Index-2018-1.pdf</w:t>
        </w:r>
      </w:hyperlink>
    </w:p>
    <w:p w14:paraId="0A87B183" w14:textId="77777777" w:rsidR="00E87B28" w:rsidRPr="00D24E3F" w:rsidRDefault="00E87B28" w:rsidP="00F30152">
      <w:pPr>
        <w:pStyle w:val="FootnoteText"/>
        <w:rPr>
          <w:lang w:val="en-US"/>
        </w:rPr>
      </w:pPr>
    </w:p>
  </w:footnote>
  <w:footnote w:id="11">
    <w:p w14:paraId="38208430" w14:textId="2FDA4889" w:rsidR="00E87B28" w:rsidRPr="00892CA6" w:rsidRDefault="00E87B28">
      <w:pPr>
        <w:pStyle w:val="FootnoteText"/>
        <w:rPr>
          <w:rFonts w:ascii="Verdana" w:hAnsi="Verdana"/>
          <w:sz w:val="16"/>
          <w:szCs w:val="16"/>
        </w:rPr>
      </w:pPr>
      <w:r w:rsidRPr="00892CA6">
        <w:rPr>
          <w:rStyle w:val="FootnoteReference"/>
          <w:rFonts w:ascii="Verdana" w:hAnsi="Verdana"/>
          <w:sz w:val="16"/>
          <w:szCs w:val="16"/>
        </w:rPr>
        <w:footnoteRef/>
      </w:r>
      <w:hyperlink r:id="rId11" w:history="1">
        <w:r w:rsidRPr="00892CA6">
          <w:rPr>
            <w:rStyle w:val="Hyperlink"/>
            <w:rFonts w:ascii="Verdana" w:hAnsi="Verdana"/>
            <w:sz w:val="16"/>
            <w:szCs w:val="16"/>
          </w:rPr>
          <w:t>https://www.eso.ky/UserFiles/right_page_docums/files/uploads/the_cayman_islands_compendium_of_statist-10.pdf</w:t>
        </w:r>
      </w:hyperlink>
    </w:p>
    <w:p w14:paraId="1FDA99E5" w14:textId="77777777" w:rsidR="00E87B28" w:rsidRPr="00892CA6" w:rsidRDefault="00E87B28">
      <w:pPr>
        <w:pStyle w:val="FootnoteText"/>
        <w:rPr>
          <w:rFonts w:ascii="Verdana" w:hAnsi="Verdana"/>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DAB"/>
    <w:multiLevelType w:val="multilevel"/>
    <w:tmpl w:val="AD762736"/>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8"/>
      <w:numFmt w:val="decimal"/>
      <w:lvlText w:val="%3."/>
      <w:lvlJc w:val="left"/>
      <w:pPr>
        <w:ind w:left="927" w:hanging="360"/>
      </w:pPr>
      <w:rPr>
        <w:rFonts w:hint="default"/>
        <w:b w:val="0"/>
        <w:i w:val="0"/>
        <w:sz w:val="22"/>
      </w:rPr>
    </w:lvl>
    <w:lvl w:ilvl="3">
      <w:start w:val="1"/>
      <w:numFmt w:val="decimal"/>
      <w:lvlText w:val="%1.%2.%3.%4"/>
      <w:lvlJc w:val="left"/>
      <w:pPr>
        <w:tabs>
          <w:tab w:val="num" w:pos="2693"/>
        </w:tabs>
        <w:ind w:left="2693" w:hanging="1275"/>
      </w:pPr>
      <w:rPr>
        <w:rFonts w:hint="default"/>
      </w:rPr>
    </w:lvl>
    <w:lvl w:ilvl="4">
      <w:start w:val="1"/>
      <w:numFmt w:val="bullet"/>
      <w:lvlText w:val="›"/>
      <w:lvlJc w:val="left"/>
      <w:pPr>
        <w:tabs>
          <w:tab w:val="num" w:pos="2977"/>
        </w:tabs>
        <w:ind w:left="2977" w:hanging="284"/>
      </w:pPr>
      <w:rPr>
        <w:rFonts w:ascii="Calibri" w:hAnsi="Calibri" w:hint="default"/>
        <w:b w:val="0"/>
        <w:i w:val="0"/>
        <w:color w:val="auto"/>
        <w:sz w:val="22"/>
      </w:rPr>
    </w:lvl>
    <w:lvl w:ilvl="5">
      <w:start w:val="1"/>
      <w:numFmt w:val="bullet"/>
      <w:lvlText w:val=""/>
      <w:lvlJc w:val="left"/>
      <w:pPr>
        <w:ind w:left="10165" w:hanging="360"/>
      </w:pPr>
      <w:rPr>
        <w:rFonts w:ascii="Wingdings" w:hAnsi="Wingdings" w:hint="default"/>
      </w:rPr>
    </w:lvl>
    <w:lvl w:ilvl="6">
      <w:start w:val="1"/>
      <w:numFmt w:val="bullet"/>
      <w:lvlText w:val=""/>
      <w:lvlJc w:val="left"/>
      <w:pPr>
        <w:ind w:left="10885" w:hanging="360"/>
      </w:pPr>
      <w:rPr>
        <w:rFonts w:ascii="Symbol" w:hAnsi="Symbol" w:hint="default"/>
      </w:rPr>
    </w:lvl>
    <w:lvl w:ilvl="7">
      <w:start w:val="1"/>
      <w:numFmt w:val="bullet"/>
      <w:lvlText w:val="o"/>
      <w:lvlJc w:val="left"/>
      <w:pPr>
        <w:ind w:left="11605" w:hanging="360"/>
      </w:pPr>
      <w:rPr>
        <w:rFonts w:ascii="Courier New" w:hAnsi="Courier New" w:cs="Courier New" w:hint="default"/>
      </w:rPr>
    </w:lvl>
    <w:lvl w:ilvl="8">
      <w:start w:val="1"/>
      <w:numFmt w:val="bullet"/>
      <w:lvlText w:val=""/>
      <w:lvlJc w:val="left"/>
      <w:pPr>
        <w:ind w:left="12325" w:hanging="360"/>
      </w:pPr>
      <w:rPr>
        <w:rFonts w:ascii="Wingdings" w:hAnsi="Wingdings" w:hint="default"/>
      </w:rPr>
    </w:lvl>
  </w:abstractNum>
  <w:abstractNum w:abstractNumId="1" w15:restartNumberingAfterBreak="0">
    <w:nsid w:val="37EE6ADE"/>
    <w:multiLevelType w:val="hybridMultilevel"/>
    <w:tmpl w:val="0F88413E"/>
    <w:lvl w:ilvl="0" w:tplc="2DEE64DE">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E1592"/>
    <w:multiLevelType w:val="hybridMultilevel"/>
    <w:tmpl w:val="82BCEF88"/>
    <w:lvl w:ilvl="0" w:tplc="69F077B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12AFD"/>
    <w:multiLevelType w:val="multilevel"/>
    <w:tmpl w:val="B92A21CE"/>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4BD4091"/>
    <w:multiLevelType w:val="hybridMultilevel"/>
    <w:tmpl w:val="EB0816DE"/>
    <w:lvl w:ilvl="0" w:tplc="20A249B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55757"/>
    <w:multiLevelType w:val="hybridMultilevel"/>
    <w:tmpl w:val="D636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D40C2"/>
    <w:multiLevelType w:val="hybridMultilevel"/>
    <w:tmpl w:val="F5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D065F"/>
    <w:multiLevelType w:val="hybridMultilevel"/>
    <w:tmpl w:val="4EB02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01F6D"/>
    <w:multiLevelType w:val="hybridMultilevel"/>
    <w:tmpl w:val="98323848"/>
    <w:lvl w:ilvl="0" w:tplc="6E0E92B2">
      <w:start w:val="1"/>
      <w:numFmt w:val="lowerRoman"/>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9" w15:restartNumberingAfterBreak="0">
    <w:nsid w:val="73376857"/>
    <w:multiLevelType w:val="hybridMultilevel"/>
    <w:tmpl w:val="2B56D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80BE1"/>
    <w:multiLevelType w:val="multilevel"/>
    <w:tmpl w:val="FEC0C94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FA24EDF"/>
    <w:multiLevelType w:val="multilevel"/>
    <w:tmpl w:val="0F6C0494"/>
    <w:lvl w:ilvl="0">
      <w:start w:val="1"/>
      <w:numFmt w:val="decimal"/>
      <w:lvlText w:val="%1."/>
      <w:lvlJc w:val="left"/>
      <w:pPr>
        <w:tabs>
          <w:tab w:val="num" w:pos="720"/>
        </w:tabs>
        <w:ind w:left="720" w:hanging="360"/>
      </w:pPr>
    </w:lvl>
    <w:lvl w:ilvl="1">
      <w:start w:val="1"/>
      <w:numFmt w:val="decimal"/>
      <w:pStyle w:val="Heading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0"/>
  </w:num>
  <w:num w:numId="4">
    <w:abstractNumId w:val="3"/>
  </w:num>
  <w:num w:numId="5">
    <w:abstractNumId w:val="5"/>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2"/>
  </w:num>
  <w:num w:numId="16">
    <w:abstractNumId w:val="0"/>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8"/>
  </w:num>
  <w:num w:numId="25">
    <w:abstractNumId w:val="11"/>
  </w:num>
  <w:num w:numId="26">
    <w:abstractNumId w:val="11"/>
  </w:num>
  <w:num w:numId="27">
    <w:abstractNumId w:val="9"/>
  </w:num>
  <w:num w:numId="28">
    <w:abstractNumId w:val="11"/>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2"/>
    <w:rsid w:val="00000EB6"/>
    <w:rsid w:val="00003D20"/>
    <w:rsid w:val="000061D5"/>
    <w:rsid w:val="000076A2"/>
    <w:rsid w:val="0001034A"/>
    <w:rsid w:val="00011A36"/>
    <w:rsid w:val="00014CCD"/>
    <w:rsid w:val="00015246"/>
    <w:rsid w:val="00024B28"/>
    <w:rsid w:val="000262AB"/>
    <w:rsid w:val="000334D3"/>
    <w:rsid w:val="00033C7C"/>
    <w:rsid w:val="000342B0"/>
    <w:rsid w:val="00035192"/>
    <w:rsid w:val="00035A6A"/>
    <w:rsid w:val="00036203"/>
    <w:rsid w:val="00036D38"/>
    <w:rsid w:val="00041DD0"/>
    <w:rsid w:val="0004279D"/>
    <w:rsid w:val="00042D50"/>
    <w:rsid w:val="00043AEF"/>
    <w:rsid w:val="00043CE5"/>
    <w:rsid w:val="00053648"/>
    <w:rsid w:val="000542CF"/>
    <w:rsid w:val="000551B9"/>
    <w:rsid w:val="000575E7"/>
    <w:rsid w:val="00061420"/>
    <w:rsid w:val="000623CE"/>
    <w:rsid w:val="000658E6"/>
    <w:rsid w:val="00072DD7"/>
    <w:rsid w:val="00080B1A"/>
    <w:rsid w:val="0008498C"/>
    <w:rsid w:val="00085AD0"/>
    <w:rsid w:val="00085D68"/>
    <w:rsid w:val="00090444"/>
    <w:rsid w:val="0009057F"/>
    <w:rsid w:val="00095244"/>
    <w:rsid w:val="00096872"/>
    <w:rsid w:val="000A2F6E"/>
    <w:rsid w:val="000A3007"/>
    <w:rsid w:val="000A3AE7"/>
    <w:rsid w:val="000A431F"/>
    <w:rsid w:val="000A5963"/>
    <w:rsid w:val="000A5CC5"/>
    <w:rsid w:val="000A791B"/>
    <w:rsid w:val="000B1BBF"/>
    <w:rsid w:val="000B2641"/>
    <w:rsid w:val="000B4BDF"/>
    <w:rsid w:val="000C136D"/>
    <w:rsid w:val="000C3877"/>
    <w:rsid w:val="000D0F62"/>
    <w:rsid w:val="000D3C2C"/>
    <w:rsid w:val="000D43CD"/>
    <w:rsid w:val="000D47E0"/>
    <w:rsid w:val="000E07F3"/>
    <w:rsid w:val="000E2C65"/>
    <w:rsid w:val="000F12CB"/>
    <w:rsid w:val="000F4EBA"/>
    <w:rsid w:val="000F5EEB"/>
    <w:rsid w:val="000F74F6"/>
    <w:rsid w:val="000F77AB"/>
    <w:rsid w:val="0010506F"/>
    <w:rsid w:val="00105CB1"/>
    <w:rsid w:val="00106F04"/>
    <w:rsid w:val="00110E50"/>
    <w:rsid w:val="0013036C"/>
    <w:rsid w:val="00133EBB"/>
    <w:rsid w:val="001341A4"/>
    <w:rsid w:val="001377A1"/>
    <w:rsid w:val="00143021"/>
    <w:rsid w:val="00144E20"/>
    <w:rsid w:val="00146020"/>
    <w:rsid w:val="0014772E"/>
    <w:rsid w:val="001477A5"/>
    <w:rsid w:val="00151EB6"/>
    <w:rsid w:val="001551E2"/>
    <w:rsid w:val="00164989"/>
    <w:rsid w:val="00170996"/>
    <w:rsid w:val="00175024"/>
    <w:rsid w:val="00184726"/>
    <w:rsid w:val="00191F02"/>
    <w:rsid w:val="00195F06"/>
    <w:rsid w:val="00196AD2"/>
    <w:rsid w:val="001978B9"/>
    <w:rsid w:val="00197E91"/>
    <w:rsid w:val="001A0F4C"/>
    <w:rsid w:val="001A17B3"/>
    <w:rsid w:val="001A4243"/>
    <w:rsid w:val="001A704E"/>
    <w:rsid w:val="001B2C6B"/>
    <w:rsid w:val="001B5DCF"/>
    <w:rsid w:val="001C14B6"/>
    <w:rsid w:val="001C37C6"/>
    <w:rsid w:val="001C7A6B"/>
    <w:rsid w:val="001D0A24"/>
    <w:rsid w:val="001D343D"/>
    <w:rsid w:val="001D58FB"/>
    <w:rsid w:val="001E4900"/>
    <w:rsid w:val="001E5C2F"/>
    <w:rsid w:val="001E7DA8"/>
    <w:rsid w:val="001F10D2"/>
    <w:rsid w:val="001F1BE5"/>
    <w:rsid w:val="001F3DD6"/>
    <w:rsid w:val="001F794B"/>
    <w:rsid w:val="00201F32"/>
    <w:rsid w:val="00206623"/>
    <w:rsid w:val="00210AA4"/>
    <w:rsid w:val="00210B28"/>
    <w:rsid w:val="0021156B"/>
    <w:rsid w:val="00211CE1"/>
    <w:rsid w:val="00212318"/>
    <w:rsid w:val="0021257E"/>
    <w:rsid w:val="00213BB6"/>
    <w:rsid w:val="00215632"/>
    <w:rsid w:val="00222C22"/>
    <w:rsid w:val="002233A1"/>
    <w:rsid w:val="00223C1B"/>
    <w:rsid w:val="00224126"/>
    <w:rsid w:val="002243FE"/>
    <w:rsid w:val="002247DB"/>
    <w:rsid w:val="0022613C"/>
    <w:rsid w:val="00232C49"/>
    <w:rsid w:val="00233D28"/>
    <w:rsid w:val="00234116"/>
    <w:rsid w:val="0023645B"/>
    <w:rsid w:val="00242563"/>
    <w:rsid w:val="002465CF"/>
    <w:rsid w:val="0024783A"/>
    <w:rsid w:val="0025108D"/>
    <w:rsid w:val="0025301E"/>
    <w:rsid w:val="0026180D"/>
    <w:rsid w:val="00264221"/>
    <w:rsid w:val="00267BE9"/>
    <w:rsid w:val="00274E51"/>
    <w:rsid w:val="00274E8C"/>
    <w:rsid w:val="00274ED7"/>
    <w:rsid w:val="002802A0"/>
    <w:rsid w:val="00283201"/>
    <w:rsid w:val="002942A2"/>
    <w:rsid w:val="00294376"/>
    <w:rsid w:val="00297514"/>
    <w:rsid w:val="002A2FD7"/>
    <w:rsid w:val="002A4231"/>
    <w:rsid w:val="002A5E33"/>
    <w:rsid w:val="002A7D7C"/>
    <w:rsid w:val="002B5356"/>
    <w:rsid w:val="002B5C90"/>
    <w:rsid w:val="002B5E4D"/>
    <w:rsid w:val="002B62A1"/>
    <w:rsid w:val="002C1CFF"/>
    <w:rsid w:val="002C2C71"/>
    <w:rsid w:val="002C36AE"/>
    <w:rsid w:val="002C4789"/>
    <w:rsid w:val="002C5958"/>
    <w:rsid w:val="002D090A"/>
    <w:rsid w:val="002D13FE"/>
    <w:rsid w:val="002D1563"/>
    <w:rsid w:val="002D1915"/>
    <w:rsid w:val="002D2977"/>
    <w:rsid w:val="002D4721"/>
    <w:rsid w:val="002D78C2"/>
    <w:rsid w:val="002D7CFF"/>
    <w:rsid w:val="002E0D00"/>
    <w:rsid w:val="002E1CAE"/>
    <w:rsid w:val="002E245C"/>
    <w:rsid w:val="002E3C6C"/>
    <w:rsid w:val="002E50EA"/>
    <w:rsid w:val="002E73F1"/>
    <w:rsid w:val="002F154D"/>
    <w:rsid w:val="002F1E52"/>
    <w:rsid w:val="002F32AE"/>
    <w:rsid w:val="002F5A8C"/>
    <w:rsid w:val="002F639B"/>
    <w:rsid w:val="0030156B"/>
    <w:rsid w:val="003016F8"/>
    <w:rsid w:val="00304320"/>
    <w:rsid w:val="00305FC2"/>
    <w:rsid w:val="00305FD9"/>
    <w:rsid w:val="00306B50"/>
    <w:rsid w:val="003100FB"/>
    <w:rsid w:val="003141D6"/>
    <w:rsid w:val="003153CB"/>
    <w:rsid w:val="003177AF"/>
    <w:rsid w:val="0032349E"/>
    <w:rsid w:val="003260DB"/>
    <w:rsid w:val="003260DF"/>
    <w:rsid w:val="00326EF8"/>
    <w:rsid w:val="003350D5"/>
    <w:rsid w:val="0033665B"/>
    <w:rsid w:val="00337B2F"/>
    <w:rsid w:val="00337CCD"/>
    <w:rsid w:val="003409FF"/>
    <w:rsid w:val="00350694"/>
    <w:rsid w:val="003520DD"/>
    <w:rsid w:val="00352DFE"/>
    <w:rsid w:val="003545A3"/>
    <w:rsid w:val="00361A9B"/>
    <w:rsid w:val="0036213E"/>
    <w:rsid w:val="0036348D"/>
    <w:rsid w:val="00365F9C"/>
    <w:rsid w:val="00366014"/>
    <w:rsid w:val="00366B67"/>
    <w:rsid w:val="0037178B"/>
    <w:rsid w:val="003721C3"/>
    <w:rsid w:val="00372206"/>
    <w:rsid w:val="00376DF9"/>
    <w:rsid w:val="00380CF8"/>
    <w:rsid w:val="00384027"/>
    <w:rsid w:val="00384965"/>
    <w:rsid w:val="00387BED"/>
    <w:rsid w:val="00392C3F"/>
    <w:rsid w:val="0039674F"/>
    <w:rsid w:val="00396A80"/>
    <w:rsid w:val="00396C68"/>
    <w:rsid w:val="003A1CC2"/>
    <w:rsid w:val="003A5E8B"/>
    <w:rsid w:val="003B1EBF"/>
    <w:rsid w:val="003B4FDB"/>
    <w:rsid w:val="003B5D47"/>
    <w:rsid w:val="003B6CBA"/>
    <w:rsid w:val="003C03AC"/>
    <w:rsid w:val="003C058F"/>
    <w:rsid w:val="003C4C47"/>
    <w:rsid w:val="003D2421"/>
    <w:rsid w:val="003D4320"/>
    <w:rsid w:val="003D61B2"/>
    <w:rsid w:val="003E2A5C"/>
    <w:rsid w:val="003F0B11"/>
    <w:rsid w:val="003F48BB"/>
    <w:rsid w:val="003F522D"/>
    <w:rsid w:val="003F6660"/>
    <w:rsid w:val="003F72A7"/>
    <w:rsid w:val="003F79F1"/>
    <w:rsid w:val="004006DF"/>
    <w:rsid w:val="004023C4"/>
    <w:rsid w:val="0040592D"/>
    <w:rsid w:val="0041031B"/>
    <w:rsid w:val="00414FED"/>
    <w:rsid w:val="004151BF"/>
    <w:rsid w:val="004231F2"/>
    <w:rsid w:val="004274F5"/>
    <w:rsid w:val="004279A1"/>
    <w:rsid w:val="00430818"/>
    <w:rsid w:val="00430FD1"/>
    <w:rsid w:val="00431121"/>
    <w:rsid w:val="00431F43"/>
    <w:rsid w:val="00432316"/>
    <w:rsid w:val="00434E78"/>
    <w:rsid w:val="0043558E"/>
    <w:rsid w:val="00435A05"/>
    <w:rsid w:val="00440FFB"/>
    <w:rsid w:val="004447E5"/>
    <w:rsid w:val="00446B1F"/>
    <w:rsid w:val="0044792C"/>
    <w:rsid w:val="004530D6"/>
    <w:rsid w:val="00453BB0"/>
    <w:rsid w:val="00462655"/>
    <w:rsid w:val="00462CA7"/>
    <w:rsid w:val="00463071"/>
    <w:rsid w:val="004637E1"/>
    <w:rsid w:val="0046433C"/>
    <w:rsid w:val="004666A5"/>
    <w:rsid w:val="00470FB8"/>
    <w:rsid w:val="00471DB4"/>
    <w:rsid w:val="00473700"/>
    <w:rsid w:val="00477006"/>
    <w:rsid w:val="00480CB2"/>
    <w:rsid w:val="00480DF4"/>
    <w:rsid w:val="004830EE"/>
    <w:rsid w:val="00486596"/>
    <w:rsid w:val="0048671E"/>
    <w:rsid w:val="00490240"/>
    <w:rsid w:val="004908A7"/>
    <w:rsid w:val="004922DE"/>
    <w:rsid w:val="00497440"/>
    <w:rsid w:val="00497A6D"/>
    <w:rsid w:val="004A3444"/>
    <w:rsid w:val="004A4359"/>
    <w:rsid w:val="004A488F"/>
    <w:rsid w:val="004B2A8C"/>
    <w:rsid w:val="004B3499"/>
    <w:rsid w:val="004B5872"/>
    <w:rsid w:val="004B63F3"/>
    <w:rsid w:val="004B79B7"/>
    <w:rsid w:val="004C730B"/>
    <w:rsid w:val="004C738B"/>
    <w:rsid w:val="004D646D"/>
    <w:rsid w:val="004D73DC"/>
    <w:rsid w:val="004E28AF"/>
    <w:rsid w:val="004E5F89"/>
    <w:rsid w:val="004E7383"/>
    <w:rsid w:val="004F5203"/>
    <w:rsid w:val="004F5D51"/>
    <w:rsid w:val="00502011"/>
    <w:rsid w:val="00504254"/>
    <w:rsid w:val="005058C3"/>
    <w:rsid w:val="0051072D"/>
    <w:rsid w:val="00512C32"/>
    <w:rsid w:val="00524F8C"/>
    <w:rsid w:val="005263EA"/>
    <w:rsid w:val="005302C6"/>
    <w:rsid w:val="00530FB5"/>
    <w:rsid w:val="005331F3"/>
    <w:rsid w:val="005342E5"/>
    <w:rsid w:val="00536539"/>
    <w:rsid w:val="005401DD"/>
    <w:rsid w:val="00547745"/>
    <w:rsid w:val="005506E8"/>
    <w:rsid w:val="0055214E"/>
    <w:rsid w:val="00552326"/>
    <w:rsid w:val="00562AE1"/>
    <w:rsid w:val="00566C9D"/>
    <w:rsid w:val="00570666"/>
    <w:rsid w:val="00572E2B"/>
    <w:rsid w:val="00573BD8"/>
    <w:rsid w:val="005778AC"/>
    <w:rsid w:val="00580298"/>
    <w:rsid w:val="005862D0"/>
    <w:rsid w:val="00590661"/>
    <w:rsid w:val="0059247D"/>
    <w:rsid w:val="00594A84"/>
    <w:rsid w:val="00596BD3"/>
    <w:rsid w:val="005A35A3"/>
    <w:rsid w:val="005A4E9F"/>
    <w:rsid w:val="005A60BC"/>
    <w:rsid w:val="005B0955"/>
    <w:rsid w:val="005B257B"/>
    <w:rsid w:val="005B3DB1"/>
    <w:rsid w:val="005B4CEE"/>
    <w:rsid w:val="005B6722"/>
    <w:rsid w:val="005C0115"/>
    <w:rsid w:val="005C0CE8"/>
    <w:rsid w:val="005C180D"/>
    <w:rsid w:val="005C2030"/>
    <w:rsid w:val="005C4205"/>
    <w:rsid w:val="005C4C2D"/>
    <w:rsid w:val="005C4CC6"/>
    <w:rsid w:val="005C5CD6"/>
    <w:rsid w:val="005D35DF"/>
    <w:rsid w:val="005E2922"/>
    <w:rsid w:val="005E3E30"/>
    <w:rsid w:val="005E729E"/>
    <w:rsid w:val="005E789C"/>
    <w:rsid w:val="005E7E35"/>
    <w:rsid w:val="005F3D4E"/>
    <w:rsid w:val="005F3DC5"/>
    <w:rsid w:val="005F4538"/>
    <w:rsid w:val="005F5447"/>
    <w:rsid w:val="005F690E"/>
    <w:rsid w:val="005F6A77"/>
    <w:rsid w:val="00601328"/>
    <w:rsid w:val="00601594"/>
    <w:rsid w:val="00603251"/>
    <w:rsid w:val="006039A3"/>
    <w:rsid w:val="00604647"/>
    <w:rsid w:val="00606AAE"/>
    <w:rsid w:val="00607EC2"/>
    <w:rsid w:val="00610C0D"/>
    <w:rsid w:val="00611A94"/>
    <w:rsid w:val="006124F9"/>
    <w:rsid w:val="00615661"/>
    <w:rsid w:val="0061570B"/>
    <w:rsid w:val="00615FC5"/>
    <w:rsid w:val="00616885"/>
    <w:rsid w:val="00620BE9"/>
    <w:rsid w:val="0063453E"/>
    <w:rsid w:val="006363B7"/>
    <w:rsid w:val="00636589"/>
    <w:rsid w:val="00646B96"/>
    <w:rsid w:val="00646F19"/>
    <w:rsid w:val="00650655"/>
    <w:rsid w:val="00654100"/>
    <w:rsid w:val="00664751"/>
    <w:rsid w:val="0066560D"/>
    <w:rsid w:val="006709C3"/>
    <w:rsid w:val="00670E56"/>
    <w:rsid w:val="00672FD5"/>
    <w:rsid w:val="00675E0C"/>
    <w:rsid w:val="006826F4"/>
    <w:rsid w:val="006853B7"/>
    <w:rsid w:val="00686A86"/>
    <w:rsid w:val="00687790"/>
    <w:rsid w:val="00692715"/>
    <w:rsid w:val="00695A97"/>
    <w:rsid w:val="006A36EC"/>
    <w:rsid w:val="006A4F84"/>
    <w:rsid w:val="006A6ABA"/>
    <w:rsid w:val="006B09F1"/>
    <w:rsid w:val="006B604A"/>
    <w:rsid w:val="006B7B17"/>
    <w:rsid w:val="006C592F"/>
    <w:rsid w:val="006C5C01"/>
    <w:rsid w:val="006D1722"/>
    <w:rsid w:val="006D2748"/>
    <w:rsid w:val="006D3569"/>
    <w:rsid w:val="006D481E"/>
    <w:rsid w:val="006D60AE"/>
    <w:rsid w:val="006D7012"/>
    <w:rsid w:val="006E4497"/>
    <w:rsid w:val="006E4D90"/>
    <w:rsid w:val="006E5BDA"/>
    <w:rsid w:val="006E5C88"/>
    <w:rsid w:val="006F1EE2"/>
    <w:rsid w:val="00712726"/>
    <w:rsid w:val="007145F1"/>
    <w:rsid w:val="00720903"/>
    <w:rsid w:val="00722596"/>
    <w:rsid w:val="00726A93"/>
    <w:rsid w:val="007324AE"/>
    <w:rsid w:val="00732A42"/>
    <w:rsid w:val="00736173"/>
    <w:rsid w:val="00737EEC"/>
    <w:rsid w:val="0074088B"/>
    <w:rsid w:val="007462F0"/>
    <w:rsid w:val="007521CA"/>
    <w:rsid w:val="00752935"/>
    <w:rsid w:val="00753CC5"/>
    <w:rsid w:val="0075431D"/>
    <w:rsid w:val="00760BDF"/>
    <w:rsid w:val="00762739"/>
    <w:rsid w:val="007678B7"/>
    <w:rsid w:val="00776F77"/>
    <w:rsid w:val="00780E82"/>
    <w:rsid w:val="00783660"/>
    <w:rsid w:val="00783AFD"/>
    <w:rsid w:val="0078514E"/>
    <w:rsid w:val="0078591D"/>
    <w:rsid w:val="00790A50"/>
    <w:rsid w:val="00791B24"/>
    <w:rsid w:val="007959E2"/>
    <w:rsid w:val="007A1EDC"/>
    <w:rsid w:val="007A493A"/>
    <w:rsid w:val="007A5C9B"/>
    <w:rsid w:val="007A674B"/>
    <w:rsid w:val="007B41EC"/>
    <w:rsid w:val="007B5391"/>
    <w:rsid w:val="007C1124"/>
    <w:rsid w:val="007C23CA"/>
    <w:rsid w:val="007C512F"/>
    <w:rsid w:val="007C55E5"/>
    <w:rsid w:val="007C62F2"/>
    <w:rsid w:val="007C731C"/>
    <w:rsid w:val="007D0037"/>
    <w:rsid w:val="007D181A"/>
    <w:rsid w:val="007D2D60"/>
    <w:rsid w:val="007E1103"/>
    <w:rsid w:val="007E3E58"/>
    <w:rsid w:val="007E49AF"/>
    <w:rsid w:val="007E5076"/>
    <w:rsid w:val="007F0705"/>
    <w:rsid w:val="007F35FC"/>
    <w:rsid w:val="00803A57"/>
    <w:rsid w:val="00812D41"/>
    <w:rsid w:val="00814416"/>
    <w:rsid w:val="00816E97"/>
    <w:rsid w:val="00817D2D"/>
    <w:rsid w:val="00824BAB"/>
    <w:rsid w:val="008263E9"/>
    <w:rsid w:val="00826C11"/>
    <w:rsid w:val="00831885"/>
    <w:rsid w:val="00831C50"/>
    <w:rsid w:val="008377FE"/>
    <w:rsid w:val="00837C92"/>
    <w:rsid w:val="008427F9"/>
    <w:rsid w:val="00845A03"/>
    <w:rsid w:val="00845B7D"/>
    <w:rsid w:val="00845E9F"/>
    <w:rsid w:val="00847364"/>
    <w:rsid w:val="00850590"/>
    <w:rsid w:val="00851F2A"/>
    <w:rsid w:val="00854F48"/>
    <w:rsid w:val="00855CEB"/>
    <w:rsid w:val="008608F4"/>
    <w:rsid w:val="00860D0A"/>
    <w:rsid w:val="00861D98"/>
    <w:rsid w:val="00867364"/>
    <w:rsid w:val="008740F4"/>
    <w:rsid w:val="00877779"/>
    <w:rsid w:val="0088012D"/>
    <w:rsid w:val="00881702"/>
    <w:rsid w:val="008829F0"/>
    <w:rsid w:val="00892AF2"/>
    <w:rsid w:val="00892CA6"/>
    <w:rsid w:val="00896394"/>
    <w:rsid w:val="008A0C92"/>
    <w:rsid w:val="008A11AD"/>
    <w:rsid w:val="008A2C54"/>
    <w:rsid w:val="008A39DD"/>
    <w:rsid w:val="008A4E44"/>
    <w:rsid w:val="008A5D7B"/>
    <w:rsid w:val="008A5EF4"/>
    <w:rsid w:val="008A671C"/>
    <w:rsid w:val="008A6982"/>
    <w:rsid w:val="008B3CA2"/>
    <w:rsid w:val="008B5EB5"/>
    <w:rsid w:val="008C0455"/>
    <w:rsid w:val="008C0FC9"/>
    <w:rsid w:val="008C2566"/>
    <w:rsid w:val="008C5C26"/>
    <w:rsid w:val="008C6FD5"/>
    <w:rsid w:val="008D1AAA"/>
    <w:rsid w:val="008D7F4F"/>
    <w:rsid w:val="008E233E"/>
    <w:rsid w:val="008E4ABA"/>
    <w:rsid w:val="008E5F77"/>
    <w:rsid w:val="008E630D"/>
    <w:rsid w:val="008E6F1F"/>
    <w:rsid w:val="008F0134"/>
    <w:rsid w:val="008F0348"/>
    <w:rsid w:val="008F0D68"/>
    <w:rsid w:val="008F1FF5"/>
    <w:rsid w:val="008F22CF"/>
    <w:rsid w:val="008F4752"/>
    <w:rsid w:val="008F598E"/>
    <w:rsid w:val="008F6FC1"/>
    <w:rsid w:val="008F7695"/>
    <w:rsid w:val="008F7FD3"/>
    <w:rsid w:val="00900142"/>
    <w:rsid w:val="0090023F"/>
    <w:rsid w:val="0090160C"/>
    <w:rsid w:val="00903D33"/>
    <w:rsid w:val="0090487E"/>
    <w:rsid w:val="00904BF8"/>
    <w:rsid w:val="009056A3"/>
    <w:rsid w:val="00907A06"/>
    <w:rsid w:val="00910ECE"/>
    <w:rsid w:val="0091219B"/>
    <w:rsid w:val="00915ACE"/>
    <w:rsid w:val="0094340A"/>
    <w:rsid w:val="009473A5"/>
    <w:rsid w:val="00950E58"/>
    <w:rsid w:val="009530A3"/>
    <w:rsid w:val="00953253"/>
    <w:rsid w:val="00955962"/>
    <w:rsid w:val="00955C34"/>
    <w:rsid w:val="00956092"/>
    <w:rsid w:val="00956C44"/>
    <w:rsid w:val="009602A1"/>
    <w:rsid w:val="00960503"/>
    <w:rsid w:val="00962AA0"/>
    <w:rsid w:val="00966F64"/>
    <w:rsid w:val="009711B8"/>
    <w:rsid w:val="00971A3E"/>
    <w:rsid w:val="0097358C"/>
    <w:rsid w:val="00974A99"/>
    <w:rsid w:val="00975A7E"/>
    <w:rsid w:val="00976E85"/>
    <w:rsid w:val="00981105"/>
    <w:rsid w:val="00983976"/>
    <w:rsid w:val="009844F4"/>
    <w:rsid w:val="00987FD1"/>
    <w:rsid w:val="00991257"/>
    <w:rsid w:val="00992B77"/>
    <w:rsid w:val="0099508F"/>
    <w:rsid w:val="009968BC"/>
    <w:rsid w:val="0099786B"/>
    <w:rsid w:val="009A1711"/>
    <w:rsid w:val="009A36BC"/>
    <w:rsid w:val="009A5131"/>
    <w:rsid w:val="009A5938"/>
    <w:rsid w:val="009A5DF7"/>
    <w:rsid w:val="009A6052"/>
    <w:rsid w:val="009B0025"/>
    <w:rsid w:val="009C4106"/>
    <w:rsid w:val="009C6B47"/>
    <w:rsid w:val="009D10A2"/>
    <w:rsid w:val="009D3703"/>
    <w:rsid w:val="009D6771"/>
    <w:rsid w:val="009D7E53"/>
    <w:rsid w:val="009E06B0"/>
    <w:rsid w:val="009E1B33"/>
    <w:rsid w:val="009E2E7D"/>
    <w:rsid w:val="009E354B"/>
    <w:rsid w:val="009E3B26"/>
    <w:rsid w:val="009E7A89"/>
    <w:rsid w:val="009F0FD9"/>
    <w:rsid w:val="009F3389"/>
    <w:rsid w:val="009F3C66"/>
    <w:rsid w:val="009F3DFB"/>
    <w:rsid w:val="009F52F6"/>
    <w:rsid w:val="009F79C7"/>
    <w:rsid w:val="00A0438C"/>
    <w:rsid w:val="00A04569"/>
    <w:rsid w:val="00A04DB3"/>
    <w:rsid w:val="00A11F2D"/>
    <w:rsid w:val="00A1415B"/>
    <w:rsid w:val="00A16B1B"/>
    <w:rsid w:val="00A175B8"/>
    <w:rsid w:val="00A22A13"/>
    <w:rsid w:val="00A26014"/>
    <w:rsid w:val="00A33974"/>
    <w:rsid w:val="00A35CCD"/>
    <w:rsid w:val="00A478D8"/>
    <w:rsid w:val="00A52A0E"/>
    <w:rsid w:val="00A56466"/>
    <w:rsid w:val="00A57660"/>
    <w:rsid w:val="00A57AAB"/>
    <w:rsid w:val="00A611CD"/>
    <w:rsid w:val="00A61E6F"/>
    <w:rsid w:val="00A62214"/>
    <w:rsid w:val="00A62C30"/>
    <w:rsid w:val="00A62CF5"/>
    <w:rsid w:val="00A62F6F"/>
    <w:rsid w:val="00A66F57"/>
    <w:rsid w:val="00A67329"/>
    <w:rsid w:val="00A67FA1"/>
    <w:rsid w:val="00A71EAF"/>
    <w:rsid w:val="00A77194"/>
    <w:rsid w:val="00A842E5"/>
    <w:rsid w:val="00A86B29"/>
    <w:rsid w:val="00A91EC0"/>
    <w:rsid w:val="00A97696"/>
    <w:rsid w:val="00AA21E8"/>
    <w:rsid w:val="00AA24B1"/>
    <w:rsid w:val="00AA61E4"/>
    <w:rsid w:val="00AA708D"/>
    <w:rsid w:val="00AA7F58"/>
    <w:rsid w:val="00AB5173"/>
    <w:rsid w:val="00AB6571"/>
    <w:rsid w:val="00AC2DCA"/>
    <w:rsid w:val="00AC399A"/>
    <w:rsid w:val="00AC5C84"/>
    <w:rsid w:val="00AC5EE3"/>
    <w:rsid w:val="00AD1FF3"/>
    <w:rsid w:val="00AD69CD"/>
    <w:rsid w:val="00AD79D6"/>
    <w:rsid w:val="00AD7A96"/>
    <w:rsid w:val="00AD7C50"/>
    <w:rsid w:val="00AE0496"/>
    <w:rsid w:val="00AE24B7"/>
    <w:rsid w:val="00AE493F"/>
    <w:rsid w:val="00AF0170"/>
    <w:rsid w:val="00AF2C0E"/>
    <w:rsid w:val="00AF4E6D"/>
    <w:rsid w:val="00B006D5"/>
    <w:rsid w:val="00B00989"/>
    <w:rsid w:val="00B04C8D"/>
    <w:rsid w:val="00B14EDE"/>
    <w:rsid w:val="00B156EE"/>
    <w:rsid w:val="00B16AF4"/>
    <w:rsid w:val="00B2309A"/>
    <w:rsid w:val="00B25613"/>
    <w:rsid w:val="00B267A5"/>
    <w:rsid w:val="00B27A50"/>
    <w:rsid w:val="00B352CE"/>
    <w:rsid w:val="00B358C1"/>
    <w:rsid w:val="00B376DC"/>
    <w:rsid w:val="00B427B8"/>
    <w:rsid w:val="00B451FC"/>
    <w:rsid w:val="00B45F92"/>
    <w:rsid w:val="00B47426"/>
    <w:rsid w:val="00B4754E"/>
    <w:rsid w:val="00B47875"/>
    <w:rsid w:val="00B5185B"/>
    <w:rsid w:val="00B51C7C"/>
    <w:rsid w:val="00B66B19"/>
    <w:rsid w:val="00B70285"/>
    <w:rsid w:val="00B71523"/>
    <w:rsid w:val="00B71925"/>
    <w:rsid w:val="00B7320D"/>
    <w:rsid w:val="00B75826"/>
    <w:rsid w:val="00B75A6C"/>
    <w:rsid w:val="00B770A6"/>
    <w:rsid w:val="00B779CE"/>
    <w:rsid w:val="00B8684A"/>
    <w:rsid w:val="00B87086"/>
    <w:rsid w:val="00B9191C"/>
    <w:rsid w:val="00B95626"/>
    <w:rsid w:val="00BA129A"/>
    <w:rsid w:val="00BA53F9"/>
    <w:rsid w:val="00BA7622"/>
    <w:rsid w:val="00BA7D1B"/>
    <w:rsid w:val="00BB05E6"/>
    <w:rsid w:val="00BB1BDF"/>
    <w:rsid w:val="00BB2394"/>
    <w:rsid w:val="00BB43B6"/>
    <w:rsid w:val="00BB5C64"/>
    <w:rsid w:val="00BB6214"/>
    <w:rsid w:val="00BC0F6B"/>
    <w:rsid w:val="00BC5E62"/>
    <w:rsid w:val="00BC68EC"/>
    <w:rsid w:val="00BC7BFD"/>
    <w:rsid w:val="00BE06B6"/>
    <w:rsid w:val="00BE07EA"/>
    <w:rsid w:val="00BE0816"/>
    <w:rsid w:val="00BE4703"/>
    <w:rsid w:val="00BE4821"/>
    <w:rsid w:val="00BF121D"/>
    <w:rsid w:val="00BF22EF"/>
    <w:rsid w:val="00BF27F9"/>
    <w:rsid w:val="00BF5D94"/>
    <w:rsid w:val="00BF6ED3"/>
    <w:rsid w:val="00C02820"/>
    <w:rsid w:val="00C04DBF"/>
    <w:rsid w:val="00C056E8"/>
    <w:rsid w:val="00C06098"/>
    <w:rsid w:val="00C0612A"/>
    <w:rsid w:val="00C06797"/>
    <w:rsid w:val="00C07A06"/>
    <w:rsid w:val="00C10AB0"/>
    <w:rsid w:val="00C21BBA"/>
    <w:rsid w:val="00C23C53"/>
    <w:rsid w:val="00C24982"/>
    <w:rsid w:val="00C30705"/>
    <w:rsid w:val="00C32BCE"/>
    <w:rsid w:val="00C36572"/>
    <w:rsid w:val="00C413A4"/>
    <w:rsid w:val="00C4319C"/>
    <w:rsid w:val="00C43C24"/>
    <w:rsid w:val="00C448AB"/>
    <w:rsid w:val="00C44F1D"/>
    <w:rsid w:val="00C45A85"/>
    <w:rsid w:val="00C46527"/>
    <w:rsid w:val="00C46ADC"/>
    <w:rsid w:val="00C46D84"/>
    <w:rsid w:val="00C50B2E"/>
    <w:rsid w:val="00C50B3F"/>
    <w:rsid w:val="00C524BB"/>
    <w:rsid w:val="00C53074"/>
    <w:rsid w:val="00C53615"/>
    <w:rsid w:val="00C53996"/>
    <w:rsid w:val="00C542A4"/>
    <w:rsid w:val="00C54711"/>
    <w:rsid w:val="00C61D6C"/>
    <w:rsid w:val="00C6364A"/>
    <w:rsid w:val="00C6495A"/>
    <w:rsid w:val="00C66AFB"/>
    <w:rsid w:val="00C71661"/>
    <w:rsid w:val="00C7198E"/>
    <w:rsid w:val="00C72D48"/>
    <w:rsid w:val="00C74754"/>
    <w:rsid w:val="00C77006"/>
    <w:rsid w:val="00C8352A"/>
    <w:rsid w:val="00C86403"/>
    <w:rsid w:val="00C9716E"/>
    <w:rsid w:val="00CA38C4"/>
    <w:rsid w:val="00CA4C12"/>
    <w:rsid w:val="00CA63F8"/>
    <w:rsid w:val="00CA6DB6"/>
    <w:rsid w:val="00CB0A8B"/>
    <w:rsid w:val="00CB6090"/>
    <w:rsid w:val="00CC01F8"/>
    <w:rsid w:val="00CD32A6"/>
    <w:rsid w:val="00CD47E6"/>
    <w:rsid w:val="00CD4F2E"/>
    <w:rsid w:val="00CD6C2A"/>
    <w:rsid w:val="00CE20F2"/>
    <w:rsid w:val="00CE3287"/>
    <w:rsid w:val="00CE35A0"/>
    <w:rsid w:val="00CE4975"/>
    <w:rsid w:val="00CF2F34"/>
    <w:rsid w:val="00CF74EC"/>
    <w:rsid w:val="00D07DB1"/>
    <w:rsid w:val="00D1027B"/>
    <w:rsid w:val="00D224DB"/>
    <w:rsid w:val="00D22529"/>
    <w:rsid w:val="00D22CAD"/>
    <w:rsid w:val="00D23079"/>
    <w:rsid w:val="00D23D9D"/>
    <w:rsid w:val="00D33AA1"/>
    <w:rsid w:val="00D35511"/>
    <w:rsid w:val="00D359E6"/>
    <w:rsid w:val="00D4143C"/>
    <w:rsid w:val="00D42B38"/>
    <w:rsid w:val="00D47964"/>
    <w:rsid w:val="00D55754"/>
    <w:rsid w:val="00D618A9"/>
    <w:rsid w:val="00D6491F"/>
    <w:rsid w:val="00D70F86"/>
    <w:rsid w:val="00D72215"/>
    <w:rsid w:val="00D73BC9"/>
    <w:rsid w:val="00D73CBB"/>
    <w:rsid w:val="00D743C8"/>
    <w:rsid w:val="00D755C7"/>
    <w:rsid w:val="00D76881"/>
    <w:rsid w:val="00D8117F"/>
    <w:rsid w:val="00D859BB"/>
    <w:rsid w:val="00D86FB9"/>
    <w:rsid w:val="00D90774"/>
    <w:rsid w:val="00D92E1B"/>
    <w:rsid w:val="00D947A9"/>
    <w:rsid w:val="00D94A71"/>
    <w:rsid w:val="00D96DBC"/>
    <w:rsid w:val="00DA0A3A"/>
    <w:rsid w:val="00DA5B1F"/>
    <w:rsid w:val="00DA6BA1"/>
    <w:rsid w:val="00DB20DD"/>
    <w:rsid w:val="00DB26AB"/>
    <w:rsid w:val="00DB450B"/>
    <w:rsid w:val="00DB4A4D"/>
    <w:rsid w:val="00DB4DF6"/>
    <w:rsid w:val="00DB6292"/>
    <w:rsid w:val="00DC0809"/>
    <w:rsid w:val="00DC1E3D"/>
    <w:rsid w:val="00DC2581"/>
    <w:rsid w:val="00DC3810"/>
    <w:rsid w:val="00DC4E0E"/>
    <w:rsid w:val="00DC5B82"/>
    <w:rsid w:val="00DD151A"/>
    <w:rsid w:val="00DD1999"/>
    <w:rsid w:val="00DD3C09"/>
    <w:rsid w:val="00DD4C6D"/>
    <w:rsid w:val="00DD5EF1"/>
    <w:rsid w:val="00DE006B"/>
    <w:rsid w:val="00DE35F7"/>
    <w:rsid w:val="00DE3B5F"/>
    <w:rsid w:val="00DE4EE8"/>
    <w:rsid w:val="00DF387E"/>
    <w:rsid w:val="00DF4724"/>
    <w:rsid w:val="00DF4908"/>
    <w:rsid w:val="00DF5563"/>
    <w:rsid w:val="00E0371F"/>
    <w:rsid w:val="00E06EDD"/>
    <w:rsid w:val="00E117FC"/>
    <w:rsid w:val="00E1439A"/>
    <w:rsid w:val="00E1501C"/>
    <w:rsid w:val="00E15F39"/>
    <w:rsid w:val="00E1737B"/>
    <w:rsid w:val="00E20942"/>
    <w:rsid w:val="00E21F2A"/>
    <w:rsid w:val="00E247E7"/>
    <w:rsid w:val="00E33F05"/>
    <w:rsid w:val="00E346E7"/>
    <w:rsid w:val="00E3557B"/>
    <w:rsid w:val="00E463AF"/>
    <w:rsid w:val="00E5219A"/>
    <w:rsid w:val="00E52459"/>
    <w:rsid w:val="00E5303E"/>
    <w:rsid w:val="00E54B9D"/>
    <w:rsid w:val="00E54D08"/>
    <w:rsid w:val="00E6136F"/>
    <w:rsid w:val="00E647E4"/>
    <w:rsid w:val="00E64EEC"/>
    <w:rsid w:val="00E65FCB"/>
    <w:rsid w:val="00E70AA3"/>
    <w:rsid w:val="00E72460"/>
    <w:rsid w:val="00E73E9B"/>
    <w:rsid w:val="00E76952"/>
    <w:rsid w:val="00E77825"/>
    <w:rsid w:val="00E77D3A"/>
    <w:rsid w:val="00E80B34"/>
    <w:rsid w:val="00E82C93"/>
    <w:rsid w:val="00E87B28"/>
    <w:rsid w:val="00E87E56"/>
    <w:rsid w:val="00E94DDF"/>
    <w:rsid w:val="00E9530A"/>
    <w:rsid w:val="00EA06FA"/>
    <w:rsid w:val="00EA1E0B"/>
    <w:rsid w:val="00EA2714"/>
    <w:rsid w:val="00EA2D16"/>
    <w:rsid w:val="00EA2E80"/>
    <w:rsid w:val="00EA5F01"/>
    <w:rsid w:val="00EA6D84"/>
    <w:rsid w:val="00EA7F03"/>
    <w:rsid w:val="00EB0C12"/>
    <w:rsid w:val="00EB197C"/>
    <w:rsid w:val="00EB2088"/>
    <w:rsid w:val="00EB255C"/>
    <w:rsid w:val="00EC02E3"/>
    <w:rsid w:val="00EC5005"/>
    <w:rsid w:val="00EC5853"/>
    <w:rsid w:val="00EC591E"/>
    <w:rsid w:val="00EC7255"/>
    <w:rsid w:val="00ED0364"/>
    <w:rsid w:val="00ED0C37"/>
    <w:rsid w:val="00ED3A9F"/>
    <w:rsid w:val="00ED3D94"/>
    <w:rsid w:val="00ED3FFF"/>
    <w:rsid w:val="00EE3B00"/>
    <w:rsid w:val="00EF0637"/>
    <w:rsid w:val="00EF15E3"/>
    <w:rsid w:val="00F00102"/>
    <w:rsid w:val="00F015D0"/>
    <w:rsid w:val="00F0357D"/>
    <w:rsid w:val="00F05DEC"/>
    <w:rsid w:val="00F1191C"/>
    <w:rsid w:val="00F119B2"/>
    <w:rsid w:val="00F16B10"/>
    <w:rsid w:val="00F221AF"/>
    <w:rsid w:val="00F25A48"/>
    <w:rsid w:val="00F26771"/>
    <w:rsid w:val="00F276BC"/>
    <w:rsid w:val="00F30152"/>
    <w:rsid w:val="00F30884"/>
    <w:rsid w:val="00F33BE1"/>
    <w:rsid w:val="00F37B47"/>
    <w:rsid w:val="00F42DFE"/>
    <w:rsid w:val="00F436C6"/>
    <w:rsid w:val="00F4767C"/>
    <w:rsid w:val="00F52D72"/>
    <w:rsid w:val="00F53EE5"/>
    <w:rsid w:val="00F54E83"/>
    <w:rsid w:val="00F646AD"/>
    <w:rsid w:val="00F65748"/>
    <w:rsid w:val="00F657EA"/>
    <w:rsid w:val="00F66086"/>
    <w:rsid w:val="00F753C4"/>
    <w:rsid w:val="00F77025"/>
    <w:rsid w:val="00F87775"/>
    <w:rsid w:val="00F904DA"/>
    <w:rsid w:val="00F90BDE"/>
    <w:rsid w:val="00F931AF"/>
    <w:rsid w:val="00FA0EB7"/>
    <w:rsid w:val="00FA113E"/>
    <w:rsid w:val="00FA6AB8"/>
    <w:rsid w:val="00FA79AF"/>
    <w:rsid w:val="00FB1C1F"/>
    <w:rsid w:val="00FB3715"/>
    <w:rsid w:val="00FC307D"/>
    <w:rsid w:val="00FC45E3"/>
    <w:rsid w:val="00FC6D42"/>
    <w:rsid w:val="00FC75A7"/>
    <w:rsid w:val="00FC7FAF"/>
    <w:rsid w:val="00FD04ED"/>
    <w:rsid w:val="00FD05A6"/>
    <w:rsid w:val="00FD1FC8"/>
    <w:rsid w:val="00FD4350"/>
    <w:rsid w:val="00FD7682"/>
    <w:rsid w:val="00FE6C82"/>
    <w:rsid w:val="00FE6F80"/>
    <w:rsid w:val="00FE7232"/>
    <w:rsid w:val="00FE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8D3E"/>
  <w14:defaultImageDpi w14:val="32767"/>
  <w15:chartTrackingRefBased/>
  <w15:docId w15:val="{0B9D83E3-446B-584B-9ADE-B196436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C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0285"/>
    <w:pPr>
      <w:numPr>
        <w:ilvl w:val="1"/>
        <w:numId w:val="1"/>
      </w:numPr>
      <w:spacing w:before="240" w:after="60"/>
      <w:outlineLvl w:val="1"/>
    </w:pPr>
    <w:rPr>
      <w:rFonts w:ascii="Calibri" w:eastAsiaTheme="minorEastAsia" w:hAnsi="Calibri"/>
      <w:sz w:val="22"/>
      <w:szCs w:val="28"/>
      <w:lang w:eastAsia="zh-TW"/>
    </w:rPr>
  </w:style>
  <w:style w:type="paragraph" w:styleId="Heading3">
    <w:name w:val="heading 3"/>
    <w:basedOn w:val="Normal"/>
    <w:link w:val="Heading3Char"/>
    <w:uiPriority w:val="9"/>
    <w:qFormat/>
    <w:rsid w:val="00CE4975"/>
    <w:pPr>
      <w:spacing w:before="100" w:beforeAutospacing="1" w:after="100" w:afterAutospacing="1"/>
      <w:outlineLvl w:val="2"/>
    </w:pPr>
    <w:rPr>
      <w:rFonts w:ascii="Times New Roman" w:eastAsia="Times New Roman" w:hAnsi="Times New Roman" w:cs="Times New Roman"/>
      <w:b/>
      <w:bCs/>
      <w:sz w:val="27"/>
      <w:szCs w:val="27"/>
      <w:lang w:val="en-US" w:eastAsia="en-GB"/>
    </w:rPr>
  </w:style>
  <w:style w:type="paragraph" w:styleId="Heading4">
    <w:name w:val="heading 4"/>
    <w:basedOn w:val="Normal"/>
    <w:link w:val="Heading4Char"/>
    <w:uiPriority w:val="9"/>
    <w:qFormat/>
    <w:rsid w:val="004637E1"/>
    <w:pPr>
      <w:tabs>
        <w:tab w:val="num" w:pos="2693"/>
      </w:tabs>
      <w:spacing w:before="100" w:after="100"/>
      <w:ind w:left="2693" w:hanging="1275"/>
      <w:outlineLvl w:val="3"/>
    </w:pPr>
    <w:rPr>
      <w:rFonts w:ascii="Calibri" w:eastAsiaTheme="minorEastAsia" w:hAnsi="Calibri"/>
      <w:sz w:val="22"/>
      <w:szCs w:val="22"/>
      <w:lang w:eastAsia="zh-TW"/>
    </w:rPr>
  </w:style>
  <w:style w:type="paragraph" w:styleId="Heading5">
    <w:name w:val="heading 5"/>
    <w:basedOn w:val="Normal"/>
    <w:link w:val="Heading5Char"/>
    <w:uiPriority w:val="9"/>
    <w:qFormat/>
    <w:rsid w:val="004637E1"/>
    <w:pPr>
      <w:tabs>
        <w:tab w:val="num" w:pos="2977"/>
      </w:tabs>
      <w:spacing w:before="100" w:after="100"/>
      <w:ind w:left="2977" w:hanging="284"/>
      <w:outlineLvl w:val="4"/>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9B2"/>
    <w:pPr>
      <w:spacing w:before="100" w:beforeAutospacing="1" w:after="100" w:afterAutospacing="1"/>
    </w:pPr>
    <w:rPr>
      <w:rFonts w:ascii="Times New Roman" w:eastAsia="Times New Roman" w:hAnsi="Times New Roman" w:cs="Times New Roman"/>
      <w:lang w:val="en-US" w:eastAsia="en-GB"/>
    </w:rPr>
  </w:style>
  <w:style w:type="paragraph" w:styleId="ListParagraph">
    <w:name w:val="List Paragraph"/>
    <w:aliases w:val="NRA List Paragraph,NRA List Paragra"/>
    <w:basedOn w:val="Normal"/>
    <w:link w:val="ListParagraphChar"/>
    <w:uiPriority w:val="34"/>
    <w:qFormat/>
    <w:rsid w:val="005C4CC6"/>
    <w:pPr>
      <w:ind w:left="720"/>
      <w:contextualSpacing/>
    </w:pPr>
  </w:style>
  <w:style w:type="character" w:customStyle="1" w:styleId="Heading3Char">
    <w:name w:val="Heading 3 Char"/>
    <w:basedOn w:val="DefaultParagraphFont"/>
    <w:link w:val="Heading3"/>
    <w:uiPriority w:val="9"/>
    <w:rsid w:val="00CE4975"/>
    <w:rPr>
      <w:rFonts w:ascii="Times New Roman" w:eastAsia="Times New Roman" w:hAnsi="Times New Roman" w:cs="Times New Roman"/>
      <w:b/>
      <w:bCs/>
      <w:sz w:val="27"/>
      <w:szCs w:val="27"/>
      <w:lang w:val="en-US" w:eastAsia="en-GB"/>
    </w:rPr>
  </w:style>
  <w:style w:type="character" w:customStyle="1" w:styleId="apple-converted-space">
    <w:name w:val="apple-converted-space"/>
    <w:basedOn w:val="DefaultParagraphFont"/>
    <w:rsid w:val="00CE4975"/>
  </w:style>
  <w:style w:type="table" w:styleId="TableGrid">
    <w:name w:val="Table Grid"/>
    <w:basedOn w:val="TableNormal"/>
    <w:uiPriority w:val="39"/>
    <w:rsid w:val="0033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CCD"/>
    <w:rPr>
      <w:sz w:val="16"/>
      <w:szCs w:val="16"/>
    </w:rPr>
  </w:style>
  <w:style w:type="paragraph" w:styleId="CommentText">
    <w:name w:val="annotation text"/>
    <w:basedOn w:val="Normal"/>
    <w:link w:val="CommentTextChar"/>
    <w:uiPriority w:val="99"/>
    <w:semiHidden/>
    <w:unhideWhenUsed/>
    <w:rsid w:val="00337CCD"/>
    <w:rPr>
      <w:sz w:val="20"/>
      <w:szCs w:val="20"/>
    </w:rPr>
  </w:style>
  <w:style w:type="character" w:customStyle="1" w:styleId="CommentTextChar">
    <w:name w:val="Comment Text Char"/>
    <w:basedOn w:val="DefaultParagraphFont"/>
    <w:link w:val="CommentText"/>
    <w:uiPriority w:val="99"/>
    <w:semiHidden/>
    <w:rsid w:val="00337CCD"/>
    <w:rPr>
      <w:sz w:val="20"/>
      <w:szCs w:val="20"/>
    </w:rPr>
  </w:style>
  <w:style w:type="paragraph" w:styleId="CommentSubject">
    <w:name w:val="annotation subject"/>
    <w:basedOn w:val="CommentText"/>
    <w:next w:val="CommentText"/>
    <w:link w:val="CommentSubjectChar"/>
    <w:uiPriority w:val="99"/>
    <w:semiHidden/>
    <w:unhideWhenUsed/>
    <w:rsid w:val="00337CCD"/>
    <w:rPr>
      <w:b/>
      <w:bCs/>
    </w:rPr>
  </w:style>
  <w:style w:type="character" w:customStyle="1" w:styleId="CommentSubjectChar">
    <w:name w:val="Comment Subject Char"/>
    <w:basedOn w:val="CommentTextChar"/>
    <w:link w:val="CommentSubject"/>
    <w:uiPriority w:val="99"/>
    <w:semiHidden/>
    <w:rsid w:val="00337CCD"/>
    <w:rPr>
      <w:b/>
      <w:bCs/>
      <w:sz w:val="20"/>
      <w:szCs w:val="20"/>
    </w:rPr>
  </w:style>
  <w:style w:type="paragraph" w:styleId="BalloonText">
    <w:name w:val="Balloon Text"/>
    <w:basedOn w:val="Normal"/>
    <w:link w:val="BalloonTextChar"/>
    <w:uiPriority w:val="99"/>
    <w:semiHidden/>
    <w:unhideWhenUsed/>
    <w:rsid w:val="00337C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CCD"/>
    <w:rPr>
      <w:rFonts w:ascii="Times New Roman" w:hAnsi="Times New Roman" w:cs="Times New Roman"/>
      <w:sz w:val="18"/>
      <w:szCs w:val="18"/>
    </w:rPr>
  </w:style>
  <w:style w:type="paragraph" w:styleId="FootnoteText">
    <w:name w:val="footnote text"/>
    <w:basedOn w:val="Normal"/>
    <w:link w:val="FootnoteTextChar"/>
    <w:uiPriority w:val="99"/>
    <w:unhideWhenUsed/>
    <w:rsid w:val="002E1CAE"/>
    <w:rPr>
      <w:sz w:val="20"/>
      <w:szCs w:val="20"/>
    </w:rPr>
  </w:style>
  <w:style w:type="character" w:customStyle="1" w:styleId="FootnoteTextChar">
    <w:name w:val="Footnote Text Char"/>
    <w:basedOn w:val="DefaultParagraphFont"/>
    <w:link w:val="FootnoteText"/>
    <w:uiPriority w:val="99"/>
    <w:rsid w:val="002E1CAE"/>
    <w:rPr>
      <w:sz w:val="20"/>
      <w:szCs w:val="20"/>
    </w:rPr>
  </w:style>
  <w:style w:type="character" w:styleId="FootnoteReference">
    <w:name w:val="footnote reference"/>
    <w:basedOn w:val="DefaultParagraphFont"/>
    <w:uiPriority w:val="99"/>
    <w:unhideWhenUsed/>
    <w:rsid w:val="002E1CAE"/>
    <w:rPr>
      <w:vertAlign w:val="superscript"/>
    </w:rPr>
  </w:style>
  <w:style w:type="character" w:customStyle="1" w:styleId="Heading1Char">
    <w:name w:val="Heading 1 Char"/>
    <w:basedOn w:val="DefaultParagraphFont"/>
    <w:link w:val="Heading1"/>
    <w:uiPriority w:val="9"/>
    <w:rsid w:val="002E1C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D1563"/>
    <w:rPr>
      <w:color w:val="0563C1" w:themeColor="hyperlink"/>
      <w:u w:val="single"/>
    </w:rPr>
  </w:style>
  <w:style w:type="character" w:styleId="UnresolvedMention">
    <w:name w:val="Unresolved Mention"/>
    <w:basedOn w:val="DefaultParagraphFont"/>
    <w:uiPriority w:val="99"/>
    <w:rsid w:val="002D1563"/>
    <w:rPr>
      <w:color w:val="605E5C"/>
      <w:shd w:val="clear" w:color="auto" w:fill="E1DFDD"/>
    </w:rPr>
  </w:style>
  <w:style w:type="character" w:customStyle="1" w:styleId="ListParagraphChar">
    <w:name w:val="List Paragraph Char"/>
    <w:aliases w:val="NRA List Paragraph Char,NRA List Paragra Char"/>
    <w:basedOn w:val="DefaultParagraphFont"/>
    <w:link w:val="ListParagraph"/>
    <w:uiPriority w:val="34"/>
    <w:rsid w:val="00096872"/>
  </w:style>
  <w:style w:type="character" w:customStyle="1" w:styleId="Heading2Char">
    <w:name w:val="Heading 2 Char"/>
    <w:basedOn w:val="DefaultParagraphFont"/>
    <w:link w:val="Heading2"/>
    <w:uiPriority w:val="9"/>
    <w:rsid w:val="00B70285"/>
    <w:rPr>
      <w:rFonts w:ascii="Calibri" w:eastAsiaTheme="minorEastAsia" w:hAnsi="Calibri"/>
      <w:sz w:val="22"/>
      <w:szCs w:val="28"/>
      <w:lang w:eastAsia="zh-TW"/>
    </w:rPr>
  </w:style>
  <w:style w:type="paragraph" w:styleId="Revision">
    <w:name w:val="Revision"/>
    <w:hidden/>
    <w:uiPriority w:val="99"/>
    <w:semiHidden/>
    <w:rsid w:val="00C46ADC"/>
  </w:style>
  <w:style w:type="character" w:styleId="FollowedHyperlink">
    <w:name w:val="FollowedHyperlink"/>
    <w:basedOn w:val="DefaultParagraphFont"/>
    <w:uiPriority w:val="99"/>
    <w:semiHidden/>
    <w:unhideWhenUsed/>
    <w:rsid w:val="001341A4"/>
    <w:rPr>
      <w:color w:val="954F72" w:themeColor="followedHyperlink"/>
      <w:u w:val="single"/>
    </w:rPr>
  </w:style>
  <w:style w:type="paragraph" w:styleId="EndnoteText">
    <w:name w:val="endnote text"/>
    <w:basedOn w:val="Normal"/>
    <w:link w:val="EndnoteTextChar"/>
    <w:uiPriority w:val="99"/>
    <w:semiHidden/>
    <w:unhideWhenUsed/>
    <w:rsid w:val="001341A4"/>
    <w:rPr>
      <w:sz w:val="20"/>
      <w:szCs w:val="20"/>
    </w:rPr>
  </w:style>
  <w:style w:type="character" w:customStyle="1" w:styleId="EndnoteTextChar">
    <w:name w:val="Endnote Text Char"/>
    <w:basedOn w:val="DefaultParagraphFont"/>
    <w:link w:val="EndnoteText"/>
    <w:uiPriority w:val="99"/>
    <w:semiHidden/>
    <w:rsid w:val="001341A4"/>
    <w:rPr>
      <w:sz w:val="20"/>
      <w:szCs w:val="20"/>
    </w:rPr>
  </w:style>
  <w:style w:type="character" w:styleId="EndnoteReference">
    <w:name w:val="endnote reference"/>
    <w:basedOn w:val="DefaultParagraphFont"/>
    <w:uiPriority w:val="99"/>
    <w:semiHidden/>
    <w:unhideWhenUsed/>
    <w:rsid w:val="001341A4"/>
    <w:rPr>
      <w:vertAlign w:val="superscript"/>
    </w:rPr>
  </w:style>
  <w:style w:type="character" w:customStyle="1" w:styleId="Heading4Char">
    <w:name w:val="Heading 4 Char"/>
    <w:basedOn w:val="DefaultParagraphFont"/>
    <w:link w:val="Heading4"/>
    <w:uiPriority w:val="9"/>
    <w:rsid w:val="004637E1"/>
    <w:rPr>
      <w:rFonts w:ascii="Calibri" w:eastAsiaTheme="minorEastAsia" w:hAnsi="Calibri"/>
      <w:sz w:val="22"/>
      <w:szCs w:val="22"/>
      <w:lang w:eastAsia="zh-TW"/>
    </w:rPr>
  </w:style>
  <w:style w:type="character" w:customStyle="1" w:styleId="Heading5Char">
    <w:name w:val="Heading 5 Char"/>
    <w:basedOn w:val="DefaultParagraphFont"/>
    <w:link w:val="Heading5"/>
    <w:uiPriority w:val="9"/>
    <w:rsid w:val="004637E1"/>
    <w:rPr>
      <w:rFonts w:ascii="Calibri"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316">
      <w:bodyDiv w:val="1"/>
      <w:marLeft w:val="0"/>
      <w:marRight w:val="0"/>
      <w:marTop w:val="0"/>
      <w:marBottom w:val="0"/>
      <w:divBdr>
        <w:top w:val="none" w:sz="0" w:space="0" w:color="auto"/>
        <w:left w:val="none" w:sz="0" w:space="0" w:color="auto"/>
        <w:bottom w:val="none" w:sz="0" w:space="0" w:color="auto"/>
        <w:right w:val="none" w:sz="0" w:space="0" w:color="auto"/>
      </w:divBdr>
      <w:divsChild>
        <w:div w:id="81874045">
          <w:marLeft w:val="0"/>
          <w:marRight w:val="0"/>
          <w:marTop w:val="0"/>
          <w:marBottom w:val="0"/>
          <w:divBdr>
            <w:top w:val="none" w:sz="0" w:space="0" w:color="auto"/>
            <w:left w:val="none" w:sz="0" w:space="0" w:color="auto"/>
            <w:bottom w:val="none" w:sz="0" w:space="0" w:color="auto"/>
            <w:right w:val="none" w:sz="0" w:space="0" w:color="auto"/>
          </w:divBdr>
          <w:divsChild>
            <w:div w:id="203443679">
              <w:marLeft w:val="0"/>
              <w:marRight w:val="0"/>
              <w:marTop w:val="0"/>
              <w:marBottom w:val="0"/>
              <w:divBdr>
                <w:top w:val="none" w:sz="0" w:space="0" w:color="auto"/>
                <w:left w:val="none" w:sz="0" w:space="0" w:color="auto"/>
                <w:bottom w:val="none" w:sz="0" w:space="0" w:color="auto"/>
                <w:right w:val="none" w:sz="0" w:space="0" w:color="auto"/>
              </w:divBdr>
              <w:divsChild>
                <w:div w:id="46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6801">
      <w:bodyDiv w:val="1"/>
      <w:marLeft w:val="0"/>
      <w:marRight w:val="0"/>
      <w:marTop w:val="0"/>
      <w:marBottom w:val="0"/>
      <w:divBdr>
        <w:top w:val="none" w:sz="0" w:space="0" w:color="auto"/>
        <w:left w:val="none" w:sz="0" w:space="0" w:color="auto"/>
        <w:bottom w:val="none" w:sz="0" w:space="0" w:color="auto"/>
        <w:right w:val="none" w:sz="0" w:space="0" w:color="auto"/>
      </w:divBdr>
      <w:divsChild>
        <w:div w:id="110365240">
          <w:marLeft w:val="0"/>
          <w:marRight w:val="0"/>
          <w:marTop w:val="0"/>
          <w:marBottom w:val="0"/>
          <w:divBdr>
            <w:top w:val="none" w:sz="0" w:space="0" w:color="auto"/>
            <w:left w:val="none" w:sz="0" w:space="0" w:color="auto"/>
            <w:bottom w:val="none" w:sz="0" w:space="0" w:color="auto"/>
            <w:right w:val="none" w:sz="0" w:space="0" w:color="auto"/>
          </w:divBdr>
          <w:divsChild>
            <w:div w:id="249706353">
              <w:marLeft w:val="0"/>
              <w:marRight w:val="0"/>
              <w:marTop w:val="0"/>
              <w:marBottom w:val="0"/>
              <w:divBdr>
                <w:top w:val="none" w:sz="0" w:space="0" w:color="auto"/>
                <w:left w:val="none" w:sz="0" w:space="0" w:color="auto"/>
                <w:bottom w:val="none" w:sz="0" w:space="0" w:color="auto"/>
                <w:right w:val="none" w:sz="0" w:space="0" w:color="auto"/>
              </w:divBdr>
              <w:divsChild>
                <w:div w:id="15340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616">
      <w:bodyDiv w:val="1"/>
      <w:marLeft w:val="0"/>
      <w:marRight w:val="0"/>
      <w:marTop w:val="0"/>
      <w:marBottom w:val="0"/>
      <w:divBdr>
        <w:top w:val="none" w:sz="0" w:space="0" w:color="auto"/>
        <w:left w:val="none" w:sz="0" w:space="0" w:color="auto"/>
        <w:bottom w:val="none" w:sz="0" w:space="0" w:color="auto"/>
        <w:right w:val="none" w:sz="0" w:space="0" w:color="auto"/>
      </w:divBdr>
      <w:divsChild>
        <w:div w:id="514000656">
          <w:marLeft w:val="0"/>
          <w:marRight w:val="0"/>
          <w:marTop w:val="0"/>
          <w:marBottom w:val="0"/>
          <w:divBdr>
            <w:top w:val="none" w:sz="0" w:space="0" w:color="auto"/>
            <w:left w:val="none" w:sz="0" w:space="0" w:color="auto"/>
            <w:bottom w:val="none" w:sz="0" w:space="0" w:color="auto"/>
            <w:right w:val="none" w:sz="0" w:space="0" w:color="auto"/>
          </w:divBdr>
          <w:divsChild>
            <w:div w:id="1752005294">
              <w:marLeft w:val="0"/>
              <w:marRight w:val="0"/>
              <w:marTop w:val="0"/>
              <w:marBottom w:val="0"/>
              <w:divBdr>
                <w:top w:val="none" w:sz="0" w:space="0" w:color="auto"/>
                <w:left w:val="none" w:sz="0" w:space="0" w:color="auto"/>
                <w:bottom w:val="none" w:sz="0" w:space="0" w:color="auto"/>
                <w:right w:val="none" w:sz="0" w:space="0" w:color="auto"/>
              </w:divBdr>
              <w:divsChild>
                <w:div w:id="2033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4356">
      <w:bodyDiv w:val="1"/>
      <w:marLeft w:val="0"/>
      <w:marRight w:val="0"/>
      <w:marTop w:val="0"/>
      <w:marBottom w:val="0"/>
      <w:divBdr>
        <w:top w:val="none" w:sz="0" w:space="0" w:color="auto"/>
        <w:left w:val="none" w:sz="0" w:space="0" w:color="auto"/>
        <w:bottom w:val="none" w:sz="0" w:space="0" w:color="auto"/>
        <w:right w:val="none" w:sz="0" w:space="0" w:color="auto"/>
      </w:divBdr>
      <w:divsChild>
        <w:div w:id="526988882">
          <w:marLeft w:val="0"/>
          <w:marRight w:val="0"/>
          <w:marTop w:val="0"/>
          <w:marBottom w:val="0"/>
          <w:divBdr>
            <w:top w:val="none" w:sz="0" w:space="0" w:color="auto"/>
            <w:left w:val="none" w:sz="0" w:space="0" w:color="auto"/>
            <w:bottom w:val="none" w:sz="0" w:space="0" w:color="auto"/>
            <w:right w:val="none" w:sz="0" w:space="0" w:color="auto"/>
          </w:divBdr>
          <w:divsChild>
            <w:div w:id="167058735">
              <w:marLeft w:val="0"/>
              <w:marRight w:val="0"/>
              <w:marTop w:val="0"/>
              <w:marBottom w:val="0"/>
              <w:divBdr>
                <w:top w:val="none" w:sz="0" w:space="0" w:color="auto"/>
                <w:left w:val="none" w:sz="0" w:space="0" w:color="auto"/>
                <w:bottom w:val="none" w:sz="0" w:space="0" w:color="auto"/>
                <w:right w:val="none" w:sz="0" w:space="0" w:color="auto"/>
              </w:divBdr>
              <w:divsChild>
                <w:div w:id="7042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148">
      <w:bodyDiv w:val="1"/>
      <w:marLeft w:val="0"/>
      <w:marRight w:val="0"/>
      <w:marTop w:val="0"/>
      <w:marBottom w:val="0"/>
      <w:divBdr>
        <w:top w:val="none" w:sz="0" w:space="0" w:color="auto"/>
        <w:left w:val="none" w:sz="0" w:space="0" w:color="auto"/>
        <w:bottom w:val="none" w:sz="0" w:space="0" w:color="auto"/>
        <w:right w:val="none" w:sz="0" w:space="0" w:color="auto"/>
      </w:divBdr>
      <w:divsChild>
        <w:div w:id="240413427">
          <w:marLeft w:val="0"/>
          <w:marRight w:val="0"/>
          <w:marTop w:val="0"/>
          <w:marBottom w:val="0"/>
          <w:divBdr>
            <w:top w:val="none" w:sz="0" w:space="0" w:color="auto"/>
            <w:left w:val="none" w:sz="0" w:space="0" w:color="auto"/>
            <w:bottom w:val="none" w:sz="0" w:space="0" w:color="auto"/>
            <w:right w:val="none" w:sz="0" w:space="0" w:color="auto"/>
          </w:divBdr>
          <w:divsChild>
            <w:div w:id="574975971">
              <w:marLeft w:val="0"/>
              <w:marRight w:val="0"/>
              <w:marTop w:val="0"/>
              <w:marBottom w:val="0"/>
              <w:divBdr>
                <w:top w:val="none" w:sz="0" w:space="0" w:color="auto"/>
                <w:left w:val="none" w:sz="0" w:space="0" w:color="auto"/>
                <w:bottom w:val="none" w:sz="0" w:space="0" w:color="auto"/>
                <w:right w:val="none" w:sz="0" w:space="0" w:color="auto"/>
              </w:divBdr>
              <w:divsChild>
                <w:div w:id="249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564">
      <w:bodyDiv w:val="1"/>
      <w:marLeft w:val="0"/>
      <w:marRight w:val="0"/>
      <w:marTop w:val="0"/>
      <w:marBottom w:val="0"/>
      <w:divBdr>
        <w:top w:val="none" w:sz="0" w:space="0" w:color="auto"/>
        <w:left w:val="none" w:sz="0" w:space="0" w:color="auto"/>
        <w:bottom w:val="none" w:sz="0" w:space="0" w:color="auto"/>
        <w:right w:val="none" w:sz="0" w:space="0" w:color="auto"/>
      </w:divBdr>
    </w:div>
    <w:div w:id="171378730">
      <w:bodyDiv w:val="1"/>
      <w:marLeft w:val="0"/>
      <w:marRight w:val="0"/>
      <w:marTop w:val="0"/>
      <w:marBottom w:val="0"/>
      <w:divBdr>
        <w:top w:val="none" w:sz="0" w:space="0" w:color="auto"/>
        <w:left w:val="none" w:sz="0" w:space="0" w:color="auto"/>
        <w:bottom w:val="none" w:sz="0" w:space="0" w:color="auto"/>
        <w:right w:val="none" w:sz="0" w:space="0" w:color="auto"/>
      </w:divBdr>
      <w:divsChild>
        <w:div w:id="1349454802">
          <w:marLeft w:val="0"/>
          <w:marRight w:val="0"/>
          <w:marTop w:val="0"/>
          <w:marBottom w:val="0"/>
          <w:divBdr>
            <w:top w:val="none" w:sz="0" w:space="0" w:color="auto"/>
            <w:left w:val="none" w:sz="0" w:space="0" w:color="auto"/>
            <w:bottom w:val="none" w:sz="0" w:space="0" w:color="auto"/>
            <w:right w:val="none" w:sz="0" w:space="0" w:color="auto"/>
          </w:divBdr>
          <w:divsChild>
            <w:div w:id="1954164137">
              <w:marLeft w:val="0"/>
              <w:marRight w:val="0"/>
              <w:marTop w:val="0"/>
              <w:marBottom w:val="0"/>
              <w:divBdr>
                <w:top w:val="none" w:sz="0" w:space="0" w:color="auto"/>
                <w:left w:val="none" w:sz="0" w:space="0" w:color="auto"/>
                <w:bottom w:val="none" w:sz="0" w:space="0" w:color="auto"/>
                <w:right w:val="none" w:sz="0" w:space="0" w:color="auto"/>
              </w:divBdr>
              <w:divsChild>
                <w:div w:id="7682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957">
      <w:bodyDiv w:val="1"/>
      <w:marLeft w:val="0"/>
      <w:marRight w:val="0"/>
      <w:marTop w:val="0"/>
      <w:marBottom w:val="0"/>
      <w:divBdr>
        <w:top w:val="none" w:sz="0" w:space="0" w:color="auto"/>
        <w:left w:val="none" w:sz="0" w:space="0" w:color="auto"/>
        <w:bottom w:val="none" w:sz="0" w:space="0" w:color="auto"/>
        <w:right w:val="none" w:sz="0" w:space="0" w:color="auto"/>
      </w:divBdr>
    </w:div>
    <w:div w:id="201092350">
      <w:bodyDiv w:val="1"/>
      <w:marLeft w:val="0"/>
      <w:marRight w:val="0"/>
      <w:marTop w:val="0"/>
      <w:marBottom w:val="0"/>
      <w:divBdr>
        <w:top w:val="none" w:sz="0" w:space="0" w:color="auto"/>
        <w:left w:val="none" w:sz="0" w:space="0" w:color="auto"/>
        <w:bottom w:val="none" w:sz="0" w:space="0" w:color="auto"/>
        <w:right w:val="none" w:sz="0" w:space="0" w:color="auto"/>
      </w:divBdr>
    </w:div>
    <w:div w:id="278807221">
      <w:bodyDiv w:val="1"/>
      <w:marLeft w:val="0"/>
      <w:marRight w:val="0"/>
      <w:marTop w:val="0"/>
      <w:marBottom w:val="0"/>
      <w:divBdr>
        <w:top w:val="none" w:sz="0" w:space="0" w:color="auto"/>
        <w:left w:val="none" w:sz="0" w:space="0" w:color="auto"/>
        <w:bottom w:val="none" w:sz="0" w:space="0" w:color="auto"/>
        <w:right w:val="none" w:sz="0" w:space="0" w:color="auto"/>
      </w:divBdr>
    </w:div>
    <w:div w:id="354617941">
      <w:bodyDiv w:val="1"/>
      <w:marLeft w:val="0"/>
      <w:marRight w:val="0"/>
      <w:marTop w:val="0"/>
      <w:marBottom w:val="0"/>
      <w:divBdr>
        <w:top w:val="none" w:sz="0" w:space="0" w:color="auto"/>
        <w:left w:val="none" w:sz="0" w:space="0" w:color="auto"/>
        <w:bottom w:val="none" w:sz="0" w:space="0" w:color="auto"/>
        <w:right w:val="none" w:sz="0" w:space="0" w:color="auto"/>
      </w:divBdr>
    </w:div>
    <w:div w:id="399136612">
      <w:bodyDiv w:val="1"/>
      <w:marLeft w:val="0"/>
      <w:marRight w:val="0"/>
      <w:marTop w:val="0"/>
      <w:marBottom w:val="0"/>
      <w:divBdr>
        <w:top w:val="none" w:sz="0" w:space="0" w:color="auto"/>
        <w:left w:val="none" w:sz="0" w:space="0" w:color="auto"/>
        <w:bottom w:val="none" w:sz="0" w:space="0" w:color="auto"/>
        <w:right w:val="none" w:sz="0" w:space="0" w:color="auto"/>
      </w:divBdr>
      <w:divsChild>
        <w:div w:id="2116634056">
          <w:marLeft w:val="0"/>
          <w:marRight w:val="0"/>
          <w:marTop w:val="0"/>
          <w:marBottom w:val="0"/>
          <w:divBdr>
            <w:top w:val="none" w:sz="0" w:space="0" w:color="auto"/>
            <w:left w:val="none" w:sz="0" w:space="0" w:color="auto"/>
            <w:bottom w:val="none" w:sz="0" w:space="0" w:color="auto"/>
            <w:right w:val="none" w:sz="0" w:space="0" w:color="auto"/>
          </w:divBdr>
          <w:divsChild>
            <w:div w:id="1426072819">
              <w:marLeft w:val="0"/>
              <w:marRight w:val="0"/>
              <w:marTop w:val="0"/>
              <w:marBottom w:val="0"/>
              <w:divBdr>
                <w:top w:val="none" w:sz="0" w:space="0" w:color="auto"/>
                <w:left w:val="none" w:sz="0" w:space="0" w:color="auto"/>
                <w:bottom w:val="none" w:sz="0" w:space="0" w:color="auto"/>
                <w:right w:val="none" w:sz="0" w:space="0" w:color="auto"/>
              </w:divBdr>
              <w:divsChild>
                <w:div w:id="323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4883">
      <w:bodyDiv w:val="1"/>
      <w:marLeft w:val="0"/>
      <w:marRight w:val="0"/>
      <w:marTop w:val="0"/>
      <w:marBottom w:val="0"/>
      <w:divBdr>
        <w:top w:val="none" w:sz="0" w:space="0" w:color="auto"/>
        <w:left w:val="none" w:sz="0" w:space="0" w:color="auto"/>
        <w:bottom w:val="none" w:sz="0" w:space="0" w:color="auto"/>
        <w:right w:val="none" w:sz="0" w:space="0" w:color="auto"/>
      </w:divBdr>
      <w:divsChild>
        <w:div w:id="1834444341">
          <w:marLeft w:val="0"/>
          <w:marRight w:val="0"/>
          <w:marTop w:val="0"/>
          <w:marBottom w:val="0"/>
          <w:divBdr>
            <w:top w:val="none" w:sz="0" w:space="0" w:color="auto"/>
            <w:left w:val="none" w:sz="0" w:space="0" w:color="auto"/>
            <w:bottom w:val="none" w:sz="0" w:space="0" w:color="auto"/>
            <w:right w:val="none" w:sz="0" w:space="0" w:color="auto"/>
          </w:divBdr>
          <w:divsChild>
            <w:div w:id="1707945346">
              <w:marLeft w:val="0"/>
              <w:marRight w:val="0"/>
              <w:marTop w:val="0"/>
              <w:marBottom w:val="0"/>
              <w:divBdr>
                <w:top w:val="none" w:sz="0" w:space="0" w:color="auto"/>
                <w:left w:val="none" w:sz="0" w:space="0" w:color="auto"/>
                <w:bottom w:val="none" w:sz="0" w:space="0" w:color="auto"/>
                <w:right w:val="none" w:sz="0" w:space="0" w:color="auto"/>
              </w:divBdr>
              <w:divsChild>
                <w:div w:id="16033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2474">
      <w:bodyDiv w:val="1"/>
      <w:marLeft w:val="0"/>
      <w:marRight w:val="0"/>
      <w:marTop w:val="0"/>
      <w:marBottom w:val="0"/>
      <w:divBdr>
        <w:top w:val="none" w:sz="0" w:space="0" w:color="auto"/>
        <w:left w:val="none" w:sz="0" w:space="0" w:color="auto"/>
        <w:bottom w:val="none" w:sz="0" w:space="0" w:color="auto"/>
        <w:right w:val="none" w:sz="0" w:space="0" w:color="auto"/>
      </w:divBdr>
      <w:divsChild>
        <w:div w:id="761996311">
          <w:marLeft w:val="0"/>
          <w:marRight w:val="0"/>
          <w:marTop w:val="0"/>
          <w:marBottom w:val="0"/>
          <w:divBdr>
            <w:top w:val="none" w:sz="0" w:space="0" w:color="auto"/>
            <w:left w:val="none" w:sz="0" w:space="0" w:color="auto"/>
            <w:bottom w:val="none" w:sz="0" w:space="0" w:color="auto"/>
            <w:right w:val="none" w:sz="0" w:space="0" w:color="auto"/>
          </w:divBdr>
          <w:divsChild>
            <w:div w:id="1702196268">
              <w:marLeft w:val="0"/>
              <w:marRight w:val="0"/>
              <w:marTop w:val="0"/>
              <w:marBottom w:val="0"/>
              <w:divBdr>
                <w:top w:val="none" w:sz="0" w:space="0" w:color="auto"/>
                <w:left w:val="none" w:sz="0" w:space="0" w:color="auto"/>
                <w:bottom w:val="none" w:sz="0" w:space="0" w:color="auto"/>
                <w:right w:val="none" w:sz="0" w:space="0" w:color="auto"/>
              </w:divBdr>
              <w:divsChild>
                <w:div w:id="1667630917">
                  <w:marLeft w:val="0"/>
                  <w:marRight w:val="0"/>
                  <w:marTop w:val="0"/>
                  <w:marBottom w:val="0"/>
                  <w:divBdr>
                    <w:top w:val="none" w:sz="0" w:space="0" w:color="auto"/>
                    <w:left w:val="none" w:sz="0" w:space="0" w:color="auto"/>
                    <w:bottom w:val="none" w:sz="0" w:space="0" w:color="auto"/>
                    <w:right w:val="none" w:sz="0" w:space="0" w:color="auto"/>
                  </w:divBdr>
                </w:div>
              </w:divsChild>
            </w:div>
            <w:div w:id="1863546490">
              <w:marLeft w:val="0"/>
              <w:marRight w:val="0"/>
              <w:marTop w:val="0"/>
              <w:marBottom w:val="0"/>
              <w:divBdr>
                <w:top w:val="none" w:sz="0" w:space="0" w:color="auto"/>
                <w:left w:val="none" w:sz="0" w:space="0" w:color="auto"/>
                <w:bottom w:val="none" w:sz="0" w:space="0" w:color="auto"/>
                <w:right w:val="none" w:sz="0" w:space="0" w:color="auto"/>
              </w:divBdr>
              <w:divsChild>
                <w:div w:id="1729768470">
                  <w:marLeft w:val="0"/>
                  <w:marRight w:val="0"/>
                  <w:marTop w:val="0"/>
                  <w:marBottom w:val="0"/>
                  <w:divBdr>
                    <w:top w:val="none" w:sz="0" w:space="0" w:color="auto"/>
                    <w:left w:val="none" w:sz="0" w:space="0" w:color="auto"/>
                    <w:bottom w:val="none" w:sz="0" w:space="0" w:color="auto"/>
                    <w:right w:val="none" w:sz="0" w:space="0" w:color="auto"/>
                  </w:divBdr>
                </w:div>
              </w:divsChild>
            </w:div>
            <w:div w:id="88890806">
              <w:marLeft w:val="0"/>
              <w:marRight w:val="0"/>
              <w:marTop w:val="0"/>
              <w:marBottom w:val="0"/>
              <w:divBdr>
                <w:top w:val="none" w:sz="0" w:space="0" w:color="auto"/>
                <w:left w:val="none" w:sz="0" w:space="0" w:color="auto"/>
                <w:bottom w:val="none" w:sz="0" w:space="0" w:color="auto"/>
                <w:right w:val="none" w:sz="0" w:space="0" w:color="auto"/>
              </w:divBdr>
              <w:divsChild>
                <w:div w:id="1440417402">
                  <w:marLeft w:val="0"/>
                  <w:marRight w:val="0"/>
                  <w:marTop w:val="0"/>
                  <w:marBottom w:val="0"/>
                  <w:divBdr>
                    <w:top w:val="none" w:sz="0" w:space="0" w:color="auto"/>
                    <w:left w:val="none" w:sz="0" w:space="0" w:color="auto"/>
                    <w:bottom w:val="none" w:sz="0" w:space="0" w:color="auto"/>
                    <w:right w:val="none" w:sz="0" w:space="0" w:color="auto"/>
                  </w:divBdr>
                </w:div>
              </w:divsChild>
            </w:div>
            <w:div w:id="551043965">
              <w:marLeft w:val="0"/>
              <w:marRight w:val="0"/>
              <w:marTop w:val="0"/>
              <w:marBottom w:val="0"/>
              <w:divBdr>
                <w:top w:val="none" w:sz="0" w:space="0" w:color="auto"/>
                <w:left w:val="none" w:sz="0" w:space="0" w:color="auto"/>
                <w:bottom w:val="none" w:sz="0" w:space="0" w:color="auto"/>
                <w:right w:val="none" w:sz="0" w:space="0" w:color="auto"/>
              </w:divBdr>
              <w:divsChild>
                <w:div w:id="6477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5108">
      <w:bodyDiv w:val="1"/>
      <w:marLeft w:val="0"/>
      <w:marRight w:val="0"/>
      <w:marTop w:val="0"/>
      <w:marBottom w:val="0"/>
      <w:divBdr>
        <w:top w:val="none" w:sz="0" w:space="0" w:color="auto"/>
        <w:left w:val="none" w:sz="0" w:space="0" w:color="auto"/>
        <w:bottom w:val="none" w:sz="0" w:space="0" w:color="auto"/>
        <w:right w:val="none" w:sz="0" w:space="0" w:color="auto"/>
      </w:divBdr>
      <w:divsChild>
        <w:div w:id="1138381237">
          <w:marLeft w:val="0"/>
          <w:marRight w:val="0"/>
          <w:marTop w:val="0"/>
          <w:marBottom w:val="0"/>
          <w:divBdr>
            <w:top w:val="none" w:sz="0" w:space="0" w:color="auto"/>
            <w:left w:val="none" w:sz="0" w:space="0" w:color="auto"/>
            <w:bottom w:val="none" w:sz="0" w:space="0" w:color="auto"/>
            <w:right w:val="none" w:sz="0" w:space="0" w:color="auto"/>
          </w:divBdr>
          <w:divsChild>
            <w:div w:id="1391154934">
              <w:marLeft w:val="0"/>
              <w:marRight w:val="0"/>
              <w:marTop w:val="0"/>
              <w:marBottom w:val="0"/>
              <w:divBdr>
                <w:top w:val="none" w:sz="0" w:space="0" w:color="auto"/>
                <w:left w:val="none" w:sz="0" w:space="0" w:color="auto"/>
                <w:bottom w:val="none" w:sz="0" w:space="0" w:color="auto"/>
                <w:right w:val="none" w:sz="0" w:space="0" w:color="auto"/>
              </w:divBdr>
              <w:divsChild>
                <w:div w:id="1676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148">
      <w:bodyDiv w:val="1"/>
      <w:marLeft w:val="0"/>
      <w:marRight w:val="0"/>
      <w:marTop w:val="0"/>
      <w:marBottom w:val="0"/>
      <w:divBdr>
        <w:top w:val="none" w:sz="0" w:space="0" w:color="auto"/>
        <w:left w:val="none" w:sz="0" w:space="0" w:color="auto"/>
        <w:bottom w:val="none" w:sz="0" w:space="0" w:color="auto"/>
        <w:right w:val="none" w:sz="0" w:space="0" w:color="auto"/>
      </w:divBdr>
    </w:div>
    <w:div w:id="607078931">
      <w:bodyDiv w:val="1"/>
      <w:marLeft w:val="0"/>
      <w:marRight w:val="0"/>
      <w:marTop w:val="0"/>
      <w:marBottom w:val="0"/>
      <w:divBdr>
        <w:top w:val="none" w:sz="0" w:space="0" w:color="auto"/>
        <w:left w:val="none" w:sz="0" w:space="0" w:color="auto"/>
        <w:bottom w:val="none" w:sz="0" w:space="0" w:color="auto"/>
        <w:right w:val="none" w:sz="0" w:space="0" w:color="auto"/>
      </w:divBdr>
      <w:divsChild>
        <w:div w:id="492987446">
          <w:marLeft w:val="0"/>
          <w:marRight w:val="0"/>
          <w:marTop w:val="0"/>
          <w:marBottom w:val="0"/>
          <w:divBdr>
            <w:top w:val="none" w:sz="0" w:space="0" w:color="auto"/>
            <w:left w:val="none" w:sz="0" w:space="0" w:color="auto"/>
            <w:bottom w:val="none" w:sz="0" w:space="0" w:color="auto"/>
            <w:right w:val="none" w:sz="0" w:space="0" w:color="auto"/>
          </w:divBdr>
          <w:divsChild>
            <w:div w:id="1955013085">
              <w:marLeft w:val="0"/>
              <w:marRight w:val="0"/>
              <w:marTop w:val="0"/>
              <w:marBottom w:val="0"/>
              <w:divBdr>
                <w:top w:val="none" w:sz="0" w:space="0" w:color="auto"/>
                <w:left w:val="none" w:sz="0" w:space="0" w:color="auto"/>
                <w:bottom w:val="none" w:sz="0" w:space="0" w:color="auto"/>
                <w:right w:val="none" w:sz="0" w:space="0" w:color="auto"/>
              </w:divBdr>
              <w:divsChild>
                <w:div w:id="1209608331">
                  <w:marLeft w:val="0"/>
                  <w:marRight w:val="0"/>
                  <w:marTop w:val="0"/>
                  <w:marBottom w:val="0"/>
                  <w:divBdr>
                    <w:top w:val="none" w:sz="0" w:space="0" w:color="auto"/>
                    <w:left w:val="none" w:sz="0" w:space="0" w:color="auto"/>
                    <w:bottom w:val="none" w:sz="0" w:space="0" w:color="auto"/>
                    <w:right w:val="none" w:sz="0" w:space="0" w:color="auto"/>
                  </w:divBdr>
                </w:div>
              </w:divsChild>
            </w:div>
            <w:div w:id="1965698292">
              <w:marLeft w:val="0"/>
              <w:marRight w:val="0"/>
              <w:marTop w:val="0"/>
              <w:marBottom w:val="0"/>
              <w:divBdr>
                <w:top w:val="none" w:sz="0" w:space="0" w:color="auto"/>
                <w:left w:val="none" w:sz="0" w:space="0" w:color="auto"/>
                <w:bottom w:val="none" w:sz="0" w:space="0" w:color="auto"/>
                <w:right w:val="none" w:sz="0" w:space="0" w:color="auto"/>
              </w:divBdr>
              <w:divsChild>
                <w:div w:id="401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5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300">
          <w:marLeft w:val="0"/>
          <w:marRight w:val="0"/>
          <w:marTop w:val="0"/>
          <w:marBottom w:val="0"/>
          <w:divBdr>
            <w:top w:val="none" w:sz="0" w:space="0" w:color="auto"/>
            <w:left w:val="none" w:sz="0" w:space="0" w:color="auto"/>
            <w:bottom w:val="none" w:sz="0" w:space="0" w:color="auto"/>
            <w:right w:val="none" w:sz="0" w:space="0" w:color="auto"/>
          </w:divBdr>
          <w:divsChild>
            <w:div w:id="604313950">
              <w:marLeft w:val="0"/>
              <w:marRight w:val="0"/>
              <w:marTop w:val="0"/>
              <w:marBottom w:val="0"/>
              <w:divBdr>
                <w:top w:val="none" w:sz="0" w:space="0" w:color="auto"/>
                <w:left w:val="none" w:sz="0" w:space="0" w:color="auto"/>
                <w:bottom w:val="none" w:sz="0" w:space="0" w:color="auto"/>
                <w:right w:val="none" w:sz="0" w:space="0" w:color="auto"/>
              </w:divBdr>
              <w:divsChild>
                <w:div w:id="1344084891">
                  <w:marLeft w:val="0"/>
                  <w:marRight w:val="0"/>
                  <w:marTop w:val="0"/>
                  <w:marBottom w:val="0"/>
                  <w:divBdr>
                    <w:top w:val="none" w:sz="0" w:space="0" w:color="auto"/>
                    <w:left w:val="none" w:sz="0" w:space="0" w:color="auto"/>
                    <w:bottom w:val="none" w:sz="0" w:space="0" w:color="auto"/>
                    <w:right w:val="none" w:sz="0" w:space="0" w:color="auto"/>
                  </w:divBdr>
                </w:div>
              </w:divsChild>
            </w:div>
            <w:div w:id="367023145">
              <w:marLeft w:val="0"/>
              <w:marRight w:val="0"/>
              <w:marTop w:val="0"/>
              <w:marBottom w:val="0"/>
              <w:divBdr>
                <w:top w:val="none" w:sz="0" w:space="0" w:color="auto"/>
                <w:left w:val="none" w:sz="0" w:space="0" w:color="auto"/>
                <w:bottom w:val="none" w:sz="0" w:space="0" w:color="auto"/>
                <w:right w:val="none" w:sz="0" w:space="0" w:color="auto"/>
              </w:divBdr>
              <w:divsChild>
                <w:div w:id="928271442">
                  <w:marLeft w:val="0"/>
                  <w:marRight w:val="0"/>
                  <w:marTop w:val="0"/>
                  <w:marBottom w:val="0"/>
                  <w:divBdr>
                    <w:top w:val="none" w:sz="0" w:space="0" w:color="auto"/>
                    <w:left w:val="none" w:sz="0" w:space="0" w:color="auto"/>
                    <w:bottom w:val="none" w:sz="0" w:space="0" w:color="auto"/>
                    <w:right w:val="none" w:sz="0" w:space="0" w:color="auto"/>
                  </w:divBdr>
                </w:div>
              </w:divsChild>
            </w:div>
            <w:div w:id="1044139830">
              <w:marLeft w:val="0"/>
              <w:marRight w:val="0"/>
              <w:marTop w:val="0"/>
              <w:marBottom w:val="0"/>
              <w:divBdr>
                <w:top w:val="none" w:sz="0" w:space="0" w:color="auto"/>
                <w:left w:val="none" w:sz="0" w:space="0" w:color="auto"/>
                <w:bottom w:val="none" w:sz="0" w:space="0" w:color="auto"/>
                <w:right w:val="none" w:sz="0" w:space="0" w:color="auto"/>
              </w:divBdr>
              <w:divsChild>
                <w:div w:id="1188250670">
                  <w:marLeft w:val="0"/>
                  <w:marRight w:val="0"/>
                  <w:marTop w:val="0"/>
                  <w:marBottom w:val="0"/>
                  <w:divBdr>
                    <w:top w:val="none" w:sz="0" w:space="0" w:color="auto"/>
                    <w:left w:val="none" w:sz="0" w:space="0" w:color="auto"/>
                    <w:bottom w:val="none" w:sz="0" w:space="0" w:color="auto"/>
                    <w:right w:val="none" w:sz="0" w:space="0" w:color="auto"/>
                  </w:divBdr>
                </w:div>
              </w:divsChild>
            </w:div>
            <w:div w:id="929895718">
              <w:marLeft w:val="0"/>
              <w:marRight w:val="0"/>
              <w:marTop w:val="0"/>
              <w:marBottom w:val="0"/>
              <w:divBdr>
                <w:top w:val="none" w:sz="0" w:space="0" w:color="auto"/>
                <w:left w:val="none" w:sz="0" w:space="0" w:color="auto"/>
                <w:bottom w:val="none" w:sz="0" w:space="0" w:color="auto"/>
                <w:right w:val="none" w:sz="0" w:space="0" w:color="auto"/>
              </w:divBdr>
              <w:divsChild>
                <w:div w:id="1572807163">
                  <w:marLeft w:val="0"/>
                  <w:marRight w:val="0"/>
                  <w:marTop w:val="0"/>
                  <w:marBottom w:val="0"/>
                  <w:divBdr>
                    <w:top w:val="none" w:sz="0" w:space="0" w:color="auto"/>
                    <w:left w:val="none" w:sz="0" w:space="0" w:color="auto"/>
                    <w:bottom w:val="none" w:sz="0" w:space="0" w:color="auto"/>
                    <w:right w:val="none" w:sz="0" w:space="0" w:color="auto"/>
                  </w:divBdr>
                </w:div>
              </w:divsChild>
            </w:div>
            <w:div w:id="1671253947">
              <w:marLeft w:val="0"/>
              <w:marRight w:val="0"/>
              <w:marTop w:val="0"/>
              <w:marBottom w:val="0"/>
              <w:divBdr>
                <w:top w:val="none" w:sz="0" w:space="0" w:color="auto"/>
                <w:left w:val="none" w:sz="0" w:space="0" w:color="auto"/>
                <w:bottom w:val="none" w:sz="0" w:space="0" w:color="auto"/>
                <w:right w:val="none" w:sz="0" w:space="0" w:color="auto"/>
              </w:divBdr>
              <w:divsChild>
                <w:div w:id="1657951254">
                  <w:marLeft w:val="0"/>
                  <w:marRight w:val="0"/>
                  <w:marTop w:val="0"/>
                  <w:marBottom w:val="0"/>
                  <w:divBdr>
                    <w:top w:val="none" w:sz="0" w:space="0" w:color="auto"/>
                    <w:left w:val="none" w:sz="0" w:space="0" w:color="auto"/>
                    <w:bottom w:val="none" w:sz="0" w:space="0" w:color="auto"/>
                    <w:right w:val="none" w:sz="0" w:space="0" w:color="auto"/>
                  </w:divBdr>
                </w:div>
              </w:divsChild>
            </w:div>
            <w:div w:id="649482969">
              <w:marLeft w:val="0"/>
              <w:marRight w:val="0"/>
              <w:marTop w:val="0"/>
              <w:marBottom w:val="0"/>
              <w:divBdr>
                <w:top w:val="none" w:sz="0" w:space="0" w:color="auto"/>
                <w:left w:val="none" w:sz="0" w:space="0" w:color="auto"/>
                <w:bottom w:val="none" w:sz="0" w:space="0" w:color="auto"/>
                <w:right w:val="none" w:sz="0" w:space="0" w:color="auto"/>
              </w:divBdr>
              <w:divsChild>
                <w:div w:id="1246458595">
                  <w:marLeft w:val="0"/>
                  <w:marRight w:val="0"/>
                  <w:marTop w:val="0"/>
                  <w:marBottom w:val="0"/>
                  <w:divBdr>
                    <w:top w:val="none" w:sz="0" w:space="0" w:color="auto"/>
                    <w:left w:val="none" w:sz="0" w:space="0" w:color="auto"/>
                    <w:bottom w:val="none" w:sz="0" w:space="0" w:color="auto"/>
                    <w:right w:val="none" w:sz="0" w:space="0" w:color="auto"/>
                  </w:divBdr>
                </w:div>
              </w:divsChild>
            </w:div>
            <w:div w:id="1128551819">
              <w:marLeft w:val="0"/>
              <w:marRight w:val="0"/>
              <w:marTop w:val="0"/>
              <w:marBottom w:val="0"/>
              <w:divBdr>
                <w:top w:val="none" w:sz="0" w:space="0" w:color="auto"/>
                <w:left w:val="none" w:sz="0" w:space="0" w:color="auto"/>
                <w:bottom w:val="none" w:sz="0" w:space="0" w:color="auto"/>
                <w:right w:val="none" w:sz="0" w:space="0" w:color="auto"/>
              </w:divBdr>
              <w:divsChild>
                <w:div w:id="1885025362">
                  <w:marLeft w:val="0"/>
                  <w:marRight w:val="0"/>
                  <w:marTop w:val="0"/>
                  <w:marBottom w:val="0"/>
                  <w:divBdr>
                    <w:top w:val="none" w:sz="0" w:space="0" w:color="auto"/>
                    <w:left w:val="none" w:sz="0" w:space="0" w:color="auto"/>
                    <w:bottom w:val="none" w:sz="0" w:space="0" w:color="auto"/>
                    <w:right w:val="none" w:sz="0" w:space="0" w:color="auto"/>
                  </w:divBdr>
                </w:div>
              </w:divsChild>
            </w:div>
            <w:div w:id="1058943682">
              <w:marLeft w:val="0"/>
              <w:marRight w:val="0"/>
              <w:marTop w:val="0"/>
              <w:marBottom w:val="0"/>
              <w:divBdr>
                <w:top w:val="none" w:sz="0" w:space="0" w:color="auto"/>
                <w:left w:val="none" w:sz="0" w:space="0" w:color="auto"/>
                <w:bottom w:val="none" w:sz="0" w:space="0" w:color="auto"/>
                <w:right w:val="none" w:sz="0" w:space="0" w:color="auto"/>
              </w:divBdr>
              <w:divsChild>
                <w:div w:id="1559244721">
                  <w:marLeft w:val="0"/>
                  <w:marRight w:val="0"/>
                  <w:marTop w:val="0"/>
                  <w:marBottom w:val="0"/>
                  <w:divBdr>
                    <w:top w:val="none" w:sz="0" w:space="0" w:color="auto"/>
                    <w:left w:val="none" w:sz="0" w:space="0" w:color="auto"/>
                    <w:bottom w:val="none" w:sz="0" w:space="0" w:color="auto"/>
                    <w:right w:val="none" w:sz="0" w:space="0" w:color="auto"/>
                  </w:divBdr>
                </w:div>
              </w:divsChild>
            </w:div>
            <w:div w:id="597913062">
              <w:marLeft w:val="0"/>
              <w:marRight w:val="0"/>
              <w:marTop w:val="0"/>
              <w:marBottom w:val="0"/>
              <w:divBdr>
                <w:top w:val="none" w:sz="0" w:space="0" w:color="auto"/>
                <w:left w:val="none" w:sz="0" w:space="0" w:color="auto"/>
                <w:bottom w:val="none" w:sz="0" w:space="0" w:color="auto"/>
                <w:right w:val="none" w:sz="0" w:space="0" w:color="auto"/>
              </w:divBdr>
              <w:divsChild>
                <w:div w:id="1371151830">
                  <w:marLeft w:val="0"/>
                  <w:marRight w:val="0"/>
                  <w:marTop w:val="0"/>
                  <w:marBottom w:val="0"/>
                  <w:divBdr>
                    <w:top w:val="none" w:sz="0" w:space="0" w:color="auto"/>
                    <w:left w:val="none" w:sz="0" w:space="0" w:color="auto"/>
                    <w:bottom w:val="none" w:sz="0" w:space="0" w:color="auto"/>
                    <w:right w:val="none" w:sz="0" w:space="0" w:color="auto"/>
                  </w:divBdr>
                </w:div>
              </w:divsChild>
            </w:div>
            <w:div w:id="86312765">
              <w:marLeft w:val="0"/>
              <w:marRight w:val="0"/>
              <w:marTop w:val="0"/>
              <w:marBottom w:val="0"/>
              <w:divBdr>
                <w:top w:val="none" w:sz="0" w:space="0" w:color="auto"/>
                <w:left w:val="none" w:sz="0" w:space="0" w:color="auto"/>
                <w:bottom w:val="none" w:sz="0" w:space="0" w:color="auto"/>
                <w:right w:val="none" w:sz="0" w:space="0" w:color="auto"/>
              </w:divBdr>
              <w:divsChild>
                <w:div w:id="693649319">
                  <w:marLeft w:val="0"/>
                  <w:marRight w:val="0"/>
                  <w:marTop w:val="0"/>
                  <w:marBottom w:val="0"/>
                  <w:divBdr>
                    <w:top w:val="none" w:sz="0" w:space="0" w:color="auto"/>
                    <w:left w:val="none" w:sz="0" w:space="0" w:color="auto"/>
                    <w:bottom w:val="none" w:sz="0" w:space="0" w:color="auto"/>
                    <w:right w:val="none" w:sz="0" w:space="0" w:color="auto"/>
                  </w:divBdr>
                </w:div>
              </w:divsChild>
            </w:div>
            <w:div w:id="338773081">
              <w:marLeft w:val="0"/>
              <w:marRight w:val="0"/>
              <w:marTop w:val="0"/>
              <w:marBottom w:val="0"/>
              <w:divBdr>
                <w:top w:val="none" w:sz="0" w:space="0" w:color="auto"/>
                <w:left w:val="none" w:sz="0" w:space="0" w:color="auto"/>
                <w:bottom w:val="none" w:sz="0" w:space="0" w:color="auto"/>
                <w:right w:val="none" w:sz="0" w:space="0" w:color="auto"/>
              </w:divBdr>
              <w:divsChild>
                <w:div w:id="1017193421">
                  <w:marLeft w:val="0"/>
                  <w:marRight w:val="0"/>
                  <w:marTop w:val="0"/>
                  <w:marBottom w:val="0"/>
                  <w:divBdr>
                    <w:top w:val="none" w:sz="0" w:space="0" w:color="auto"/>
                    <w:left w:val="none" w:sz="0" w:space="0" w:color="auto"/>
                    <w:bottom w:val="none" w:sz="0" w:space="0" w:color="auto"/>
                    <w:right w:val="none" w:sz="0" w:space="0" w:color="auto"/>
                  </w:divBdr>
                </w:div>
              </w:divsChild>
            </w:div>
            <w:div w:id="2086297737">
              <w:marLeft w:val="0"/>
              <w:marRight w:val="0"/>
              <w:marTop w:val="0"/>
              <w:marBottom w:val="0"/>
              <w:divBdr>
                <w:top w:val="none" w:sz="0" w:space="0" w:color="auto"/>
                <w:left w:val="none" w:sz="0" w:space="0" w:color="auto"/>
                <w:bottom w:val="none" w:sz="0" w:space="0" w:color="auto"/>
                <w:right w:val="none" w:sz="0" w:space="0" w:color="auto"/>
              </w:divBdr>
              <w:divsChild>
                <w:div w:id="332609356">
                  <w:marLeft w:val="0"/>
                  <w:marRight w:val="0"/>
                  <w:marTop w:val="0"/>
                  <w:marBottom w:val="0"/>
                  <w:divBdr>
                    <w:top w:val="none" w:sz="0" w:space="0" w:color="auto"/>
                    <w:left w:val="none" w:sz="0" w:space="0" w:color="auto"/>
                    <w:bottom w:val="none" w:sz="0" w:space="0" w:color="auto"/>
                    <w:right w:val="none" w:sz="0" w:space="0" w:color="auto"/>
                  </w:divBdr>
                </w:div>
              </w:divsChild>
            </w:div>
            <w:div w:id="546382684">
              <w:marLeft w:val="0"/>
              <w:marRight w:val="0"/>
              <w:marTop w:val="0"/>
              <w:marBottom w:val="0"/>
              <w:divBdr>
                <w:top w:val="none" w:sz="0" w:space="0" w:color="auto"/>
                <w:left w:val="none" w:sz="0" w:space="0" w:color="auto"/>
                <w:bottom w:val="none" w:sz="0" w:space="0" w:color="auto"/>
                <w:right w:val="none" w:sz="0" w:space="0" w:color="auto"/>
              </w:divBdr>
              <w:divsChild>
                <w:div w:id="396171627">
                  <w:marLeft w:val="0"/>
                  <w:marRight w:val="0"/>
                  <w:marTop w:val="0"/>
                  <w:marBottom w:val="0"/>
                  <w:divBdr>
                    <w:top w:val="none" w:sz="0" w:space="0" w:color="auto"/>
                    <w:left w:val="none" w:sz="0" w:space="0" w:color="auto"/>
                    <w:bottom w:val="none" w:sz="0" w:space="0" w:color="auto"/>
                    <w:right w:val="none" w:sz="0" w:space="0" w:color="auto"/>
                  </w:divBdr>
                </w:div>
              </w:divsChild>
            </w:div>
            <w:div w:id="1122379145">
              <w:marLeft w:val="0"/>
              <w:marRight w:val="0"/>
              <w:marTop w:val="0"/>
              <w:marBottom w:val="0"/>
              <w:divBdr>
                <w:top w:val="none" w:sz="0" w:space="0" w:color="auto"/>
                <w:left w:val="none" w:sz="0" w:space="0" w:color="auto"/>
                <w:bottom w:val="none" w:sz="0" w:space="0" w:color="auto"/>
                <w:right w:val="none" w:sz="0" w:space="0" w:color="auto"/>
              </w:divBdr>
              <w:divsChild>
                <w:div w:id="68771805">
                  <w:marLeft w:val="0"/>
                  <w:marRight w:val="0"/>
                  <w:marTop w:val="0"/>
                  <w:marBottom w:val="0"/>
                  <w:divBdr>
                    <w:top w:val="none" w:sz="0" w:space="0" w:color="auto"/>
                    <w:left w:val="none" w:sz="0" w:space="0" w:color="auto"/>
                    <w:bottom w:val="none" w:sz="0" w:space="0" w:color="auto"/>
                    <w:right w:val="none" w:sz="0" w:space="0" w:color="auto"/>
                  </w:divBdr>
                </w:div>
              </w:divsChild>
            </w:div>
            <w:div w:id="528182530">
              <w:marLeft w:val="0"/>
              <w:marRight w:val="0"/>
              <w:marTop w:val="0"/>
              <w:marBottom w:val="0"/>
              <w:divBdr>
                <w:top w:val="none" w:sz="0" w:space="0" w:color="auto"/>
                <w:left w:val="none" w:sz="0" w:space="0" w:color="auto"/>
                <w:bottom w:val="none" w:sz="0" w:space="0" w:color="auto"/>
                <w:right w:val="none" w:sz="0" w:space="0" w:color="auto"/>
              </w:divBdr>
              <w:divsChild>
                <w:div w:id="55279556">
                  <w:marLeft w:val="0"/>
                  <w:marRight w:val="0"/>
                  <w:marTop w:val="0"/>
                  <w:marBottom w:val="0"/>
                  <w:divBdr>
                    <w:top w:val="none" w:sz="0" w:space="0" w:color="auto"/>
                    <w:left w:val="none" w:sz="0" w:space="0" w:color="auto"/>
                    <w:bottom w:val="none" w:sz="0" w:space="0" w:color="auto"/>
                    <w:right w:val="none" w:sz="0" w:space="0" w:color="auto"/>
                  </w:divBdr>
                </w:div>
              </w:divsChild>
            </w:div>
            <w:div w:id="1521629946">
              <w:marLeft w:val="0"/>
              <w:marRight w:val="0"/>
              <w:marTop w:val="0"/>
              <w:marBottom w:val="0"/>
              <w:divBdr>
                <w:top w:val="none" w:sz="0" w:space="0" w:color="auto"/>
                <w:left w:val="none" w:sz="0" w:space="0" w:color="auto"/>
                <w:bottom w:val="none" w:sz="0" w:space="0" w:color="auto"/>
                <w:right w:val="none" w:sz="0" w:space="0" w:color="auto"/>
              </w:divBdr>
              <w:divsChild>
                <w:div w:id="1308625606">
                  <w:marLeft w:val="0"/>
                  <w:marRight w:val="0"/>
                  <w:marTop w:val="0"/>
                  <w:marBottom w:val="0"/>
                  <w:divBdr>
                    <w:top w:val="none" w:sz="0" w:space="0" w:color="auto"/>
                    <w:left w:val="none" w:sz="0" w:space="0" w:color="auto"/>
                    <w:bottom w:val="none" w:sz="0" w:space="0" w:color="auto"/>
                    <w:right w:val="none" w:sz="0" w:space="0" w:color="auto"/>
                  </w:divBdr>
                </w:div>
              </w:divsChild>
            </w:div>
            <w:div w:id="693648835">
              <w:marLeft w:val="0"/>
              <w:marRight w:val="0"/>
              <w:marTop w:val="0"/>
              <w:marBottom w:val="0"/>
              <w:divBdr>
                <w:top w:val="none" w:sz="0" w:space="0" w:color="auto"/>
                <w:left w:val="none" w:sz="0" w:space="0" w:color="auto"/>
                <w:bottom w:val="none" w:sz="0" w:space="0" w:color="auto"/>
                <w:right w:val="none" w:sz="0" w:space="0" w:color="auto"/>
              </w:divBdr>
              <w:divsChild>
                <w:div w:id="532035135">
                  <w:marLeft w:val="0"/>
                  <w:marRight w:val="0"/>
                  <w:marTop w:val="0"/>
                  <w:marBottom w:val="0"/>
                  <w:divBdr>
                    <w:top w:val="none" w:sz="0" w:space="0" w:color="auto"/>
                    <w:left w:val="none" w:sz="0" w:space="0" w:color="auto"/>
                    <w:bottom w:val="none" w:sz="0" w:space="0" w:color="auto"/>
                    <w:right w:val="none" w:sz="0" w:space="0" w:color="auto"/>
                  </w:divBdr>
                </w:div>
              </w:divsChild>
            </w:div>
            <w:div w:id="1568221143">
              <w:marLeft w:val="0"/>
              <w:marRight w:val="0"/>
              <w:marTop w:val="0"/>
              <w:marBottom w:val="0"/>
              <w:divBdr>
                <w:top w:val="none" w:sz="0" w:space="0" w:color="auto"/>
                <w:left w:val="none" w:sz="0" w:space="0" w:color="auto"/>
                <w:bottom w:val="none" w:sz="0" w:space="0" w:color="auto"/>
                <w:right w:val="none" w:sz="0" w:space="0" w:color="auto"/>
              </w:divBdr>
              <w:divsChild>
                <w:div w:id="9532236">
                  <w:marLeft w:val="0"/>
                  <w:marRight w:val="0"/>
                  <w:marTop w:val="0"/>
                  <w:marBottom w:val="0"/>
                  <w:divBdr>
                    <w:top w:val="none" w:sz="0" w:space="0" w:color="auto"/>
                    <w:left w:val="none" w:sz="0" w:space="0" w:color="auto"/>
                    <w:bottom w:val="none" w:sz="0" w:space="0" w:color="auto"/>
                    <w:right w:val="none" w:sz="0" w:space="0" w:color="auto"/>
                  </w:divBdr>
                </w:div>
              </w:divsChild>
            </w:div>
            <w:div w:id="836043388">
              <w:marLeft w:val="0"/>
              <w:marRight w:val="0"/>
              <w:marTop w:val="0"/>
              <w:marBottom w:val="0"/>
              <w:divBdr>
                <w:top w:val="none" w:sz="0" w:space="0" w:color="auto"/>
                <w:left w:val="none" w:sz="0" w:space="0" w:color="auto"/>
                <w:bottom w:val="none" w:sz="0" w:space="0" w:color="auto"/>
                <w:right w:val="none" w:sz="0" w:space="0" w:color="auto"/>
              </w:divBdr>
              <w:divsChild>
                <w:div w:id="1935437496">
                  <w:marLeft w:val="0"/>
                  <w:marRight w:val="0"/>
                  <w:marTop w:val="0"/>
                  <w:marBottom w:val="0"/>
                  <w:divBdr>
                    <w:top w:val="none" w:sz="0" w:space="0" w:color="auto"/>
                    <w:left w:val="none" w:sz="0" w:space="0" w:color="auto"/>
                    <w:bottom w:val="none" w:sz="0" w:space="0" w:color="auto"/>
                    <w:right w:val="none" w:sz="0" w:space="0" w:color="auto"/>
                  </w:divBdr>
                </w:div>
              </w:divsChild>
            </w:div>
            <w:div w:id="3752106">
              <w:marLeft w:val="0"/>
              <w:marRight w:val="0"/>
              <w:marTop w:val="0"/>
              <w:marBottom w:val="0"/>
              <w:divBdr>
                <w:top w:val="none" w:sz="0" w:space="0" w:color="auto"/>
                <w:left w:val="none" w:sz="0" w:space="0" w:color="auto"/>
                <w:bottom w:val="none" w:sz="0" w:space="0" w:color="auto"/>
                <w:right w:val="none" w:sz="0" w:space="0" w:color="auto"/>
              </w:divBdr>
              <w:divsChild>
                <w:div w:id="1712269798">
                  <w:marLeft w:val="0"/>
                  <w:marRight w:val="0"/>
                  <w:marTop w:val="0"/>
                  <w:marBottom w:val="0"/>
                  <w:divBdr>
                    <w:top w:val="none" w:sz="0" w:space="0" w:color="auto"/>
                    <w:left w:val="none" w:sz="0" w:space="0" w:color="auto"/>
                    <w:bottom w:val="none" w:sz="0" w:space="0" w:color="auto"/>
                    <w:right w:val="none" w:sz="0" w:space="0" w:color="auto"/>
                  </w:divBdr>
                </w:div>
              </w:divsChild>
            </w:div>
            <w:div w:id="937953920">
              <w:marLeft w:val="0"/>
              <w:marRight w:val="0"/>
              <w:marTop w:val="0"/>
              <w:marBottom w:val="0"/>
              <w:divBdr>
                <w:top w:val="none" w:sz="0" w:space="0" w:color="auto"/>
                <w:left w:val="none" w:sz="0" w:space="0" w:color="auto"/>
                <w:bottom w:val="none" w:sz="0" w:space="0" w:color="auto"/>
                <w:right w:val="none" w:sz="0" w:space="0" w:color="auto"/>
              </w:divBdr>
              <w:divsChild>
                <w:div w:id="1491411832">
                  <w:marLeft w:val="0"/>
                  <w:marRight w:val="0"/>
                  <w:marTop w:val="0"/>
                  <w:marBottom w:val="0"/>
                  <w:divBdr>
                    <w:top w:val="none" w:sz="0" w:space="0" w:color="auto"/>
                    <w:left w:val="none" w:sz="0" w:space="0" w:color="auto"/>
                    <w:bottom w:val="none" w:sz="0" w:space="0" w:color="auto"/>
                    <w:right w:val="none" w:sz="0" w:space="0" w:color="auto"/>
                  </w:divBdr>
                </w:div>
              </w:divsChild>
            </w:div>
            <w:div w:id="1389958175">
              <w:marLeft w:val="0"/>
              <w:marRight w:val="0"/>
              <w:marTop w:val="0"/>
              <w:marBottom w:val="0"/>
              <w:divBdr>
                <w:top w:val="none" w:sz="0" w:space="0" w:color="auto"/>
                <w:left w:val="none" w:sz="0" w:space="0" w:color="auto"/>
                <w:bottom w:val="none" w:sz="0" w:space="0" w:color="auto"/>
                <w:right w:val="none" w:sz="0" w:space="0" w:color="auto"/>
              </w:divBdr>
              <w:divsChild>
                <w:div w:id="1392340828">
                  <w:marLeft w:val="0"/>
                  <w:marRight w:val="0"/>
                  <w:marTop w:val="0"/>
                  <w:marBottom w:val="0"/>
                  <w:divBdr>
                    <w:top w:val="none" w:sz="0" w:space="0" w:color="auto"/>
                    <w:left w:val="none" w:sz="0" w:space="0" w:color="auto"/>
                    <w:bottom w:val="none" w:sz="0" w:space="0" w:color="auto"/>
                    <w:right w:val="none" w:sz="0" w:space="0" w:color="auto"/>
                  </w:divBdr>
                </w:div>
              </w:divsChild>
            </w:div>
            <w:div w:id="1292131972">
              <w:marLeft w:val="0"/>
              <w:marRight w:val="0"/>
              <w:marTop w:val="0"/>
              <w:marBottom w:val="0"/>
              <w:divBdr>
                <w:top w:val="none" w:sz="0" w:space="0" w:color="auto"/>
                <w:left w:val="none" w:sz="0" w:space="0" w:color="auto"/>
                <w:bottom w:val="none" w:sz="0" w:space="0" w:color="auto"/>
                <w:right w:val="none" w:sz="0" w:space="0" w:color="auto"/>
              </w:divBdr>
              <w:divsChild>
                <w:div w:id="1697004126">
                  <w:marLeft w:val="0"/>
                  <w:marRight w:val="0"/>
                  <w:marTop w:val="0"/>
                  <w:marBottom w:val="0"/>
                  <w:divBdr>
                    <w:top w:val="none" w:sz="0" w:space="0" w:color="auto"/>
                    <w:left w:val="none" w:sz="0" w:space="0" w:color="auto"/>
                    <w:bottom w:val="none" w:sz="0" w:space="0" w:color="auto"/>
                    <w:right w:val="none" w:sz="0" w:space="0" w:color="auto"/>
                  </w:divBdr>
                </w:div>
              </w:divsChild>
            </w:div>
            <w:div w:id="1323661893">
              <w:marLeft w:val="0"/>
              <w:marRight w:val="0"/>
              <w:marTop w:val="0"/>
              <w:marBottom w:val="0"/>
              <w:divBdr>
                <w:top w:val="none" w:sz="0" w:space="0" w:color="auto"/>
                <w:left w:val="none" w:sz="0" w:space="0" w:color="auto"/>
                <w:bottom w:val="none" w:sz="0" w:space="0" w:color="auto"/>
                <w:right w:val="none" w:sz="0" w:space="0" w:color="auto"/>
              </w:divBdr>
              <w:divsChild>
                <w:div w:id="219635207">
                  <w:marLeft w:val="0"/>
                  <w:marRight w:val="0"/>
                  <w:marTop w:val="0"/>
                  <w:marBottom w:val="0"/>
                  <w:divBdr>
                    <w:top w:val="none" w:sz="0" w:space="0" w:color="auto"/>
                    <w:left w:val="none" w:sz="0" w:space="0" w:color="auto"/>
                    <w:bottom w:val="none" w:sz="0" w:space="0" w:color="auto"/>
                    <w:right w:val="none" w:sz="0" w:space="0" w:color="auto"/>
                  </w:divBdr>
                </w:div>
              </w:divsChild>
            </w:div>
            <w:div w:id="69621168">
              <w:marLeft w:val="0"/>
              <w:marRight w:val="0"/>
              <w:marTop w:val="0"/>
              <w:marBottom w:val="0"/>
              <w:divBdr>
                <w:top w:val="none" w:sz="0" w:space="0" w:color="auto"/>
                <w:left w:val="none" w:sz="0" w:space="0" w:color="auto"/>
                <w:bottom w:val="none" w:sz="0" w:space="0" w:color="auto"/>
                <w:right w:val="none" w:sz="0" w:space="0" w:color="auto"/>
              </w:divBdr>
              <w:divsChild>
                <w:div w:id="1117456418">
                  <w:marLeft w:val="0"/>
                  <w:marRight w:val="0"/>
                  <w:marTop w:val="0"/>
                  <w:marBottom w:val="0"/>
                  <w:divBdr>
                    <w:top w:val="none" w:sz="0" w:space="0" w:color="auto"/>
                    <w:left w:val="none" w:sz="0" w:space="0" w:color="auto"/>
                    <w:bottom w:val="none" w:sz="0" w:space="0" w:color="auto"/>
                    <w:right w:val="none" w:sz="0" w:space="0" w:color="auto"/>
                  </w:divBdr>
                </w:div>
              </w:divsChild>
            </w:div>
            <w:div w:id="787554817">
              <w:marLeft w:val="0"/>
              <w:marRight w:val="0"/>
              <w:marTop w:val="0"/>
              <w:marBottom w:val="0"/>
              <w:divBdr>
                <w:top w:val="none" w:sz="0" w:space="0" w:color="auto"/>
                <w:left w:val="none" w:sz="0" w:space="0" w:color="auto"/>
                <w:bottom w:val="none" w:sz="0" w:space="0" w:color="auto"/>
                <w:right w:val="none" w:sz="0" w:space="0" w:color="auto"/>
              </w:divBdr>
              <w:divsChild>
                <w:div w:id="1962027416">
                  <w:marLeft w:val="0"/>
                  <w:marRight w:val="0"/>
                  <w:marTop w:val="0"/>
                  <w:marBottom w:val="0"/>
                  <w:divBdr>
                    <w:top w:val="none" w:sz="0" w:space="0" w:color="auto"/>
                    <w:left w:val="none" w:sz="0" w:space="0" w:color="auto"/>
                    <w:bottom w:val="none" w:sz="0" w:space="0" w:color="auto"/>
                    <w:right w:val="none" w:sz="0" w:space="0" w:color="auto"/>
                  </w:divBdr>
                </w:div>
              </w:divsChild>
            </w:div>
            <w:div w:id="1368873138">
              <w:marLeft w:val="0"/>
              <w:marRight w:val="0"/>
              <w:marTop w:val="0"/>
              <w:marBottom w:val="0"/>
              <w:divBdr>
                <w:top w:val="none" w:sz="0" w:space="0" w:color="auto"/>
                <w:left w:val="none" w:sz="0" w:space="0" w:color="auto"/>
                <w:bottom w:val="none" w:sz="0" w:space="0" w:color="auto"/>
                <w:right w:val="none" w:sz="0" w:space="0" w:color="auto"/>
              </w:divBdr>
              <w:divsChild>
                <w:div w:id="8875048">
                  <w:marLeft w:val="0"/>
                  <w:marRight w:val="0"/>
                  <w:marTop w:val="0"/>
                  <w:marBottom w:val="0"/>
                  <w:divBdr>
                    <w:top w:val="none" w:sz="0" w:space="0" w:color="auto"/>
                    <w:left w:val="none" w:sz="0" w:space="0" w:color="auto"/>
                    <w:bottom w:val="none" w:sz="0" w:space="0" w:color="auto"/>
                    <w:right w:val="none" w:sz="0" w:space="0" w:color="auto"/>
                  </w:divBdr>
                </w:div>
              </w:divsChild>
            </w:div>
            <w:div w:id="769278765">
              <w:marLeft w:val="0"/>
              <w:marRight w:val="0"/>
              <w:marTop w:val="0"/>
              <w:marBottom w:val="0"/>
              <w:divBdr>
                <w:top w:val="none" w:sz="0" w:space="0" w:color="auto"/>
                <w:left w:val="none" w:sz="0" w:space="0" w:color="auto"/>
                <w:bottom w:val="none" w:sz="0" w:space="0" w:color="auto"/>
                <w:right w:val="none" w:sz="0" w:space="0" w:color="auto"/>
              </w:divBdr>
              <w:divsChild>
                <w:div w:id="1374845595">
                  <w:marLeft w:val="0"/>
                  <w:marRight w:val="0"/>
                  <w:marTop w:val="0"/>
                  <w:marBottom w:val="0"/>
                  <w:divBdr>
                    <w:top w:val="none" w:sz="0" w:space="0" w:color="auto"/>
                    <w:left w:val="none" w:sz="0" w:space="0" w:color="auto"/>
                    <w:bottom w:val="none" w:sz="0" w:space="0" w:color="auto"/>
                    <w:right w:val="none" w:sz="0" w:space="0" w:color="auto"/>
                  </w:divBdr>
                </w:div>
              </w:divsChild>
            </w:div>
            <w:div w:id="2125926400">
              <w:marLeft w:val="0"/>
              <w:marRight w:val="0"/>
              <w:marTop w:val="0"/>
              <w:marBottom w:val="0"/>
              <w:divBdr>
                <w:top w:val="none" w:sz="0" w:space="0" w:color="auto"/>
                <w:left w:val="none" w:sz="0" w:space="0" w:color="auto"/>
                <w:bottom w:val="none" w:sz="0" w:space="0" w:color="auto"/>
                <w:right w:val="none" w:sz="0" w:space="0" w:color="auto"/>
              </w:divBdr>
              <w:divsChild>
                <w:div w:id="823358922">
                  <w:marLeft w:val="0"/>
                  <w:marRight w:val="0"/>
                  <w:marTop w:val="0"/>
                  <w:marBottom w:val="0"/>
                  <w:divBdr>
                    <w:top w:val="none" w:sz="0" w:space="0" w:color="auto"/>
                    <w:left w:val="none" w:sz="0" w:space="0" w:color="auto"/>
                    <w:bottom w:val="none" w:sz="0" w:space="0" w:color="auto"/>
                    <w:right w:val="none" w:sz="0" w:space="0" w:color="auto"/>
                  </w:divBdr>
                </w:div>
              </w:divsChild>
            </w:div>
            <w:div w:id="671101790">
              <w:marLeft w:val="0"/>
              <w:marRight w:val="0"/>
              <w:marTop w:val="0"/>
              <w:marBottom w:val="0"/>
              <w:divBdr>
                <w:top w:val="none" w:sz="0" w:space="0" w:color="auto"/>
                <w:left w:val="none" w:sz="0" w:space="0" w:color="auto"/>
                <w:bottom w:val="none" w:sz="0" w:space="0" w:color="auto"/>
                <w:right w:val="none" w:sz="0" w:space="0" w:color="auto"/>
              </w:divBdr>
              <w:divsChild>
                <w:div w:id="1433355937">
                  <w:marLeft w:val="0"/>
                  <w:marRight w:val="0"/>
                  <w:marTop w:val="0"/>
                  <w:marBottom w:val="0"/>
                  <w:divBdr>
                    <w:top w:val="none" w:sz="0" w:space="0" w:color="auto"/>
                    <w:left w:val="none" w:sz="0" w:space="0" w:color="auto"/>
                    <w:bottom w:val="none" w:sz="0" w:space="0" w:color="auto"/>
                    <w:right w:val="none" w:sz="0" w:space="0" w:color="auto"/>
                  </w:divBdr>
                </w:div>
              </w:divsChild>
            </w:div>
            <w:div w:id="844051937">
              <w:marLeft w:val="0"/>
              <w:marRight w:val="0"/>
              <w:marTop w:val="0"/>
              <w:marBottom w:val="0"/>
              <w:divBdr>
                <w:top w:val="none" w:sz="0" w:space="0" w:color="auto"/>
                <w:left w:val="none" w:sz="0" w:space="0" w:color="auto"/>
                <w:bottom w:val="none" w:sz="0" w:space="0" w:color="auto"/>
                <w:right w:val="none" w:sz="0" w:space="0" w:color="auto"/>
              </w:divBdr>
              <w:divsChild>
                <w:div w:id="10528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627">
      <w:bodyDiv w:val="1"/>
      <w:marLeft w:val="0"/>
      <w:marRight w:val="0"/>
      <w:marTop w:val="0"/>
      <w:marBottom w:val="0"/>
      <w:divBdr>
        <w:top w:val="none" w:sz="0" w:space="0" w:color="auto"/>
        <w:left w:val="none" w:sz="0" w:space="0" w:color="auto"/>
        <w:bottom w:val="none" w:sz="0" w:space="0" w:color="auto"/>
        <w:right w:val="none" w:sz="0" w:space="0" w:color="auto"/>
      </w:divBdr>
      <w:divsChild>
        <w:div w:id="1546795163">
          <w:marLeft w:val="0"/>
          <w:marRight w:val="0"/>
          <w:marTop w:val="0"/>
          <w:marBottom w:val="0"/>
          <w:divBdr>
            <w:top w:val="none" w:sz="0" w:space="0" w:color="auto"/>
            <w:left w:val="none" w:sz="0" w:space="0" w:color="auto"/>
            <w:bottom w:val="none" w:sz="0" w:space="0" w:color="auto"/>
            <w:right w:val="none" w:sz="0" w:space="0" w:color="auto"/>
          </w:divBdr>
          <w:divsChild>
            <w:div w:id="1434086473">
              <w:marLeft w:val="0"/>
              <w:marRight w:val="0"/>
              <w:marTop w:val="0"/>
              <w:marBottom w:val="0"/>
              <w:divBdr>
                <w:top w:val="none" w:sz="0" w:space="0" w:color="auto"/>
                <w:left w:val="none" w:sz="0" w:space="0" w:color="auto"/>
                <w:bottom w:val="none" w:sz="0" w:space="0" w:color="auto"/>
                <w:right w:val="none" w:sz="0" w:space="0" w:color="auto"/>
              </w:divBdr>
              <w:divsChild>
                <w:div w:id="8604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9295">
      <w:bodyDiv w:val="1"/>
      <w:marLeft w:val="0"/>
      <w:marRight w:val="0"/>
      <w:marTop w:val="0"/>
      <w:marBottom w:val="0"/>
      <w:divBdr>
        <w:top w:val="none" w:sz="0" w:space="0" w:color="auto"/>
        <w:left w:val="none" w:sz="0" w:space="0" w:color="auto"/>
        <w:bottom w:val="none" w:sz="0" w:space="0" w:color="auto"/>
        <w:right w:val="none" w:sz="0" w:space="0" w:color="auto"/>
      </w:divBdr>
      <w:divsChild>
        <w:div w:id="124661124">
          <w:marLeft w:val="0"/>
          <w:marRight w:val="0"/>
          <w:marTop w:val="0"/>
          <w:marBottom w:val="0"/>
          <w:divBdr>
            <w:top w:val="none" w:sz="0" w:space="0" w:color="auto"/>
            <w:left w:val="none" w:sz="0" w:space="0" w:color="auto"/>
            <w:bottom w:val="none" w:sz="0" w:space="0" w:color="auto"/>
            <w:right w:val="none" w:sz="0" w:space="0" w:color="auto"/>
          </w:divBdr>
          <w:divsChild>
            <w:div w:id="2033874949">
              <w:marLeft w:val="0"/>
              <w:marRight w:val="0"/>
              <w:marTop w:val="0"/>
              <w:marBottom w:val="0"/>
              <w:divBdr>
                <w:top w:val="none" w:sz="0" w:space="0" w:color="auto"/>
                <w:left w:val="none" w:sz="0" w:space="0" w:color="auto"/>
                <w:bottom w:val="none" w:sz="0" w:space="0" w:color="auto"/>
                <w:right w:val="none" w:sz="0" w:space="0" w:color="auto"/>
              </w:divBdr>
              <w:divsChild>
                <w:div w:id="33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1954">
      <w:bodyDiv w:val="1"/>
      <w:marLeft w:val="0"/>
      <w:marRight w:val="0"/>
      <w:marTop w:val="0"/>
      <w:marBottom w:val="0"/>
      <w:divBdr>
        <w:top w:val="none" w:sz="0" w:space="0" w:color="auto"/>
        <w:left w:val="none" w:sz="0" w:space="0" w:color="auto"/>
        <w:bottom w:val="none" w:sz="0" w:space="0" w:color="auto"/>
        <w:right w:val="none" w:sz="0" w:space="0" w:color="auto"/>
      </w:divBdr>
    </w:div>
    <w:div w:id="8684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424008">
          <w:marLeft w:val="0"/>
          <w:marRight w:val="0"/>
          <w:marTop w:val="0"/>
          <w:marBottom w:val="0"/>
          <w:divBdr>
            <w:top w:val="none" w:sz="0" w:space="0" w:color="auto"/>
            <w:left w:val="none" w:sz="0" w:space="0" w:color="auto"/>
            <w:bottom w:val="none" w:sz="0" w:space="0" w:color="auto"/>
            <w:right w:val="none" w:sz="0" w:space="0" w:color="auto"/>
          </w:divBdr>
          <w:divsChild>
            <w:div w:id="350493940">
              <w:marLeft w:val="0"/>
              <w:marRight w:val="0"/>
              <w:marTop w:val="0"/>
              <w:marBottom w:val="0"/>
              <w:divBdr>
                <w:top w:val="none" w:sz="0" w:space="0" w:color="auto"/>
                <w:left w:val="none" w:sz="0" w:space="0" w:color="auto"/>
                <w:bottom w:val="none" w:sz="0" w:space="0" w:color="auto"/>
                <w:right w:val="none" w:sz="0" w:space="0" w:color="auto"/>
              </w:divBdr>
              <w:divsChild>
                <w:div w:id="478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3800">
      <w:bodyDiv w:val="1"/>
      <w:marLeft w:val="0"/>
      <w:marRight w:val="0"/>
      <w:marTop w:val="0"/>
      <w:marBottom w:val="0"/>
      <w:divBdr>
        <w:top w:val="none" w:sz="0" w:space="0" w:color="auto"/>
        <w:left w:val="none" w:sz="0" w:space="0" w:color="auto"/>
        <w:bottom w:val="none" w:sz="0" w:space="0" w:color="auto"/>
        <w:right w:val="none" w:sz="0" w:space="0" w:color="auto"/>
      </w:divBdr>
      <w:divsChild>
        <w:div w:id="589117308">
          <w:marLeft w:val="0"/>
          <w:marRight w:val="0"/>
          <w:marTop w:val="0"/>
          <w:marBottom w:val="0"/>
          <w:divBdr>
            <w:top w:val="none" w:sz="0" w:space="0" w:color="auto"/>
            <w:left w:val="none" w:sz="0" w:space="0" w:color="auto"/>
            <w:bottom w:val="none" w:sz="0" w:space="0" w:color="auto"/>
            <w:right w:val="none" w:sz="0" w:space="0" w:color="auto"/>
          </w:divBdr>
          <w:divsChild>
            <w:div w:id="335420832">
              <w:marLeft w:val="0"/>
              <w:marRight w:val="0"/>
              <w:marTop w:val="0"/>
              <w:marBottom w:val="0"/>
              <w:divBdr>
                <w:top w:val="none" w:sz="0" w:space="0" w:color="auto"/>
                <w:left w:val="none" w:sz="0" w:space="0" w:color="auto"/>
                <w:bottom w:val="none" w:sz="0" w:space="0" w:color="auto"/>
                <w:right w:val="none" w:sz="0" w:space="0" w:color="auto"/>
              </w:divBdr>
              <w:divsChild>
                <w:div w:id="3504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4958">
      <w:bodyDiv w:val="1"/>
      <w:marLeft w:val="0"/>
      <w:marRight w:val="0"/>
      <w:marTop w:val="0"/>
      <w:marBottom w:val="0"/>
      <w:divBdr>
        <w:top w:val="none" w:sz="0" w:space="0" w:color="auto"/>
        <w:left w:val="none" w:sz="0" w:space="0" w:color="auto"/>
        <w:bottom w:val="none" w:sz="0" w:space="0" w:color="auto"/>
        <w:right w:val="none" w:sz="0" w:space="0" w:color="auto"/>
      </w:divBdr>
      <w:divsChild>
        <w:div w:id="2118402778">
          <w:marLeft w:val="0"/>
          <w:marRight w:val="0"/>
          <w:marTop w:val="0"/>
          <w:marBottom w:val="0"/>
          <w:divBdr>
            <w:top w:val="none" w:sz="0" w:space="0" w:color="auto"/>
            <w:left w:val="none" w:sz="0" w:space="0" w:color="auto"/>
            <w:bottom w:val="none" w:sz="0" w:space="0" w:color="auto"/>
            <w:right w:val="none" w:sz="0" w:space="0" w:color="auto"/>
          </w:divBdr>
          <w:divsChild>
            <w:div w:id="1043751816">
              <w:marLeft w:val="0"/>
              <w:marRight w:val="0"/>
              <w:marTop w:val="0"/>
              <w:marBottom w:val="0"/>
              <w:divBdr>
                <w:top w:val="none" w:sz="0" w:space="0" w:color="auto"/>
                <w:left w:val="none" w:sz="0" w:space="0" w:color="auto"/>
                <w:bottom w:val="none" w:sz="0" w:space="0" w:color="auto"/>
                <w:right w:val="none" w:sz="0" w:space="0" w:color="auto"/>
              </w:divBdr>
              <w:divsChild>
                <w:div w:id="17793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474">
      <w:bodyDiv w:val="1"/>
      <w:marLeft w:val="0"/>
      <w:marRight w:val="0"/>
      <w:marTop w:val="0"/>
      <w:marBottom w:val="0"/>
      <w:divBdr>
        <w:top w:val="none" w:sz="0" w:space="0" w:color="auto"/>
        <w:left w:val="none" w:sz="0" w:space="0" w:color="auto"/>
        <w:bottom w:val="none" w:sz="0" w:space="0" w:color="auto"/>
        <w:right w:val="none" w:sz="0" w:space="0" w:color="auto"/>
      </w:divBdr>
      <w:divsChild>
        <w:div w:id="118303702">
          <w:marLeft w:val="0"/>
          <w:marRight w:val="0"/>
          <w:marTop w:val="0"/>
          <w:marBottom w:val="0"/>
          <w:divBdr>
            <w:top w:val="none" w:sz="0" w:space="0" w:color="auto"/>
            <w:left w:val="none" w:sz="0" w:space="0" w:color="auto"/>
            <w:bottom w:val="none" w:sz="0" w:space="0" w:color="auto"/>
            <w:right w:val="none" w:sz="0" w:space="0" w:color="auto"/>
          </w:divBdr>
          <w:divsChild>
            <w:div w:id="778523777">
              <w:marLeft w:val="0"/>
              <w:marRight w:val="0"/>
              <w:marTop w:val="0"/>
              <w:marBottom w:val="0"/>
              <w:divBdr>
                <w:top w:val="none" w:sz="0" w:space="0" w:color="auto"/>
                <w:left w:val="none" w:sz="0" w:space="0" w:color="auto"/>
                <w:bottom w:val="none" w:sz="0" w:space="0" w:color="auto"/>
                <w:right w:val="none" w:sz="0" w:space="0" w:color="auto"/>
              </w:divBdr>
              <w:divsChild>
                <w:div w:id="58404935">
                  <w:marLeft w:val="0"/>
                  <w:marRight w:val="0"/>
                  <w:marTop w:val="0"/>
                  <w:marBottom w:val="0"/>
                  <w:divBdr>
                    <w:top w:val="none" w:sz="0" w:space="0" w:color="auto"/>
                    <w:left w:val="none" w:sz="0" w:space="0" w:color="auto"/>
                    <w:bottom w:val="none" w:sz="0" w:space="0" w:color="auto"/>
                    <w:right w:val="none" w:sz="0" w:space="0" w:color="auto"/>
                  </w:divBdr>
                  <w:divsChild>
                    <w:div w:id="1440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822">
      <w:bodyDiv w:val="1"/>
      <w:marLeft w:val="0"/>
      <w:marRight w:val="0"/>
      <w:marTop w:val="0"/>
      <w:marBottom w:val="0"/>
      <w:divBdr>
        <w:top w:val="none" w:sz="0" w:space="0" w:color="auto"/>
        <w:left w:val="none" w:sz="0" w:space="0" w:color="auto"/>
        <w:bottom w:val="none" w:sz="0" w:space="0" w:color="auto"/>
        <w:right w:val="none" w:sz="0" w:space="0" w:color="auto"/>
      </w:divBdr>
      <w:divsChild>
        <w:div w:id="1421563054">
          <w:marLeft w:val="0"/>
          <w:marRight w:val="0"/>
          <w:marTop w:val="0"/>
          <w:marBottom w:val="0"/>
          <w:divBdr>
            <w:top w:val="none" w:sz="0" w:space="0" w:color="auto"/>
            <w:left w:val="none" w:sz="0" w:space="0" w:color="auto"/>
            <w:bottom w:val="none" w:sz="0" w:space="0" w:color="auto"/>
            <w:right w:val="none" w:sz="0" w:space="0" w:color="auto"/>
          </w:divBdr>
          <w:divsChild>
            <w:div w:id="1767115879">
              <w:marLeft w:val="0"/>
              <w:marRight w:val="0"/>
              <w:marTop w:val="0"/>
              <w:marBottom w:val="0"/>
              <w:divBdr>
                <w:top w:val="none" w:sz="0" w:space="0" w:color="auto"/>
                <w:left w:val="none" w:sz="0" w:space="0" w:color="auto"/>
                <w:bottom w:val="none" w:sz="0" w:space="0" w:color="auto"/>
                <w:right w:val="none" w:sz="0" w:space="0" w:color="auto"/>
              </w:divBdr>
              <w:divsChild>
                <w:div w:id="11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8573">
      <w:bodyDiv w:val="1"/>
      <w:marLeft w:val="0"/>
      <w:marRight w:val="0"/>
      <w:marTop w:val="0"/>
      <w:marBottom w:val="0"/>
      <w:divBdr>
        <w:top w:val="none" w:sz="0" w:space="0" w:color="auto"/>
        <w:left w:val="none" w:sz="0" w:space="0" w:color="auto"/>
        <w:bottom w:val="none" w:sz="0" w:space="0" w:color="auto"/>
        <w:right w:val="none" w:sz="0" w:space="0" w:color="auto"/>
      </w:divBdr>
    </w:div>
    <w:div w:id="1148285459">
      <w:bodyDiv w:val="1"/>
      <w:marLeft w:val="0"/>
      <w:marRight w:val="0"/>
      <w:marTop w:val="0"/>
      <w:marBottom w:val="0"/>
      <w:divBdr>
        <w:top w:val="none" w:sz="0" w:space="0" w:color="auto"/>
        <w:left w:val="none" w:sz="0" w:space="0" w:color="auto"/>
        <w:bottom w:val="none" w:sz="0" w:space="0" w:color="auto"/>
        <w:right w:val="none" w:sz="0" w:space="0" w:color="auto"/>
      </w:divBdr>
      <w:divsChild>
        <w:div w:id="644118114">
          <w:marLeft w:val="0"/>
          <w:marRight w:val="0"/>
          <w:marTop w:val="0"/>
          <w:marBottom w:val="0"/>
          <w:divBdr>
            <w:top w:val="none" w:sz="0" w:space="0" w:color="auto"/>
            <w:left w:val="none" w:sz="0" w:space="0" w:color="auto"/>
            <w:bottom w:val="none" w:sz="0" w:space="0" w:color="auto"/>
            <w:right w:val="none" w:sz="0" w:space="0" w:color="auto"/>
          </w:divBdr>
          <w:divsChild>
            <w:div w:id="1250500938">
              <w:marLeft w:val="0"/>
              <w:marRight w:val="0"/>
              <w:marTop w:val="0"/>
              <w:marBottom w:val="0"/>
              <w:divBdr>
                <w:top w:val="none" w:sz="0" w:space="0" w:color="auto"/>
                <w:left w:val="none" w:sz="0" w:space="0" w:color="auto"/>
                <w:bottom w:val="none" w:sz="0" w:space="0" w:color="auto"/>
                <w:right w:val="none" w:sz="0" w:space="0" w:color="auto"/>
              </w:divBdr>
              <w:divsChild>
                <w:div w:id="304772867">
                  <w:marLeft w:val="0"/>
                  <w:marRight w:val="0"/>
                  <w:marTop w:val="0"/>
                  <w:marBottom w:val="0"/>
                  <w:divBdr>
                    <w:top w:val="none" w:sz="0" w:space="0" w:color="auto"/>
                    <w:left w:val="none" w:sz="0" w:space="0" w:color="auto"/>
                    <w:bottom w:val="none" w:sz="0" w:space="0" w:color="auto"/>
                    <w:right w:val="none" w:sz="0" w:space="0" w:color="auto"/>
                  </w:divBdr>
                  <w:divsChild>
                    <w:div w:id="4997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602">
      <w:bodyDiv w:val="1"/>
      <w:marLeft w:val="0"/>
      <w:marRight w:val="0"/>
      <w:marTop w:val="0"/>
      <w:marBottom w:val="0"/>
      <w:divBdr>
        <w:top w:val="none" w:sz="0" w:space="0" w:color="auto"/>
        <w:left w:val="none" w:sz="0" w:space="0" w:color="auto"/>
        <w:bottom w:val="none" w:sz="0" w:space="0" w:color="auto"/>
        <w:right w:val="none" w:sz="0" w:space="0" w:color="auto"/>
      </w:divBdr>
      <w:divsChild>
        <w:div w:id="1534147159">
          <w:marLeft w:val="0"/>
          <w:marRight w:val="0"/>
          <w:marTop w:val="0"/>
          <w:marBottom w:val="0"/>
          <w:divBdr>
            <w:top w:val="none" w:sz="0" w:space="0" w:color="auto"/>
            <w:left w:val="none" w:sz="0" w:space="0" w:color="auto"/>
            <w:bottom w:val="none" w:sz="0" w:space="0" w:color="auto"/>
            <w:right w:val="none" w:sz="0" w:space="0" w:color="auto"/>
          </w:divBdr>
          <w:divsChild>
            <w:div w:id="1561212090">
              <w:marLeft w:val="0"/>
              <w:marRight w:val="0"/>
              <w:marTop w:val="0"/>
              <w:marBottom w:val="0"/>
              <w:divBdr>
                <w:top w:val="none" w:sz="0" w:space="0" w:color="auto"/>
                <w:left w:val="none" w:sz="0" w:space="0" w:color="auto"/>
                <w:bottom w:val="none" w:sz="0" w:space="0" w:color="auto"/>
                <w:right w:val="none" w:sz="0" w:space="0" w:color="auto"/>
              </w:divBdr>
              <w:divsChild>
                <w:div w:id="1226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2120">
      <w:bodyDiv w:val="1"/>
      <w:marLeft w:val="0"/>
      <w:marRight w:val="0"/>
      <w:marTop w:val="0"/>
      <w:marBottom w:val="0"/>
      <w:divBdr>
        <w:top w:val="none" w:sz="0" w:space="0" w:color="auto"/>
        <w:left w:val="none" w:sz="0" w:space="0" w:color="auto"/>
        <w:bottom w:val="none" w:sz="0" w:space="0" w:color="auto"/>
        <w:right w:val="none" w:sz="0" w:space="0" w:color="auto"/>
      </w:divBdr>
      <w:divsChild>
        <w:div w:id="203638941">
          <w:marLeft w:val="0"/>
          <w:marRight w:val="0"/>
          <w:marTop w:val="0"/>
          <w:marBottom w:val="0"/>
          <w:divBdr>
            <w:top w:val="none" w:sz="0" w:space="0" w:color="auto"/>
            <w:left w:val="none" w:sz="0" w:space="0" w:color="auto"/>
            <w:bottom w:val="none" w:sz="0" w:space="0" w:color="auto"/>
            <w:right w:val="none" w:sz="0" w:space="0" w:color="auto"/>
          </w:divBdr>
          <w:divsChild>
            <w:div w:id="1214777985">
              <w:marLeft w:val="0"/>
              <w:marRight w:val="0"/>
              <w:marTop w:val="0"/>
              <w:marBottom w:val="0"/>
              <w:divBdr>
                <w:top w:val="none" w:sz="0" w:space="0" w:color="auto"/>
                <w:left w:val="none" w:sz="0" w:space="0" w:color="auto"/>
                <w:bottom w:val="none" w:sz="0" w:space="0" w:color="auto"/>
                <w:right w:val="none" w:sz="0" w:space="0" w:color="auto"/>
              </w:divBdr>
              <w:divsChild>
                <w:div w:id="19211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2504">
      <w:bodyDiv w:val="1"/>
      <w:marLeft w:val="0"/>
      <w:marRight w:val="0"/>
      <w:marTop w:val="0"/>
      <w:marBottom w:val="0"/>
      <w:divBdr>
        <w:top w:val="none" w:sz="0" w:space="0" w:color="auto"/>
        <w:left w:val="none" w:sz="0" w:space="0" w:color="auto"/>
        <w:bottom w:val="none" w:sz="0" w:space="0" w:color="auto"/>
        <w:right w:val="none" w:sz="0" w:space="0" w:color="auto"/>
      </w:divBdr>
      <w:divsChild>
        <w:div w:id="863054312">
          <w:marLeft w:val="0"/>
          <w:marRight w:val="0"/>
          <w:marTop w:val="0"/>
          <w:marBottom w:val="0"/>
          <w:divBdr>
            <w:top w:val="none" w:sz="0" w:space="0" w:color="auto"/>
            <w:left w:val="none" w:sz="0" w:space="0" w:color="auto"/>
            <w:bottom w:val="none" w:sz="0" w:space="0" w:color="auto"/>
            <w:right w:val="none" w:sz="0" w:space="0" w:color="auto"/>
          </w:divBdr>
          <w:divsChild>
            <w:div w:id="1291549422">
              <w:marLeft w:val="0"/>
              <w:marRight w:val="0"/>
              <w:marTop w:val="0"/>
              <w:marBottom w:val="0"/>
              <w:divBdr>
                <w:top w:val="none" w:sz="0" w:space="0" w:color="auto"/>
                <w:left w:val="none" w:sz="0" w:space="0" w:color="auto"/>
                <w:bottom w:val="none" w:sz="0" w:space="0" w:color="auto"/>
                <w:right w:val="none" w:sz="0" w:space="0" w:color="auto"/>
              </w:divBdr>
              <w:divsChild>
                <w:div w:id="1381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866">
      <w:bodyDiv w:val="1"/>
      <w:marLeft w:val="0"/>
      <w:marRight w:val="0"/>
      <w:marTop w:val="0"/>
      <w:marBottom w:val="0"/>
      <w:divBdr>
        <w:top w:val="none" w:sz="0" w:space="0" w:color="auto"/>
        <w:left w:val="none" w:sz="0" w:space="0" w:color="auto"/>
        <w:bottom w:val="none" w:sz="0" w:space="0" w:color="auto"/>
        <w:right w:val="none" w:sz="0" w:space="0" w:color="auto"/>
      </w:divBdr>
      <w:divsChild>
        <w:div w:id="1554341353">
          <w:marLeft w:val="0"/>
          <w:marRight w:val="0"/>
          <w:marTop w:val="0"/>
          <w:marBottom w:val="0"/>
          <w:divBdr>
            <w:top w:val="none" w:sz="0" w:space="0" w:color="auto"/>
            <w:left w:val="none" w:sz="0" w:space="0" w:color="auto"/>
            <w:bottom w:val="none" w:sz="0" w:space="0" w:color="auto"/>
            <w:right w:val="none" w:sz="0" w:space="0" w:color="auto"/>
          </w:divBdr>
          <w:divsChild>
            <w:div w:id="1331787400">
              <w:marLeft w:val="0"/>
              <w:marRight w:val="0"/>
              <w:marTop w:val="0"/>
              <w:marBottom w:val="0"/>
              <w:divBdr>
                <w:top w:val="none" w:sz="0" w:space="0" w:color="auto"/>
                <w:left w:val="none" w:sz="0" w:space="0" w:color="auto"/>
                <w:bottom w:val="none" w:sz="0" w:space="0" w:color="auto"/>
                <w:right w:val="none" w:sz="0" w:space="0" w:color="auto"/>
              </w:divBdr>
              <w:divsChild>
                <w:div w:id="367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9073">
      <w:bodyDiv w:val="1"/>
      <w:marLeft w:val="0"/>
      <w:marRight w:val="0"/>
      <w:marTop w:val="0"/>
      <w:marBottom w:val="0"/>
      <w:divBdr>
        <w:top w:val="none" w:sz="0" w:space="0" w:color="auto"/>
        <w:left w:val="none" w:sz="0" w:space="0" w:color="auto"/>
        <w:bottom w:val="none" w:sz="0" w:space="0" w:color="auto"/>
        <w:right w:val="none" w:sz="0" w:space="0" w:color="auto"/>
      </w:divBdr>
      <w:divsChild>
        <w:div w:id="2103337853">
          <w:marLeft w:val="0"/>
          <w:marRight w:val="0"/>
          <w:marTop w:val="0"/>
          <w:marBottom w:val="0"/>
          <w:divBdr>
            <w:top w:val="none" w:sz="0" w:space="0" w:color="auto"/>
            <w:left w:val="none" w:sz="0" w:space="0" w:color="auto"/>
            <w:bottom w:val="none" w:sz="0" w:space="0" w:color="auto"/>
            <w:right w:val="none" w:sz="0" w:space="0" w:color="auto"/>
          </w:divBdr>
          <w:divsChild>
            <w:div w:id="1285507088">
              <w:marLeft w:val="0"/>
              <w:marRight w:val="0"/>
              <w:marTop w:val="0"/>
              <w:marBottom w:val="0"/>
              <w:divBdr>
                <w:top w:val="none" w:sz="0" w:space="0" w:color="auto"/>
                <w:left w:val="none" w:sz="0" w:space="0" w:color="auto"/>
                <w:bottom w:val="none" w:sz="0" w:space="0" w:color="auto"/>
                <w:right w:val="none" w:sz="0" w:space="0" w:color="auto"/>
              </w:divBdr>
              <w:divsChild>
                <w:div w:id="1070155359">
                  <w:marLeft w:val="0"/>
                  <w:marRight w:val="0"/>
                  <w:marTop w:val="0"/>
                  <w:marBottom w:val="0"/>
                  <w:divBdr>
                    <w:top w:val="none" w:sz="0" w:space="0" w:color="auto"/>
                    <w:left w:val="none" w:sz="0" w:space="0" w:color="auto"/>
                    <w:bottom w:val="none" w:sz="0" w:space="0" w:color="auto"/>
                    <w:right w:val="none" w:sz="0" w:space="0" w:color="auto"/>
                  </w:divBdr>
                </w:div>
              </w:divsChild>
            </w:div>
            <w:div w:id="1657152552">
              <w:marLeft w:val="0"/>
              <w:marRight w:val="0"/>
              <w:marTop w:val="0"/>
              <w:marBottom w:val="0"/>
              <w:divBdr>
                <w:top w:val="none" w:sz="0" w:space="0" w:color="auto"/>
                <w:left w:val="none" w:sz="0" w:space="0" w:color="auto"/>
                <w:bottom w:val="none" w:sz="0" w:space="0" w:color="auto"/>
                <w:right w:val="none" w:sz="0" w:space="0" w:color="auto"/>
              </w:divBdr>
              <w:divsChild>
                <w:div w:id="594561715">
                  <w:marLeft w:val="0"/>
                  <w:marRight w:val="0"/>
                  <w:marTop w:val="0"/>
                  <w:marBottom w:val="0"/>
                  <w:divBdr>
                    <w:top w:val="none" w:sz="0" w:space="0" w:color="auto"/>
                    <w:left w:val="none" w:sz="0" w:space="0" w:color="auto"/>
                    <w:bottom w:val="none" w:sz="0" w:space="0" w:color="auto"/>
                    <w:right w:val="none" w:sz="0" w:space="0" w:color="auto"/>
                  </w:divBdr>
                </w:div>
              </w:divsChild>
            </w:div>
            <w:div w:id="1117482944">
              <w:marLeft w:val="0"/>
              <w:marRight w:val="0"/>
              <w:marTop w:val="0"/>
              <w:marBottom w:val="0"/>
              <w:divBdr>
                <w:top w:val="none" w:sz="0" w:space="0" w:color="auto"/>
                <w:left w:val="none" w:sz="0" w:space="0" w:color="auto"/>
                <w:bottom w:val="none" w:sz="0" w:space="0" w:color="auto"/>
                <w:right w:val="none" w:sz="0" w:space="0" w:color="auto"/>
              </w:divBdr>
              <w:divsChild>
                <w:div w:id="347752892">
                  <w:marLeft w:val="0"/>
                  <w:marRight w:val="0"/>
                  <w:marTop w:val="0"/>
                  <w:marBottom w:val="0"/>
                  <w:divBdr>
                    <w:top w:val="none" w:sz="0" w:space="0" w:color="auto"/>
                    <w:left w:val="none" w:sz="0" w:space="0" w:color="auto"/>
                    <w:bottom w:val="none" w:sz="0" w:space="0" w:color="auto"/>
                    <w:right w:val="none" w:sz="0" w:space="0" w:color="auto"/>
                  </w:divBdr>
                </w:div>
              </w:divsChild>
            </w:div>
            <w:div w:id="1365252484">
              <w:marLeft w:val="0"/>
              <w:marRight w:val="0"/>
              <w:marTop w:val="0"/>
              <w:marBottom w:val="0"/>
              <w:divBdr>
                <w:top w:val="none" w:sz="0" w:space="0" w:color="auto"/>
                <w:left w:val="none" w:sz="0" w:space="0" w:color="auto"/>
                <w:bottom w:val="none" w:sz="0" w:space="0" w:color="auto"/>
                <w:right w:val="none" w:sz="0" w:space="0" w:color="auto"/>
              </w:divBdr>
              <w:divsChild>
                <w:div w:id="1295603944">
                  <w:marLeft w:val="0"/>
                  <w:marRight w:val="0"/>
                  <w:marTop w:val="0"/>
                  <w:marBottom w:val="0"/>
                  <w:divBdr>
                    <w:top w:val="none" w:sz="0" w:space="0" w:color="auto"/>
                    <w:left w:val="none" w:sz="0" w:space="0" w:color="auto"/>
                    <w:bottom w:val="none" w:sz="0" w:space="0" w:color="auto"/>
                    <w:right w:val="none" w:sz="0" w:space="0" w:color="auto"/>
                  </w:divBdr>
                </w:div>
              </w:divsChild>
            </w:div>
            <w:div w:id="1439519375">
              <w:marLeft w:val="0"/>
              <w:marRight w:val="0"/>
              <w:marTop w:val="0"/>
              <w:marBottom w:val="0"/>
              <w:divBdr>
                <w:top w:val="none" w:sz="0" w:space="0" w:color="auto"/>
                <w:left w:val="none" w:sz="0" w:space="0" w:color="auto"/>
                <w:bottom w:val="none" w:sz="0" w:space="0" w:color="auto"/>
                <w:right w:val="none" w:sz="0" w:space="0" w:color="auto"/>
              </w:divBdr>
              <w:divsChild>
                <w:div w:id="1874686499">
                  <w:marLeft w:val="0"/>
                  <w:marRight w:val="0"/>
                  <w:marTop w:val="0"/>
                  <w:marBottom w:val="0"/>
                  <w:divBdr>
                    <w:top w:val="none" w:sz="0" w:space="0" w:color="auto"/>
                    <w:left w:val="none" w:sz="0" w:space="0" w:color="auto"/>
                    <w:bottom w:val="none" w:sz="0" w:space="0" w:color="auto"/>
                    <w:right w:val="none" w:sz="0" w:space="0" w:color="auto"/>
                  </w:divBdr>
                </w:div>
              </w:divsChild>
            </w:div>
            <w:div w:id="1553343904">
              <w:marLeft w:val="0"/>
              <w:marRight w:val="0"/>
              <w:marTop w:val="0"/>
              <w:marBottom w:val="0"/>
              <w:divBdr>
                <w:top w:val="none" w:sz="0" w:space="0" w:color="auto"/>
                <w:left w:val="none" w:sz="0" w:space="0" w:color="auto"/>
                <w:bottom w:val="none" w:sz="0" w:space="0" w:color="auto"/>
                <w:right w:val="none" w:sz="0" w:space="0" w:color="auto"/>
              </w:divBdr>
              <w:divsChild>
                <w:div w:id="1290471834">
                  <w:marLeft w:val="0"/>
                  <w:marRight w:val="0"/>
                  <w:marTop w:val="0"/>
                  <w:marBottom w:val="0"/>
                  <w:divBdr>
                    <w:top w:val="none" w:sz="0" w:space="0" w:color="auto"/>
                    <w:left w:val="none" w:sz="0" w:space="0" w:color="auto"/>
                    <w:bottom w:val="none" w:sz="0" w:space="0" w:color="auto"/>
                    <w:right w:val="none" w:sz="0" w:space="0" w:color="auto"/>
                  </w:divBdr>
                </w:div>
              </w:divsChild>
            </w:div>
            <w:div w:id="1545754007">
              <w:marLeft w:val="0"/>
              <w:marRight w:val="0"/>
              <w:marTop w:val="0"/>
              <w:marBottom w:val="0"/>
              <w:divBdr>
                <w:top w:val="none" w:sz="0" w:space="0" w:color="auto"/>
                <w:left w:val="none" w:sz="0" w:space="0" w:color="auto"/>
                <w:bottom w:val="none" w:sz="0" w:space="0" w:color="auto"/>
                <w:right w:val="none" w:sz="0" w:space="0" w:color="auto"/>
              </w:divBdr>
              <w:divsChild>
                <w:div w:id="267352065">
                  <w:marLeft w:val="0"/>
                  <w:marRight w:val="0"/>
                  <w:marTop w:val="0"/>
                  <w:marBottom w:val="0"/>
                  <w:divBdr>
                    <w:top w:val="none" w:sz="0" w:space="0" w:color="auto"/>
                    <w:left w:val="none" w:sz="0" w:space="0" w:color="auto"/>
                    <w:bottom w:val="none" w:sz="0" w:space="0" w:color="auto"/>
                    <w:right w:val="none" w:sz="0" w:space="0" w:color="auto"/>
                  </w:divBdr>
                </w:div>
              </w:divsChild>
            </w:div>
            <w:div w:id="109471821">
              <w:marLeft w:val="0"/>
              <w:marRight w:val="0"/>
              <w:marTop w:val="0"/>
              <w:marBottom w:val="0"/>
              <w:divBdr>
                <w:top w:val="none" w:sz="0" w:space="0" w:color="auto"/>
                <w:left w:val="none" w:sz="0" w:space="0" w:color="auto"/>
                <w:bottom w:val="none" w:sz="0" w:space="0" w:color="auto"/>
                <w:right w:val="none" w:sz="0" w:space="0" w:color="auto"/>
              </w:divBdr>
              <w:divsChild>
                <w:div w:id="328682041">
                  <w:marLeft w:val="0"/>
                  <w:marRight w:val="0"/>
                  <w:marTop w:val="0"/>
                  <w:marBottom w:val="0"/>
                  <w:divBdr>
                    <w:top w:val="none" w:sz="0" w:space="0" w:color="auto"/>
                    <w:left w:val="none" w:sz="0" w:space="0" w:color="auto"/>
                    <w:bottom w:val="none" w:sz="0" w:space="0" w:color="auto"/>
                    <w:right w:val="none" w:sz="0" w:space="0" w:color="auto"/>
                  </w:divBdr>
                </w:div>
              </w:divsChild>
            </w:div>
            <w:div w:id="1769885919">
              <w:marLeft w:val="0"/>
              <w:marRight w:val="0"/>
              <w:marTop w:val="0"/>
              <w:marBottom w:val="0"/>
              <w:divBdr>
                <w:top w:val="none" w:sz="0" w:space="0" w:color="auto"/>
                <w:left w:val="none" w:sz="0" w:space="0" w:color="auto"/>
                <w:bottom w:val="none" w:sz="0" w:space="0" w:color="auto"/>
                <w:right w:val="none" w:sz="0" w:space="0" w:color="auto"/>
              </w:divBdr>
              <w:divsChild>
                <w:div w:id="1781953977">
                  <w:marLeft w:val="0"/>
                  <w:marRight w:val="0"/>
                  <w:marTop w:val="0"/>
                  <w:marBottom w:val="0"/>
                  <w:divBdr>
                    <w:top w:val="none" w:sz="0" w:space="0" w:color="auto"/>
                    <w:left w:val="none" w:sz="0" w:space="0" w:color="auto"/>
                    <w:bottom w:val="none" w:sz="0" w:space="0" w:color="auto"/>
                    <w:right w:val="none" w:sz="0" w:space="0" w:color="auto"/>
                  </w:divBdr>
                </w:div>
              </w:divsChild>
            </w:div>
            <w:div w:id="42800757">
              <w:marLeft w:val="0"/>
              <w:marRight w:val="0"/>
              <w:marTop w:val="0"/>
              <w:marBottom w:val="0"/>
              <w:divBdr>
                <w:top w:val="none" w:sz="0" w:space="0" w:color="auto"/>
                <w:left w:val="none" w:sz="0" w:space="0" w:color="auto"/>
                <w:bottom w:val="none" w:sz="0" w:space="0" w:color="auto"/>
                <w:right w:val="none" w:sz="0" w:space="0" w:color="auto"/>
              </w:divBdr>
              <w:divsChild>
                <w:div w:id="187061287">
                  <w:marLeft w:val="0"/>
                  <w:marRight w:val="0"/>
                  <w:marTop w:val="0"/>
                  <w:marBottom w:val="0"/>
                  <w:divBdr>
                    <w:top w:val="none" w:sz="0" w:space="0" w:color="auto"/>
                    <w:left w:val="none" w:sz="0" w:space="0" w:color="auto"/>
                    <w:bottom w:val="none" w:sz="0" w:space="0" w:color="auto"/>
                    <w:right w:val="none" w:sz="0" w:space="0" w:color="auto"/>
                  </w:divBdr>
                </w:div>
              </w:divsChild>
            </w:div>
            <w:div w:id="631908608">
              <w:marLeft w:val="0"/>
              <w:marRight w:val="0"/>
              <w:marTop w:val="0"/>
              <w:marBottom w:val="0"/>
              <w:divBdr>
                <w:top w:val="none" w:sz="0" w:space="0" w:color="auto"/>
                <w:left w:val="none" w:sz="0" w:space="0" w:color="auto"/>
                <w:bottom w:val="none" w:sz="0" w:space="0" w:color="auto"/>
                <w:right w:val="none" w:sz="0" w:space="0" w:color="auto"/>
              </w:divBdr>
              <w:divsChild>
                <w:div w:id="194541891">
                  <w:marLeft w:val="0"/>
                  <w:marRight w:val="0"/>
                  <w:marTop w:val="0"/>
                  <w:marBottom w:val="0"/>
                  <w:divBdr>
                    <w:top w:val="none" w:sz="0" w:space="0" w:color="auto"/>
                    <w:left w:val="none" w:sz="0" w:space="0" w:color="auto"/>
                    <w:bottom w:val="none" w:sz="0" w:space="0" w:color="auto"/>
                    <w:right w:val="none" w:sz="0" w:space="0" w:color="auto"/>
                  </w:divBdr>
                </w:div>
              </w:divsChild>
            </w:div>
            <w:div w:id="331832356">
              <w:marLeft w:val="0"/>
              <w:marRight w:val="0"/>
              <w:marTop w:val="0"/>
              <w:marBottom w:val="0"/>
              <w:divBdr>
                <w:top w:val="none" w:sz="0" w:space="0" w:color="auto"/>
                <w:left w:val="none" w:sz="0" w:space="0" w:color="auto"/>
                <w:bottom w:val="none" w:sz="0" w:space="0" w:color="auto"/>
                <w:right w:val="none" w:sz="0" w:space="0" w:color="auto"/>
              </w:divBdr>
              <w:divsChild>
                <w:div w:id="2024352518">
                  <w:marLeft w:val="0"/>
                  <w:marRight w:val="0"/>
                  <w:marTop w:val="0"/>
                  <w:marBottom w:val="0"/>
                  <w:divBdr>
                    <w:top w:val="none" w:sz="0" w:space="0" w:color="auto"/>
                    <w:left w:val="none" w:sz="0" w:space="0" w:color="auto"/>
                    <w:bottom w:val="none" w:sz="0" w:space="0" w:color="auto"/>
                    <w:right w:val="none" w:sz="0" w:space="0" w:color="auto"/>
                  </w:divBdr>
                </w:div>
              </w:divsChild>
            </w:div>
            <w:div w:id="304504364">
              <w:marLeft w:val="0"/>
              <w:marRight w:val="0"/>
              <w:marTop w:val="0"/>
              <w:marBottom w:val="0"/>
              <w:divBdr>
                <w:top w:val="none" w:sz="0" w:space="0" w:color="auto"/>
                <w:left w:val="none" w:sz="0" w:space="0" w:color="auto"/>
                <w:bottom w:val="none" w:sz="0" w:space="0" w:color="auto"/>
                <w:right w:val="none" w:sz="0" w:space="0" w:color="auto"/>
              </w:divBdr>
              <w:divsChild>
                <w:div w:id="21262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9299">
      <w:bodyDiv w:val="1"/>
      <w:marLeft w:val="0"/>
      <w:marRight w:val="0"/>
      <w:marTop w:val="0"/>
      <w:marBottom w:val="0"/>
      <w:divBdr>
        <w:top w:val="none" w:sz="0" w:space="0" w:color="auto"/>
        <w:left w:val="none" w:sz="0" w:space="0" w:color="auto"/>
        <w:bottom w:val="none" w:sz="0" w:space="0" w:color="auto"/>
        <w:right w:val="none" w:sz="0" w:space="0" w:color="auto"/>
      </w:divBdr>
      <w:divsChild>
        <w:div w:id="1284464425">
          <w:marLeft w:val="0"/>
          <w:marRight w:val="0"/>
          <w:marTop w:val="0"/>
          <w:marBottom w:val="0"/>
          <w:divBdr>
            <w:top w:val="none" w:sz="0" w:space="0" w:color="auto"/>
            <w:left w:val="none" w:sz="0" w:space="0" w:color="auto"/>
            <w:bottom w:val="none" w:sz="0" w:space="0" w:color="auto"/>
            <w:right w:val="none" w:sz="0" w:space="0" w:color="auto"/>
          </w:divBdr>
          <w:divsChild>
            <w:div w:id="499547767">
              <w:marLeft w:val="0"/>
              <w:marRight w:val="0"/>
              <w:marTop w:val="0"/>
              <w:marBottom w:val="0"/>
              <w:divBdr>
                <w:top w:val="none" w:sz="0" w:space="0" w:color="auto"/>
                <w:left w:val="none" w:sz="0" w:space="0" w:color="auto"/>
                <w:bottom w:val="none" w:sz="0" w:space="0" w:color="auto"/>
                <w:right w:val="none" w:sz="0" w:space="0" w:color="auto"/>
              </w:divBdr>
              <w:divsChild>
                <w:div w:id="430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6134">
      <w:bodyDiv w:val="1"/>
      <w:marLeft w:val="0"/>
      <w:marRight w:val="0"/>
      <w:marTop w:val="0"/>
      <w:marBottom w:val="0"/>
      <w:divBdr>
        <w:top w:val="none" w:sz="0" w:space="0" w:color="auto"/>
        <w:left w:val="none" w:sz="0" w:space="0" w:color="auto"/>
        <w:bottom w:val="none" w:sz="0" w:space="0" w:color="auto"/>
        <w:right w:val="none" w:sz="0" w:space="0" w:color="auto"/>
      </w:divBdr>
      <w:divsChild>
        <w:div w:id="1637055963">
          <w:marLeft w:val="0"/>
          <w:marRight w:val="0"/>
          <w:marTop w:val="0"/>
          <w:marBottom w:val="0"/>
          <w:divBdr>
            <w:top w:val="none" w:sz="0" w:space="0" w:color="auto"/>
            <w:left w:val="none" w:sz="0" w:space="0" w:color="auto"/>
            <w:bottom w:val="none" w:sz="0" w:space="0" w:color="auto"/>
            <w:right w:val="none" w:sz="0" w:space="0" w:color="auto"/>
          </w:divBdr>
          <w:divsChild>
            <w:div w:id="1294285447">
              <w:marLeft w:val="0"/>
              <w:marRight w:val="0"/>
              <w:marTop w:val="0"/>
              <w:marBottom w:val="0"/>
              <w:divBdr>
                <w:top w:val="none" w:sz="0" w:space="0" w:color="auto"/>
                <w:left w:val="none" w:sz="0" w:space="0" w:color="auto"/>
                <w:bottom w:val="none" w:sz="0" w:space="0" w:color="auto"/>
                <w:right w:val="none" w:sz="0" w:space="0" w:color="auto"/>
              </w:divBdr>
              <w:divsChild>
                <w:div w:id="151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2346">
      <w:bodyDiv w:val="1"/>
      <w:marLeft w:val="0"/>
      <w:marRight w:val="0"/>
      <w:marTop w:val="0"/>
      <w:marBottom w:val="0"/>
      <w:divBdr>
        <w:top w:val="none" w:sz="0" w:space="0" w:color="auto"/>
        <w:left w:val="none" w:sz="0" w:space="0" w:color="auto"/>
        <w:bottom w:val="none" w:sz="0" w:space="0" w:color="auto"/>
        <w:right w:val="none" w:sz="0" w:space="0" w:color="auto"/>
      </w:divBdr>
      <w:divsChild>
        <w:div w:id="1098796557">
          <w:marLeft w:val="0"/>
          <w:marRight w:val="0"/>
          <w:marTop w:val="0"/>
          <w:marBottom w:val="0"/>
          <w:divBdr>
            <w:top w:val="none" w:sz="0" w:space="0" w:color="auto"/>
            <w:left w:val="none" w:sz="0" w:space="0" w:color="auto"/>
            <w:bottom w:val="none" w:sz="0" w:space="0" w:color="auto"/>
            <w:right w:val="none" w:sz="0" w:space="0" w:color="auto"/>
          </w:divBdr>
          <w:divsChild>
            <w:div w:id="1389458438">
              <w:marLeft w:val="0"/>
              <w:marRight w:val="0"/>
              <w:marTop w:val="0"/>
              <w:marBottom w:val="0"/>
              <w:divBdr>
                <w:top w:val="none" w:sz="0" w:space="0" w:color="auto"/>
                <w:left w:val="none" w:sz="0" w:space="0" w:color="auto"/>
                <w:bottom w:val="none" w:sz="0" w:space="0" w:color="auto"/>
                <w:right w:val="none" w:sz="0" w:space="0" w:color="auto"/>
              </w:divBdr>
              <w:divsChild>
                <w:div w:id="1257398714">
                  <w:marLeft w:val="0"/>
                  <w:marRight w:val="0"/>
                  <w:marTop w:val="0"/>
                  <w:marBottom w:val="0"/>
                  <w:divBdr>
                    <w:top w:val="none" w:sz="0" w:space="0" w:color="auto"/>
                    <w:left w:val="none" w:sz="0" w:space="0" w:color="auto"/>
                    <w:bottom w:val="none" w:sz="0" w:space="0" w:color="auto"/>
                    <w:right w:val="none" w:sz="0" w:space="0" w:color="auto"/>
                  </w:divBdr>
                  <w:divsChild>
                    <w:div w:id="18104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0963">
      <w:bodyDiv w:val="1"/>
      <w:marLeft w:val="0"/>
      <w:marRight w:val="0"/>
      <w:marTop w:val="0"/>
      <w:marBottom w:val="0"/>
      <w:divBdr>
        <w:top w:val="none" w:sz="0" w:space="0" w:color="auto"/>
        <w:left w:val="none" w:sz="0" w:space="0" w:color="auto"/>
        <w:bottom w:val="none" w:sz="0" w:space="0" w:color="auto"/>
        <w:right w:val="none" w:sz="0" w:space="0" w:color="auto"/>
      </w:divBdr>
      <w:divsChild>
        <w:div w:id="1781757285">
          <w:marLeft w:val="0"/>
          <w:marRight w:val="0"/>
          <w:marTop w:val="0"/>
          <w:marBottom w:val="0"/>
          <w:divBdr>
            <w:top w:val="none" w:sz="0" w:space="0" w:color="auto"/>
            <w:left w:val="none" w:sz="0" w:space="0" w:color="auto"/>
            <w:bottom w:val="none" w:sz="0" w:space="0" w:color="auto"/>
            <w:right w:val="none" w:sz="0" w:space="0" w:color="auto"/>
          </w:divBdr>
          <w:divsChild>
            <w:div w:id="343749638">
              <w:marLeft w:val="0"/>
              <w:marRight w:val="0"/>
              <w:marTop w:val="0"/>
              <w:marBottom w:val="0"/>
              <w:divBdr>
                <w:top w:val="none" w:sz="0" w:space="0" w:color="auto"/>
                <w:left w:val="none" w:sz="0" w:space="0" w:color="auto"/>
                <w:bottom w:val="none" w:sz="0" w:space="0" w:color="auto"/>
                <w:right w:val="none" w:sz="0" w:space="0" w:color="auto"/>
              </w:divBdr>
              <w:divsChild>
                <w:div w:id="4105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330">
      <w:bodyDiv w:val="1"/>
      <w:marLeft w:val="0"/>
      <w:marRight w:val="0"/>
      <w:marTop w:val="0"/>
      <w:marBottom w:val="0"/>
      <w:divBdr>
        <w:top w:val="none" w:sz="0" w:space="0" w:color="auto"/>
        <w:left w:val="none" w:sz="0" w:space="0" w:color="auto"/>
        <w:bottom w:val="none" w:sz="0" w:space="0" w:color="auto"/>
        <w:right w:val="none" w:sz="0" w:space="0" w:color="auto"/>
      </w:divBdr>
      <w:divsChild>
        <w:div w:id="135755944">
          <w:marLeft w:val="0"/>
          <w:marRight w:val="0"/>
          <w:marTop w:val="0"/>
          <w:marBottom w:val="0"/>
          <w:divBdr>
            <w:top w:val="none" w:sz="0" w:space="0" w:color="auto"/>
            <w:left w:val="none" w:sz="0" w:space="0" w:color="auto"/>
            <w:bottom w:val="none" w:sz="0" w:space="0" w:color="auto"/>
            <w:right w:val="none" w:sz="0" w:space="0" w:color="auto"/>
          </w:divBdr>
          <w:divsChild>
            <w:div w:id="921256151">
              <w:marLeft w:val="0"/>
              <w:marRight w:val="0"/>
              <w:marTop w:val="0"/>
              <w:marBottom w:val="0"/>
              <w:divBdr>
                <w:top w:val="none" w:sz="0" w:space="0" w:color="auto"/>
                <w:left w:val="none" w:sz="0" w:space="0" w:color="auto"/>
                <w:bottom w:val="none" w:sz="0" w:space="0" w:color="auto"/>
                <w:right w:val="none" w:sz="0" w:space="0" w:color="auto"/>
              </w:divBdr>
              <w:divsChild>
                <w:div w:id="18000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6277">
      <w:bodyDiv w:val="1"/>
      <w:marLeft w:val="0"/>
      <w:marRight w:val="0"/>
      <w:marTop w:val="0"/>
      <w:marBottom w:val="0"/>
      <w:divBdr>
        <w:top w:val="none" w:sz="0" w:space="0" w:color="auto"/>
        <w:left w:val="none" w:sz="0" w:space="0" w:color="auto"/>
        <w:bottom w:val="none" w:sz="0" w:space="0" w:color="auto"/>
        <w:right w:val="none" w:sz="0" w:space="0" w:color="auto"/>
      </w:divBdr>
      <w:divsChild>
        <w:div w:id="1795058621">
          <w:marLeft w:val="0"/>
          <w:marRight w:val="0"/>
          <w:marTop w:val="0"/>
          <w:marBottom w:val="0"/>
          <w:divBdr>
            <w:top w:val="none" w:sz="0" w:space="0" w:color="auto"/>
            <w:left w:val="none" w:sz="0" w:space="0" w:color="auto"/>
            <w:bottom w:val="none" w:sz="0" w:space="0" w:color="auto"/>
            <w:right w:val="none" w:sz="0" w:space="0" w:color="auto"/>
          </w:divBdr>
          <w:divsChild>
            <w:div w:id="1171872564">
              <w:marLeft w:val="0"/>
              <w:marRight w:val="0"/>
              <w:marTop w:val="0"/>
              <w:marBottom w:val="0"/>
              <w:divBdr>
                <w:top w:val="none" w:sz="0" w:space="0" w:color="auto"/>
                <w:left w:val="none" w:sz="0" w:space="0" w:color="auto"/>
                <w:bottom w:val="none" w:sz="0" w:space="0" w:color="auto"/>
                <w:right w:val="none" w:sz="0" w:space="0" w:color="auto"/>
              </w:divBdr>
              <w:divsChild>
                <w:div w:id="847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6875">
      <w:bodyDiv w:val="1"/>
      <w:marLeft w:val="0"/>
      <w:marRight w:val="0"/>
      <w:marTop w:val="0"/>
      <w:marBottom w:val="0"/>
      <w:divBdr>
        <w:top w:val="none" w:sz="0" w:space="0" w:color="auto"/>
        <w:left w:val="none" w:sz="0" w:space="0" w:color="auto"/>
        <w:bottom w:val="none" w:sz="0" w:space="0" w:color="auto"/>
        <w:right w:val="none" w:sz="0" w:space="0" w:color="auto"/>
      </w:divBdr>
      <w:divsChild>
        <w:div w:id="679234428">
          <w:marLeft w:val="0"/>
          <w:marRight w:val="0"/>
          <w:marTop w:val="0"/>
          <w:marBottom w:val="0"/>
          <w:divBdr>
            <w:top w:val="none" w:sz="0" w:space="0" w:color="auto"/>
            <w:left w:val="none" w:sz="0" w:space="0" w:color="auto"/>
            <w:bottom w:val="none" w:sz="0" w:space="0" w:color="auto"/>
            <w:right w:val="none" w:sz="0" w:space="0" w:color="auto"/>
          </w:divBdr>
          <w:divsChild>
            <w:div w:id="1535389040">
              <w:marLeft w:val="0"/>
              <w:marRight w:val="0"/>
              <w:marTop w:val="0"/>
              <w:marBottom w:val="0"/>
              <w:divBdr>
                <w:top w:val="none" w:sz="0" w:space="0" w:color="auto"/>
                <w:left w:val="none" w:sz="0" w:space="0" w:color="auto"/>
                <w:bottom w:val="none" w:sz="0" w:space="0" w:color="auto"/>
                <w:right w:val="none" w:sz="0" w:space="0" w:color="auto"/>
              </w:divBdr>
              <w:divsChild>
                <w:div w:id="12680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2963">
      <w:bodyDiv w:val="1"/>
      <w:marLeft w:val="0"/>
      <w:marRight w:val="0"/>
      <w:marTop w:val="0"/>
      <w:marBottom w:val="0"/>
      <w:divBdr>
        <w:top w:val="none" w:sz="0" w:space="0" w:color="auto"/>
        <w:left w:val="none" w:sz="0" w:space="0" w:color="auto"/>
        <w:bottom w:val="none" w:sz="0" w:space="0" w:color="auto"/>
        <w:right w:val="none" w:sz="0" w:space="0" w:color="auto"/>
      </w:divBdr>
      <w:divsChild>
        <w:div w:id="2019039590">
          <w:marLeft w:val="0"/>
          <w:marRight w:val="0"/>
          <w:marTop w:val="0"/>
          <w:marBottom w:val="0"/>
          <w:divBdr>
            <w:top w:val="none" w:sz="0" w:space="0" w:color="auto"/>
            <w:left w:val="none" w:sz="0" w:space="0" w:color="auto"/>
            <w:bottom w:val="none" w:sz="0" w:space="0" w:color="auto"/>
            <w:right w:val="none" w:sz="0" w:space="0" w:color="auto"/>
          </w:divBdr>
          <w:divsChild>
            <w:div w:id="1074205250">
              <w:marLeft w:val="0"/>
              <w:marRight w:val="0"/>
              <w:marTop w:val="0"/>
              <w:marBottom w:val="0"/>
              <w:divBdr>
                <w:top w:val="none" w:sz="0" w:space="0" w:color="auto"/>
                <w:left w:val="none" w:sz="0" w:space="0" w:color="auto"/>
                <w:bottom w:val="none" w:sz="0" w:space="0" w:color="auto"/>
                <w:right w:val="none" w:sz="0" w:space="0" w:color="auto"/>
              </w:divBdr>
              <w:divsChild>
                <w:div w:id="16302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1901">
      <w:bodyDiv w:val="1"/>
      <w:marLeft w:val="0"/>
      <w:marRight w:val="0"/>
      <w:marTop w:val="0"/>
      <w:marBottom w:val="0"/>
      <w:divBdr>
        <w:top w:val="none" w:sz="0" w:space="0" w:color="auto"/>
        <w:left w:val="none" w:sz="0" w:space="0" w:color="auto"/>
        <w:bottom w:val="none" w:sz="0" w:space="0" w:color="auto"/>
        <w:right w:val="none" w:sz="0" w:space="0" w:color="auto"/>
      </w:divBdr>
      <w:divsChild>
        <w:div w:id="1054816096">
          <w:marLeft w:val="0"/>
          <w:marRight w:val="0"/>
          <w:marTop w:val="0"/>
          <w:marBottom w:val="0"/>
          <w:divBdr>
            <w:top w:val="none" w:sz="0" w:space="0" w:color="auto"/>
            <w:left w:val="none" w:sz="0" w:space="0" w:color="auto"/>
            <w:bottom w:val="none" w:sz="0" w:space="0" w:color="auto"/>
            <w:right w:val="none" w:sz="0" w:space="0" w:color="auto"/>
          </w:divBdr>
          <w:divsChild>
            <w:div w:id="1744327450">
              <w:marLeft w:val="0"/>
              <w:marRight w:val="0"/>
              <w:marTop w:val="0"/>
              <w:marBottom w:val="0"/>
              <w:divBdr>
                <w:top w:val="none" w:sz="0" w:space="0" w:color="auto"/>
                <w:left w:val="none" w:sz="0" w:space="0" w:color="auto"/>
                <w:bottom w:val="none" w:sz="0" w:space="0" w:color="auto"/>
                <w:right w:val="none" w:sz="0" w:space="0" w:color="auto"/>
              </w:divBdr>
              <w:divsChild>
                <w:div w:id="6389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645">
      <w:bodyDiv w:val="1"/>
      <w:marLeft w:val="0"/>
      <w:marRight w:val="0"/>
      <w:marTop w:val="0"/>
      <w:marBottom w:val="0"/>
      <w:divBdr>
        <w:top w:val="none" w:sz="0" w:space="0" w:color="auto"/>
        <w:left w:val="none" w:sz="0" w:space="0" w:color="auto"/>
        <w:bottom w:val="none" w:sz="0" w:space="0" w:color="auto"/>
        <w:right w:val="none" w:sz="0" w:space="0" w:color="auto"/>
      </w:divBdr>
      <w:divsChild>
        <w:div w:id="2015263208">
          <w:marLeft w:val="0"/>
          <w:marRight w:val="0"/>
          <w:marTop w:val="0"/>
          <w:marBottom w:val="0"/>
          <w:divBdr>
            <w:top w:val="none" w:sz="0" w:space="0" w:color="auto"/>
            <w:left w:val="none" w:sz="0" w:space="0" w:color="auto"/>
            <w:bottom w:val="none" w:sz="0" w:space="0" w:color="auto"/>
            <w:right w:val="none" w:sz="0" w:space="0" w:color="auto"/>
          </w:divBdr>
          <w:divsChild>
            <w:div w:id="126243045">
              <w:marLeft w:val="0"/>
              <w:marRight w:val="0"/>
              <w:marTop w:val="0"/>
              <w:marBottom w:val="0"/>
              <w:divBdr>
                <w:top w:val="none" w:sz="0" w:space="0" w:color="auto"/>
                <w:left w:val="none" w:sz="0" w:space="0" w:color="auto"/>
                <w:bottom w:val="none" w:sz="0" w:space="0" w:color="auto"/>
                <w:right w:val="none" w:sz="0" w:space="0" w:color="auto"/>
              </w:divBdr>
              <w:divsChild>
                <w:div w:id="1569532584">
                  <w:marLeft w:val="0"/>
                  <w:marRight w:val="0"/>
                  <w:marTop w:val="0"/>
                  <w:marBottom w:val="0"/>
                  <w:divBdr>
                    <w:top w:val="none" w:sz="0" w:space="0" w:color="auto"/>
                    <w:left w:val="none" w:sz="0" w:space="0" w:color="auto"/>
                    <w:bottom w:val="none" w:sz="0" w:space="0" w:color="auto"/>
                    <w:right w:val="none" w:sz="0" w:space="0" w:color="auto"/>
                  </w:divBdr>
                  <w:divsChild>
                    <w:div w:id="1901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48735">
      <w:bodyDiv w:val="1"/>
      <w:marLeft w:val="0"/>
      <w:marRight w:val="0"/>
      <w:marTop w:val="0"/>
      <w:marBottom w:val="0"/>
      <w:divBdr>
        <w:top w:val="none" w:sz="0" w:space="0" w:color="auto"/>
        <w:left w:val="none" w:sz="0" w:space="0" w:color="auto"/>
        <w:bottom w:val="none" w:sz="0" w:space="0" w:color="auto"/>
        <w:right w:val="none" w:sz="0" w:space="0" w:color="auto"/>
      </w:divBdr>
    </w:div>
    <w:div w:id="1833375174">
      <w:bodyDiv w:val="1"/>
      <w:marLeft w:val="0"/>
      <w:marRight w:val="0"/>
      <w:marTop w:val="0"/>
      <w:marBottom w:val="0"/>
      <w:divBdr>
        <w:top w:val="none" w:sz="0" w:space="0" w:color="auto"/>
        <w:left w:val="none" w:sz="0" w:space="0" w:color="auto"/>
        <w:bottom w:val="none" w:sz="0" w:space="0" w:color="auto"/>
        <w:right w:val="none" w:sz="0" w:space="0" w:color="auto"/>
      </w:divBdr>
      <w:divsChild>
        <w:div w:id="1530798639">
          <w:marLeft w:val="0"/>
          <w:marRight w:val="0"/>
          <w:marTop w:val="0"/>
          <w:marBottom w:val="0"/>
          <w:divBdr>
            <w:top w:val="none" w:sz="0" w:space="0" w:color="auto"/>
            <w:left w:val="none" w:sz="0" w:space="0" w:color="auto"/>
            <w:bottom w:val="none" w:sz="0" w:space="0" w:color="auto"/>
            <w:right w:val="none" w:sz="0" w:space="0" w:color="auto"/>
          </w:divBdr>
          <w:divsChild>
            <w:div w:id="1216429466">
              <w:marLeft w:val="0"/>
              <w:marRight w:val="0"/>
              <w:marTop w:val="0"/>
              <w:marBottom w:val="0"/>
              <w:divBdr>
                <w:top w:val="none" w:sz="0" w:space="0" w:color="auto"/>
                <w:left w:val="none" w:sz="0" w:space="0" w:color="auto"/>
                <w:bottom w:val="none" w:sz="0" w:space="0" w:color="auto"/>
                <w:right w:val="none" w:sz="0" w:space="0" w:color="auto"/>
              </w:divBdr>
              <w:divsChild>
                <w:div w:id="803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6256">
      <w:bodyDiv w:val="1"/>
      <w:marLeft w:val="0"/>
      <w:marRight w:val="0"/>
      <w:marTop w:val="0"/>
      <w:marBottom w:val="0"/>
      <w:divBdr>
        <w:top w:val="none" w:sz="0" w:space="0" w:color="auto"/>
        <w:left w:val="none" w:sz="0" w:space="0" w:color="auto"/>
        <w:bottom w:val="none" w:sz="0" w:space="0" w:color="auto"/>
        <w:right w:val="none" w:sz="0" w:space="0" w:color="auto"/>
      </w:divBdr>
    </w:div>
    <w:div w:id="1862082429">
      <w:bodyDiv w:val="1"/>
      <w:marLeft w:val="0"/>
      <w:marRight w:val="0"/>
      <w:marTop w:val="0"/>
      <w:marBottom w:val="0"/>
      <w:divBdr>
        <w:top w:val="none" w:sz="0" w:space="0" w:color="auto"/>
        <w:left w:val="none" w:sz="0" w:space="0" w:color="auto"/>
        <w:bottom w:val="none" w:sz="0" w:space="0" w:color="auto"/>
        <w:right w:val="none" w:sz="0" w:space="0" w:color="auto"/>
      </w:divBdr>
      <w:divsChild>
        <w:div w:id="1613438551">
          <w:marLeft w:val="0"/>
          <w:marRight w:val="0"/>
          <w:marTop w:val="0"/>
          <w:marBottom w:val="0"/>
          <w:divBdr>
            <w:top w:val="none" w:sz="0" w:space="0" w:color="auto"/>
            <w:left w:val="none" w:sz="0" w:space="0" w:color="auto"/>
            <w:bottom w:val="none" w:sz="0" w:space="0" w:color="auto"/>
            <w:right w:val="none" w:sz="0" w:space="0" w:color="auto"/>
          </w:divBdr>
          <w:divsChild>
            <w:div w:id="1404717764">
              <w:marLeft w:val="0"/>
              <w:marRight w:val="0"/>
              <w:marTop w:val="0"/>
              <w:marBottom w:val="0"/>
              <w:divBdr>
                <w:top w:val="none" w:sz="0" w:space="0" w:color="auto"/>
                <w:left w:val="none" w:sz="0" w:space="0" w:color="auto"/>
                <w:bottom w:val="none" w:sz="0" w:space="0" w:color="auto"/>
                <w:right w:val="none" w:sz="0" w:space="0" w:color="auto"/>
              </w:divBdr>
              <w:divsChild>
                <w:div w:id="556555129">
                  <w:marLeft w:val="0"/>
                  <w:marRight w:val="0"/>
                  <w:marTop w:val="0"/>
                  <w:marBottom w:val="0"/>
                  <w:divBdr>
                    <w:top w:val="none" w:sz="0" w:space="0" w:color="auto"/>
                    <w:left w:val="none" w:sz="0" w:space="0" w:color="auto"/>
                    <w:bottom w:val="none" w:sz="0" w:space="0" w:color="auto"/>
                    <w:right w:val="none" w:sz="0" w:space="0" w:color="auto"/>
                  </w:divBdr>
                </w:div>
              </w:divsChild>
            </w:div>
            <w:div w:id="819542514">
              <w:marLeft w:val="0"/>
              <w:marRight w:val="0"/>
              <w:marTop w:val="0"/>
              <w:marBottom w:val="0"/>
              <w:divBdr>
                <w:top w:val="none" w:sz="0" w:space="0" w:color="auto"/>
                <w:left w:val="none" w:sz="0" w:space="0" w:color="auto"/>
                <w:bottom w:val="none" w:sz="0" w:space="0" w:color="auto"/>
                <w:right w:val="none" w:sz="0" w:space="0" w:color="auto"/>
              </w:divBdr>
              <w:divsChild>
                <w:div w:id="1673215505">
                  <w:marLeft w:val="0"/>
                  <w:marRight w:val="0"/>
                  <w:marTop w:val="0"/>
                  <w:marBottom w:val="0"/>
                  <w:divBdr>
                    <w:top w:val="none" w:sz="0" w:space="0" w:color="auto"/>
                    <w:left w:val="none" w:sz="0" w:space="0" w:color="auto"/>
                    <w:bottom w:val="none" w:sz="0" w:space="0" w:color="auto"/>
                    <w:right w:val="none" w:sz="0" w:space="0" w:color="auto"/>
                  </w:divBdr>
                </w:div>
              </w:divsChild>
            </w:div>
            <w:div w:id="1481386754">
              <w:marLeft w:val="0"/>
              <w:marRight w:val="0"/>
              <w:marTop w:val="0"/>
              <w:marBottom w:val="0"/>
              <w:divBdr>
                <w:top w:val="none" w:sz="0" w:space="0" w:color="auto"/>
                <w:left w:val="none" w:sz="0" w:space="0" w:color="auto"/>
                <w:bottom w:val="none" w:sz="0" w:space="0" w:color="auto"/>
                <w:right w:val="none" w:sz="0" w:space="0" w:color="auto"/>
              </w:divBdr>
              <w:divsChild>
                <w:div w:id="478306903">
                  <w:marLeft w:val="0"/>
                  <w:marRight w:val="0"/>
                  <w:marTop w:val="0"/>
                  <w:marBottom w:val="0"/>
                  <w:divBdr>
                    <w:top w:val="none" w:sz="0" w:space="0" w:color="auto"/>
                    <w:left w:val="none" w:sz="0" w:space="0" w:color="auto"/>
                    <w:bottom w:val="none" w:sz="0" w:space="0" w:color="auto"/>
                    <w:right w:val="none" w:sz="0" w:space="0" w:color="auto"/>
                  </w:divBdr>
                </w:div>
              </w:divsChild>
            </w:div>
            <w:div w:id="1579166589">
              <w:marLeft w:val="0"/>
              <w:marRight w:val="0"/>
              <w:marTop w:val="0"/>
              <w:marBottom w:val="0"/>
              <w:divBdr>
                <w:top w:val="none" w:sz="0" w:space="0" w:color="auto"/>
                <w:left w:val="none" w:sz="0" w:space="0" w:color="auto"/>
                <w:bottom w:val="none" w:sz="0" w:space="0" w:color="auto"/>
                <w:right w:val="none" w:sz="0" w:space="0" w:color="auto"/>
              </w:divBdr>
              <w:divsChild>
                <w:div w:id="7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9190">
      <w:bodyDiv w:val="1"/>
      <w:marLeft w:val="0"/>
      <w:marRight w:val="0"/>
      <w:marTop w:val="0"/>
      <w:marBottom w:val="0"/>
      <w:divBdr>
        <w:top w:val="none" w:sz="0" w:space="0" w:color="auto"/>
        <w:left w:val="none" w:sz="0" w:space="0" w:color="auto"/>
        <w:bottom w:val="none" w:sz="0" w:space="0" w:color="auto"/>
        <w:right w:val="none" w:sz="0" w:space="0" w:color="auto"/>
      </w:divBdr>
      <w:divsChild>
        <w:div w:id="1441561638">
          <w:marLeft w:val="0"/>
          <w:marRight w:val="0"/>
          <w:marTop w:val="0"/>
          <w:marBottom w:val="0"/>
          <w:divBdr>
            <w:top w:val="none" w:sz="0" w:space="0" w:color="auto"/>
            <w:left w:val="none" w:sz="0" w:space="0" w:color="auto"/>
            <w:bottom w:val="none" w:sz="0" w:space="0" w:color="auto"/>
            <w:right w:val="none" w:sz="0" w:space="0" w:color="auto"/>
          </w:divBdr>
          <w:divsChild>
            <w:div w:id="1678530949">
              <w:marLeft w:val="0"/>
              <w:marRight w:val="0"/>
              <w:marTop w:val="0"/>
              <w:marBottom w:val="0"/>
              <w:divBdr>
                <w:top w:val="none" w:sz="0" w:space="0" w:color="auto"/>
                <w:left w:val="none" w:sz="0" w:space="0" w:color="auto"/>
                <w:bottom w:val="none" w:sz="0" w:space="0" w:color="auto"/>
                <w:right w:val="none" w:sz="0" w:space="0" w:color="auto"/>
              </w:divBdr>
              <w:divsChild>
                <w:div w:id="1566598754">
                  <w:marLeft w:val="0"/>
                  <w:marRight w:val="0"/>
                  <w:marTop w:val="0"/>
                  <w:marBottom w:val="0"/>
                  <w:divBdr>
                    <w:top w:val="none" w:sz="0" w:space="0" w:color="auto"/>
                    <w:left w:val="none" w:sz="0" w:space="0" w:color="auto"/>
                    <w:bottom w:val="none" w:sz="0" w:space="0" w:color="auto"/>
                    <w:right w:val="none" w:sz="0" w:space="0" w:color="auto"/>
                  </w:divBdr>
                  <w:divsChild>
                    <w:div w:id="828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848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44">
          <w:marLeft w:val="0"/>
          <w:marRight w:val="0"/>
          <w:marTop w:val="0"/>
          <w:marBottom w:val="0"/>
          <w:divBdr>
            <w:top w:val="none" w:sz="0" w:space="0" w:color="auto"/>
            <w:left w:val="none" w:sz="0" w:space="0" w:color="auto"/>
            <w:bottom w:val="none" w:sz="0" w:space="0" w:color="auto"/>
            <w:right w:val="none" w:sz="0" w:space="0" w:color="auto"/>
          </w:divBdr>
          <w:divsChild>
            <w:div w:id="40793693">
              <w:marLeft w:val="0"/>
              <w:marRight w:val="0"/>
              <w:marTop w:val="0"/>
              <w:marBottom w:val="0"/>
              <w:divBdr>
                <w:top w:val="none" w:sz="0" w:space="0" w:color="auto"/>
                <w:left w:val="none" w:sz="0" w:space="0" w:color="auto"/>
                <w:bottom w:val="none" w:sz="0" w:space="0" w:color="auto"/>
                <w:right w:val="none" w:sz="0" w:space="0" w:color="auto"/>
              </w:divBdr>
              <w:divsChild>
                <w:div w:id="5406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6256">
      <w:bodyDiv w:val="1"/>
      <w:marLeft w:val="0"/>
      <w:marRight w:val="0"/>
      <w:marTop w:val="0"/>
      <w:marBottom w:val="0"/>
      <w:divBdr>
        <w:top w:val="none" w:sz="0" w:space="0" w:color="auto"/>
        <w:left w:val="none" w:sz="0" w:space="0" w:color="auto"/>
        <w:bottom w:val="none" w:sz="0" w:space="0" w:color="auto"/>
        <w:right w:val="none" w:sz="0" w:space="0" w:color="auto"/>
      </w:divBdr>
    </w:div>
    <w:div w:id="2056079360">
      <w:bodyDiv w:val="1"/>
      <w:marLeft w:val="0"/>
      <w:marRight w:val="0"/>
      <w:marTop w:val="0"/>
      <w:marBottom w:val="0"/>
      <w:divBdr>
        <w:top w:val="none" w:sz="0" w:space="0" w:color="auto"/>
        <w:left w:val="none" w:sz="0" w:space="0" w:color="auto"/>
        <w:bottom w:val="none" w:sz="0" w:space="0" w:color="auto"/>
        <w:right w:val="none" w:sz="0" w:space="0" w:color="auto"/>
      </w:divBdr>
      <w:divsChild>
        <w:div w:id="98071066">
          <w:marLeft w:val="0"/>
          <w:marRight w:val="0"/>
          <w:marTop w:val="0"/>
          <w:marBottom w:val="0"/>
          <w:divBdr>
            <w:top w:val="none" w:sz="0" w:space="0" w:color="auto"/>
            <w:left w:val="none" w:sz="0" w:space="0" w:color="auto"/>
            <w:bottom w:val="none" w:sz="0" w:space="0" w:color="auto"/>
            <w:right w:val="none" w:sz="0" w:space="0" w:color="auto"/>
          </w:divBdr>
          <w:divsChild>
            <w:div w:id="2095004970">
              <w:marLeft w:val="0"/>
              <w:marRight w:val="0"/>
              <w:marTop w:val="0"/>
              <w:marBottom w:val="0"/>
              <w:divBdr>
                <w:top w:val="none" w:sz="0" w:space="0" w:color="auto"/>
                <w:left w:val="none" w:sz="0" w:space="0" w:color="auto"/>
                <w:bottom w:val="none" w:sz="0" w:space="0" w:color="auto"/>
                <w:right w:val="none" w:sz="0" w:space="0" w:color="auto"/>
              </w:divBdr>
              <w:divsChild>
                <w:div w:id="19049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6618">
      <w:bodyDiv w:val="1"/>
      <w:marLeft w:val="0"/>
      <w:marRight w:val="0"/>
      <w:marTop w:val="0"/>
      <w:marBottom w:val="0"/>
      <w:divBdr>
        <w:top w:val="none" w:sz="0" w:space="0" w:color="auto"/>
        <w:left w:val="none" w:sz="0" w:space="0" w:color="auto"/>
        <w:bottom w:val="none" w:sz="0" w:space="0" w:color="auto"/>
        <w:right w:val="none" w:sz="0" w:space="0" w:color="auto"/>
      </w:divBdr>
      <w:divsChild>
        <w:div w:id="989557928">
          <w:marLeft w:val="0"/>
          <w:marRight w:val="0"/>
          <w:marTop w:val="0"/>
          <w:marBottom w:val="0"/>
          <w:divBdr>
            <w:top w:val="none" w:sz="0" w:space="0" w:color="auto"/>
            <w:left w:val="none" w:sz="0" w:space="0" w:color="auto"/>
            <w:bottom w:val="none" w:sz="0" w:space="0" w:color="auto"/>
            <w:right w:val="none" w:sz="0" w:space="0" w:color="auto"/>
          </w:divBdr>
          <w:divsChild>
            <w:div w:id="623728067">
              <w:marLeft w:val="0"/>
              <w:marRight w:val="0"/>
              <w:marTop w:val="0"/>
              <w:marBottom w:val="0"/>
              <w:divBdr>
                <w:top w:val="none" w:sz="0" w:space="0" w:color="auto"/>
                <w:left w:val="none" w:sz="0" w:space="0" w:color="auto"/>
                <w:bottom w:val="none" w:sz="0" w:space="0" w:color="auto"/>
                <w:right w:val="none" w:sz="0" w:space="0" w:color="auto"/>
              </w:divBdr>
              <w:divsChild>
                <w:div w:id="207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gov.uk/dataset/a424169b-a2c9-4809-9ccd-a68411e5cf51/consolidated-list-of-financial-sanctions-targets" TargetMode="External"/><Relationship Id="rId3" Type="http://schemas.openxmlformats.org/officeDocument/2006/relationships/hyperlink" Target="http://www.fatf-gafi.org/countries/" TargetMode="External"/><Relationship Id="rId7" Type="http://schemas.openxmlformats.org/officeDocument/2006/relationships/hyperlink" Target="https://www.eso.ky/populationandvitalstatistics.html" TargetMode="External"/><Relationship Id="rId2" Type="http://schemas.openxmlformats.org/officeDocument/2006/relationships/hyperlink" Target="https://www.cima.ky/guidance-notes" TargetMode="External"/><Relationship Id="rId1" Type="http://schemas.openxmlformats.org/officeDocument/2006/relationships/hyperlink" Target="http://www.fatf-gafi.org/documents/riskbasedapproach/?hf=10&amp;b=0&amp;s=desc(fatf_releasedate)" TargetMode="External"/><Relationship Id="rId6" Type="http://schemas.openxmlformats.org/officeDocument/2006/relationships/hyperlink" Target="https://reliefweb.int/sites/reliefweb.int/files/resources/Global-Terrorism-Index-2018-1.pdf" TargetMode="External"/><Relationship Id="rId11" Type="http://schemas.openxmlformats.org/officeDocument/2006/relationships/hyperlink" Target="https://www.eso.ky/UserFiles/right_page_docums/files/uploads/the_cayman_islands_compendium_of_statist-10.pdf" TargetMode="External"/><Relationship Id="rId5" Type="http://schemas.openxmlformats.org/officeDocument/2006/relationships/hyperlink" Target="https://www.baselgovernance.org/basel-aml-index/public-ranking" TargetMode="External"/><Relationship Id="rId10" Type="http://schemas.openxmlformats.org/officeDocument/2006/relationships/hyperlink" Target="https://reliefweb.int/sites/reliefweb.int/files/resources/Global-Terrorism-Index-2018-1.pdf" TargetMode="External"/><Relationship Id="rId4" Type="http://schemas.openxmlformats.org/officeDocument/2006/relationships/hyperlink" Target="https://data.gov.uk/dataset/a424169b-a2c9-4809-9ccd-a68411e5cf51/consolidated-list-of-financial-sanctions-targets" TargetMode="External"/><Relationship Id="rId9" Type="http://schemas.openxmlformats.org/officeDocument/2006/relationships/hyperlink" Target="https://www.baselgovernance.org/basel-aml-index/public-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038A-54F4-4585-9B07-99EE80E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3449</Words>
  <Characters>19660</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Bökkerink</dc:creator>
  <cp:keywords/>
  <dc:description/>
  <cp:lastModifiedBy>Users BAN_16-20</cp:lastModifiedBy>
  <cp:revision>3</cp:revision>
  <cp:lastPrinted>2019-09-20T13:47:00Z</cp:lastPrinted>
  <dcterms:created xsi:type="dcterms:W3CDTF">2020-01-21T18:58:00Z</dcterms:created>
  <dcterms:modified xsi:type="dcterms:W3CDTF">2020-01-21T18:58:00Z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1162578399</vt:i4>
  </property>
</Properties>
</file>