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EB6B9" w14:textId="1360AD81" w:rsidR="007460B4" w:rsidRPr="0030016D" w:rsidRDefault="003E6B47" w:rsidP="00092426">
      <w:pPr>
        <w:pStyle w:val="Title"/>
        <w:rPr>
          <w:rFonts w:ascii="Verdana" w:hAnsi="Verdana"/>
          <w:sz w:val="32"/>
          <w:szCs w:val="32"/>
          <w:lang w:val="en-US"/>
        </w:rPr>
      </w:pPr>
      <w:r>
        <w:rPr>
          <w:rFonts w:ascii="Verdana" w:hAnsi="Verdana"/>
          <w:sz w:val="32"/>
          <w:szCs w:val="32"/>
          <w:lang w:val="en-US"/>
        </w:rPr>
        <w:t>Mutual Fund Administrat</w:t>
      </w:r>
      <w:r w:rsidR="00A6392E">
        <w:rPr>
          <w:rFonts w:ascii="Verdana" w:hAnsi="Verdana"/>
          <w:sz w:val="32"/>
          <w:szCs w:val="32"/>
          <w:lang w:val="en-US"/>
        </w:rPr>
        <w:t>ion</w:t>
      </w:r>
      <w:r>
        <w:rPr>
          <w:rFonts w:ascii="Verdana" w:hAnsi="Verdana"/>
          <w:sz w:val="32"/>
          <w:szCs w:val="32"/>
          <w:lang w:val="en-US"/>
        </w:rPr>
        <w:t xml:space="preserve"> (“MFA”) </w:t>
      </w:r>
      <w:r w:rsidR="007460B4" w:rsidRPr="0030016D">
        <w:rPr>
          <w:rFonts w:ascii="Verdana" w:hAnsi="Verdana"/>
          <w:sz w:val="32"/>
          <w:szCs w:val="32"/>
          <w:lang w:val="en-US"/>
        </w:rPr>
        <w:t>Sector Risk Assessment</w:t>
      </w:r>
      <w:r w:rsidR="0030016D" w:rsidRPr="0030016D">
        <w:rPr>
          <w:rFonts w:ascii="Verdana" w:hAnsi="Verdana"/>
          <w:sz w:val="32"/>
          <w:szCs w:val="32"/>
          <w:lang w:val="en-US"/>
        </w:rPr>
        <w:t xml:space="preserve"> – December 2019</w:t>
      </w:r>
    </w:p>
    <w:p w14:paraId="2F3EEB2B" w14:textId="3322DF71" w:rsidR="006918C9" w:rsidRPr="0030016D" w:rsidRDefault="0030016D" w:rsidP="006918C9">
      <w:pPr>
        <w:jc w:val="both"/>
        <w:rPr>
          <w:rFonts w:ascii="Verdana" w:hAnsi="Verdana"/>
          <w:b/>
        </w:rPr>
      </w:pPr>
      <w:r w:rsidRPr="0030016D">
        <w:rPr>
          <w:rFonts w:ascii="Verdana" w:hAnsi="Verdana"/>
          <w:b/>
        </w:rPr>
        <w:t>Introduction</w:t>
      </w:r>
    </w:p>
    <w:p w14:paraId="673EB9E5" w14:textId="3BF74A69" w:rsidR="00E06525" w:rsidRPr="00F575A4" w:rsidRDefault="0030016D" w:rsidP="00C54FEF">
      <w:pPr>
        <w:pStyle w:val="Heading2"/>
        <w:keepNext w:val="0"/>
        <w:keepLines w:val="0"/>
        <w:numPr>
          <w:ilvl w:val="0"/>
          <w:numId w:val="16"/>
        </w:numPr>
        <w:spacing w:before="240" w:after="60" w:line="276" w:lineRule="auto"/>
        <w:ind w:left="0" w:right="-6" w:firstLine="0"/>
        <w:jc w:val="both"/>
        <w:rPr>
          <w:rFonts w:eastAsiaTheme="minorHAnsi"/>
          <w:lang w:val="en-US"/>
        </w:rPr>
      </w:pPr>
      <w:r w:rsidRPr="00F575A4">
        <w:rPr>
          <w:rFonts w:ascii="Verdana" w:eastAsiaTheme="minorHAnsi" w:hAnsi="Verdana" w:cs="Times New Roman"/>
          <w:color w:val="000000" w:themeColor="text1"/>
          <w:sz w:val="20"/>
          <w:szCs w:val="20"/>
          <w:lang w:val="en-US"/>
        </w:rPr>
        <w:t xml:space="preserve">The purpose of this </w:t>
      </w:r>
      <w:r w:rsidR="003E6B47">
        <w:rPr>
          <w:rFonts w:ascii="Verdana" w:eastAsiaTheme="minorHAnsi" w:hAnsi="Verdana" w:cs="Times New Roman"/>
          <w:color w:val="000000" w:themeColor="text1"/>
          <w:sz w:val="20"/>
          <w:szCs w:val="20"/>
          <w:lang w:val="en-US"/>
        </w:rPr>
        <w:t>MFA</w:t>
      </w:r>
      <w:r w:rsidR="003E6B47" w:rsidRPr="00F575A4">
        <w:rPr>
          <w:rFonts w:ascii="Verdana" w:eastAsiaTheme="minorHAnsi" w:hAnsi="Verdana" w:cs="Times New Roman"/>
          <w:color w:val="000000" w:themeColor="text1"/>
          <w:sz w:val="20"/>
          <w:szCs w:val="20"/>
          <w:lang w:val="en-US"/>
        </w:rPr>
        <w:t xml:space="preserve"> </w:t>
      </w:r>
      <w:r w:rsidRPr="00F575A4">
        <w:rPr>
          <w:rFonts w:ascii="Verdana" w:eastAsiaTheme="minorHAnsi" w:hAnsi="Verdana" w:cs="Times New Roman"/>
          <w:color w:val="000000" w:themeColor="text1"/>
          <w:sz w:val="20"/>
          <w:szCs w:val="20"/>
          <w:lang w:val="en-US"/>
        </w:rPr>
        <w:t xml:space="preserve">Sector Risk Assessment conducted by the Cayman Islands Monetary Authority (CIMA) was to identify and assess the Money Laundering/ Terrorist Financing (“ML/TF”) risks faced by </w:t>
      </w:r>
      <w:r w:rsidR="003E6B47">
        <w:rPr>
          <w:rFonts w:ascii="Verdana" w:eastAsiaTheme="minorHAnsi" w:hAnsi="Verdana" w:cs="Times New Roman"/>
          <w:color w:val="000000" w:themeColor="text1"/>
          <w:sz w:val="20"/>
          <w:szCs w:val="20"/>
          <w:lang w:val="en-US"/>
        </w:rPr>
        <w:t xml:space="preserve">licensed </w:t>
      </w:r>
      <w:r w:rsidR="00A6392E">
        <w:rPr>
          <w:rFonts w:ascii="Verdana" w:eastAsiaTheme="minorHAnsi" w:hAnsi="Verdana" w:cs="Times New Roman"/>
          <w:color w:val="000000" w:themeColor="text1"/>
          <w:sz w:val="20"/>
          <w:szCs w:val="20"/>
          <w:lang w:val="en-US"/>
        </w:rPr>
        <w:t>mutual fund administrators</w:t>
      </w:r>
      <w:r w:rsidRPr="00F575A4">
        <w:rPr>
          <w:rFonts w:ascii="Verdana" w:eastAsiaTheme="minorHAnsi" w:hAnsi="Verdana" w:cs="Times New Roman"/>
          <w:color w:val="000000" w:themeColor="text1"/>
          <w:sz w:val="20"/>
          <w:szCs w:val="20"/>
          <w:lang w:val="en-US"/>
        </w:rPr>
        <w:t xml:space="preserve"> in the Cayman Islands. Identifying the risks is the first step in the development and application of a risk-based approach to compliance and thus towards combating ML/TF. </w:t>
      </w:r>
      <w:r w:rsidR="00E06525" w:rsidRPr="00F575A4">
        <w:rPr>
          <w:rFonts w:ascii="Verdana" w:eastAsiaTheme="minorHAnsi" w:hAnsi="Verdana" w:cs="Times New Roman"/>
          <w:color w:val="000000" w:themeColor="text1"/>
          <w:sz w:val="20"/>
          <w:szCs w:val="20"/>
          <w:lang w:val="en-US"/>
        </w:rPr>
        <w:t xml:space="preserve">The Cayman Islands’ </w:t>
      </w:r>
      <w:r w:rsidR="003E6B47">
        <w:rPr>
          <w:rFonts w:ascii="Verdana" w:eastAsiaTheme="minorHAnsi" w:hAnsi="Verdana" w:cs="Times New Roman"/>
          <w:color w:val="000000" w:themeColor="text1"/>
          <w:sz w:val="20"/>
          <w:szCs w:val="20"/>
          <w:lang w:val="en-US"/>
        </w:rPr>
        <w:t xml:space="preserve">MFA </w:t>
      </w:r>
      <w:r w:rsidR="00E06525" w:rsidRPr="00F575A4">
        <w:rPr>
          <w:rFonts w:ascii="Verdana" w:eastAsiaTheme="minorHAnsi" w:hAnsi="Verdana" w:cs="Times New Roman"/>
          <w:color w:val="000000" w:themeColor="text1"/>
          <w:sz w:val="20"/>
          <w:szCs w:val="20"/>
          <w:lang w:val="en-US"/>
        </w:rPr>
        <w:t xml:space="preserve">sector </w:t>
      </w:r>
      <w:proofErr w:type="gramStart"/>
      <w:r w:rsidR="00E06525" w:rsidRPr="00F575A4">
        <w:rPr>
          <w:rFonts w:ascii="Verdana" w:eastAsiaTheme="minorHAnsi" w:hAnsi="Verdana" w:cs="Times New Roman"/>
          <w:color w:val="000000" w:themeColor="text1"/>
          <w:sz w:val="20"/>
          <w:szCs w:val="20"/>
          <w:lang w:val="en-US"/>
        </w:rPr>
        <w:t>is considered to be</w:t>
      </w:r>
      <w:proofErr w:type="gramEnd"/>
      <w:r w:rsidR="00E06525" w:rsidRPr="00F575A4">
        <w:rPr>
          <w:rFonts w:ascii="Verdana" w:eastAsiaTheme="minorHAnsi" w:hAnsi="Verdana" w:cs="Times New Roman"/>
          <w:color w:val="000000" w:themeColor="text1"/>
          <w:sz w:val="20"/>
          <w:szCs w:val="20"/>
          <w:lang w:val="en-US"/>
        </w:rPr>
        <w:t xml:space="preserve"> a part of the securities sector and is comprised of regulated, unregulated or exempted institutions and instruments.  The focus of this sector risk assessment is on the regulated institutions, specifically </w:t>
      </w:r>
      <w:r w:rsidR="00CC381C">
        <w:rPr>
          <w:rFonts w:ascii="Verdana" w:eastAsiaTheme="minorHAnsi" w:hAnsi="Verdana" w:cs="Times New Roman"/>
          <w:color w:val="000000" w:themeColor="text1"/>
          <w:sz w:val="20"/>
          <w:szCs w:val="20"/>
          <w:lang w:val="en-US"/>
        </w:rPr>
        <w:t xml:space="preserve">mutual </w:t>
      </w:r>
      <w:r w:rsidR="00E06525" w:rsidRPr="00F575A4">
        <w:rPr>
          <w:rFonts w:ascii="Verdana" w:eastAsiaTheme="minorHAnsi" w:hAnsi="Verdana" w:cs="Times New Roman"/>
          <w:color w:val="000000" w:themeColor="text1"/>
          <w:sz w:val="20"/>
          <w:szCs w:val="20"/>
          <w:lang w:val="en-US"/>
        </w:rPr>
        <w:t>fund administrators.</w:t>
      </w:r>
    </w:p>
    <w:p w14:paraId="2332196A" w14:textId="339A7A4C" w:rsidR="0030016D" w:rsidRPr="0030016D" w:rsidRDefault="0030016D" w:rsidP="0030016D">
      <w:pPr>
        <w:pStyle w:val="Heading2"/>
        <w:keepNext w:val="0"/>
        <w:keepLines w:val="0"/>
        <w:numPr>
          <w:ilvl w:val="0"/>
          <w:numId w:val="16"/>
        </w:numPr>
        <w:spacing w:before="240" w:after="60" w:line="276" w:lineRule="auto"/>
        <w:ind w:left="0" w:right="-6" w:firstLine="0"/>
        <w:jc w:val="both"/>
        <w:rPr>
          <w:rFonts w:ascii="Verdana" w:eastAsiaTheme="minorHAnsi" w:hAnsi="Verdana" w:cs="Times New Roman"/>
          <w:color w:val="000000" w:themeColor="text1"/>
          <w:sz w:val="20"/>
          <w:szCs w:val="20"/>
          <w:lang w:val="en-US"/>
        </w:rPr>
      </w:pPr>
      <w:r w:rsidRPr="0030016D">
        <w:rPr>
          <w:rFonts w:ascii="Verdana" w:eastAsiaTheme="minorHAnsi" w:hAnsi="Verdana" w:cs="Times New Roman"/>
          <w:color w:val="000000" w:themeColor="text1"/>
          <w:sz w:val="20"/>
          <w:szCs w:val="20"/>
          <w:lang w:val="en-US"/>
        </w:rPr>
        <w:t xml:space="preserve">Under the Cayman Islands Anti-Money Laundering Regulations, </w:t>
      </w:r>
      <w:r w:rsidR="00A6392E">
        <w:rPr>
          <w:rFonts w:ascii="Verdana" w:eastAsiaTheme="minorHAnsi" w:hAnsi="Verdana" w:cs="Times New Roman"/>
          <w:color w:val="000000" w:themeColor="text1"/>
          <w:sz w:val="20"/>
          <w:szCs w:val="20"/>
          <w:lang w:val="en-US"/>
        </w:rPr>
        <w:t>mutual fund administrators</w:t>
      </w:r>
      <w:r w:rsidR="001F2FA1">
        <w:rPr>
          <w:rFonts w:ascii="Verdana" w:eastAsiaTheme="minorHAnsi" w:hAnsi="Verdana" w:cs="Times New Roman"/>
          <w:color w:val="000000" w:themeColor="text1"/>
          <w:sz w:val="20"/>
          <w:szCs w:val="20"/>
          <w:lang w:val="en-US"/>
        </w:rPr>
        <w:t xml:space="preserve"> </w:t>
      </w:r>
      <w:r w:rsidRPr="0030016D">
        <w:rPr>
          <w:rFonts w:ascii="Verdana" w:eastAsiaTheme="minorHAnsi" w:hAnsi="Verdana" w:cs="Times New Roman"/>
          <w:color w:val="000000" w:themeColor="text1"/>
          <w:sz w:val="20"/>
          <w:szCs w:val="20"/>
          <w:lang w:val="en-US"/>
        </w:rPr>
        <w:t xml:space="preserve">are required to take steps to identify, assess, and understand their ML/TF risks in relation to customers, geographic areas, products, services and transactions, and delivery channels; and to align all aspects of their internal controls and procedures with their risk understanding, including customer due diligence procedures, transaction monitoring systems, and the independent audit function. This </w:t>
      </w:r>
      <w:r w:rsidR="00671C47">
        <w:rPr>
          <w:rFonts w:ascii="Verdana" w:eastAsiaTheme="minorHAnsi" w:hAnsi="Verdana" w:cs="Times New Roman"/>
          <w:color w:val="000000" w:themeColor="text1"/>
          <w:sz w:val="20"/>
          <w:szCs w:val="20"/>
          <w:lang w:val="en-US"/>
        </w:rPr>
        <w:t>sectoral</w:t>
      </w:r>
      <w:r w:rsidR="00671C47" w:rsidRPr="0030016D">
        <w:rPr>
          <w:rFonts w:ascii="Verdana" w:eastAsiaTheme="minorHAnsi" w:hAnsi="Verdana" w:cs="Times New Roman"/>
          <w:color w:val="000000" w:themeColor="text1"/>
          <w:sz w:val="20"/>
          <w:szCs w:val="20"/>
          <w:lang w:val="en-US"/>
        </w:rPr>
        <w:t xml:space="preserve"> </w:t>
      </w:r>
      <w:r w:rsidRPr="0030016D">
        <w:rPr>
          <w:rFonts w:ascii="Verdana" w:eastAsiaTheme="minorHAnsi" w:hAnsi="Verdana" w:cs="Times New Roman"/>
          <w:color w:val="000000" w:themeColor="text1"/>
          <w:sz w:val="20"/>
          <w:szCs w:val="20"/>
          <w:lang w:val="en-US"/>
        </w:rPr>
        <w:t xml:space="preserve">risk assessment is aimed to inform </w:t>
      </w:r>
      <w:r w:rsidR="00A6392E">
        <w:rPr>
          <w:rFonts w:ascii="Verdana" w:eastAsiaTheme="minorHAnsi" w:hAnsi="Verdana" w:cs="Times New Roman"/>
          <w:color w:val="000000" w:themeColor="text1"/>
          <w:sz w:val="20"/>
          <w:szCs w:val="20"/>
          <w:lang w:val="en-US"/>
        </w:rPr>
        <w:t xml:space="preserve">mutual fund administrators’ </w:t>
      </w:r>
      <w:r w:rsidRPr="0030016D">
        <w:rPr>
          <w:rFonts w:ascii="Verdana" w:eastAsiaTheme="minorHAnsi" w:hAnsi="Verdana" w:cs="Times New Roman"/>
          <w:color w:val="000000" w:themeColor="text1"/>
          <w:sz w:val="20"/>
          <w:szCs w:val="20"/>
          <w:lang w:val="en-US"/>
        </w:rPr>
        <w:t>efforts with regards to their business</w:t>
      </w:r>
      <w:r w:rsidR="005676C1">
        <w:rPr>
          <w:rFonts w:ascii="Verdana" w:eastAsiaTheme="minorHAnsi" w:hAnsi="Verdana" w:cs="Times New Roman"/>
          <w:color w:val="000000" w:themeColor="text1"/>
          <w:sz w:val="20"/>
          <w:szCs w:val="20"/>
          <w:lang w:val="en-US"/>
        </w:rPr>
        <w:t>-</w:t>
      </w:r>
      <w:r w:rsidRPr="0030016D">
        <w:rPr>
          <w:rFonts w:ascii="Verdana" w:eastAsiaTheme="minorHAnsi" w:hAnsi="Verdana" w:cs="Times New Roman"/>
          <w:color w:val="000000" w:themeColor="text1"/>
          <w:sz w:val="20"/>
          <w:szCs w:val="20"/>
          <w:lang w:val="en-US"/>
        </w:rPr>
        <w:t>wide risk assessment and the development of a risk-based approach to compliance with the Anti-Money Laundering Regulations</w:t>
      </w:r>
      <w:r w:rsidR="00BB7148">
        <w:rPr>
          <w:rFonts w:ascii="Verdana" w:eastAsiaTheme="minorHAnsi" w:hAnsi="Verdana" w:cs="Times New Roman"/>
          <w:color w:val="000000" w:themeColor="text1"/>
          <w:sz w:val="20"/>
          <w:szCs w:val="20"/>
          <w:lang w:val="en-US"/>
        </w:rPr>
        <w:t xml:space="preserve"> (</w:t>
      </w:r>
      <w:r w:rsidR="000E6B8F">
        <w:rPr>
          <w:rFonts w:ascii="Verdana" w:eastAsiaTheme="minorHAnsi" w:hAnsi="Verdana" w:cs="Times New Roman"/>
          <w:color w:val="000000" w:themeColor="text1"/>
          <w:sz w:val="20"/>
          <w:szCs w:val="20"/>
          <w:lang w:val="en-US"/>
        </w:rPr>
        <w:t xml:space="preserve">2020 </w:t>
      </w:r>
      <w:r w:rsidR="00BB7148">
        <w:rPr>
          <w:rFonts w:ascii="Verdana" w:eastAsiaTheme="minorHAnsi" w:hAnsi="Verdana" w:cs="Times New Roman"/>
          <w:color w:val="000000" w:themeColor="text1"/>
          <w:sz w:val="20"/>
          <w:szCs w:val="20"/>
          <w:lang w:val="en-US"/>
        </w:rPr>
        <w:t>Revision)</w:t>
      </w:r>
      <w:r w:rsidRPr="0030016D">
        <w:rPr>
          <w:rFonts w:ascii="Verdana" w:eastAsiaTheme="minorHAnsi" w:hAnsi="Verdana" w:cs="Times New Roman"/>
          <w:color w:val="000000" w:themeColor="text1"/>
          <w:sz w:val="20"/>
          <w:szCs w:val="20"/>
          <w:lang w:val="en-US"/>
        </w:rPr>
        <w:t xml:space="preserve">. </w:t>
      </w:r>
    </w:p>
    <w:p w14:paraId="5405BFAA" w14:textId="1ECF690F" w:rsidR="0030016D" w:rsidRPr="0030016D" w:rsidRDefault="0030016D" w:rsidP="0030016D">
      <w:pPr>
        <w:pStyle w:val="Heading2"/>
        <w:keepNext w:val="0"/>
        <w:keepLines w:val="0"/>
        <w:numPr>
          <w:ilvl w:val="0"/>
          <w:numId w:val="16"/>
        </w:numPr>
        <w:spacing w:before="240" w:after="60" w:line="276" w:lineRule="auto"/>
        <w:ind w:left="0" w:right="-6" w:firstLine="0"/>
        <w:jc w:val="both"/>
        <w:rPr>
          <w:rFonts w:ascii="Verdana" w:eastAsiaTheme="minorHAnsi" w:hAnsi="Verdana" w:cs="Times New Roman"/>
          <w:color w:val="000000" w:themeColor="text1"/>
          <w:sz w:val="20"/>
          <w:szCs w:val="20"/>
          <w:lang w:val="en-US"/>
        </w:rPr>
      </w:pPr>
      <w:r w:rsidRPr="0030016D">
        <w:rPr>
          <w:rFonts w:ascii="Verdana" w:eastAsiaTheme="minorHAnsi" w:hAnsi="Verdana" w:cs="Times New Roman"/>
          <w:color w:val="000000" w:themeColor="text1"/>
          <w:sz w:val="20"/>
          <w:szCs w:val="20"/>
          <w:lang w:val="en-US"/>
        </w:rPr>
        <w:t xml:space="preserve">Assessing the risks within each supervised sector also enables CIMA to efficiently allocate its resources. On a national level, the </w:t>
      </w:r>
      <w:r w:rsidR="00402457">
        <w:rPr>
          <w:rFonts w:ascii="Verdana" w:eastAsiaTheme="minorHAnsi" w:hAnsi="Verdana" w:cs="Times New Roman"/>
          <w:color w:val="000000" w:themeColor="text1"/>
          <w:sz w:val="20"/>
          <w:szCs w:val="20"/>
          <w:lang w:val="en-US"/>
        </w:rPr>
        <w:t>MFA</w:t>
      </w:r>
      <w:r w:rsidR="00402457" w:rsidRPr="0030016D">
        <w:rPr>
          <w:rFonts w:ascii="Verdana" w:eastAsiaTheme="minorHAnsi" w:hAnsi="Verdana" w:cs="Times New Roman"/>
          <w:color w:val="000000" w:themeColor="text1"/>
          <w:sz w:val="20"/>
          <w:szCs w:val="20"/>
          <w:lang w:val="en-US"/>
        </w:rPr>
        <w:t xml:space="preserve"> </w:t>
      </w:r>
      <w:r w:rsidRPr="0030016D">
        <w:rPr>
          <w:rFonts w:ascii="Verdana" w:eastAsiaTheme="minorHAnsi" w:hAnsi="Verdana" w:cs="Times New Roman"/>
          <w:color w:val="000000" w:themeColor="text1"/>
          <w:sz w:val="20"/>
          <w:szCs w:val="20"/>
          <w:lang w:val="en-US"/>
        </w:rPr>
        <w:t xml:space="preserve">Sector Risk Assessment will further enhance the Cayman Islands´ risk understanding and inform and assist policy making and supervision in the area of Anti-Money Laundering/Counter-Financing of Terrorism (“AML/CFT”). </w:t>
      </w:r>
    </w:p>
    <w:p w14:paraId="7B96B385" w14:textId="58DF25D9" w:rsidR="0030016D" w:rsidRPr="00BD01CC" w:rsidRDefault="0030016D" w:rsidP="0030016D">
      <w:pPr>
        <w:pStyle w:val="Heading2"/>
        <w:keepNext w:val="0"/>
        <w:keepLines w:val="0"/>
        <w:numPr>
          <w:ilvl w:val="0"/>
          <w:numId w:val="16"/>
        </w:numPr>
        <w:spacing w:before="240" w:after="60" w:line="276" w:lineRule="auto"/>
        <w:ind w:left="0" w:right="-6" w:firstLine="0"/>
        <w:jc w:val="both"/>
        <w:rPr>
          <w:rFonts w:ascii="Verdana" w:eastAsiaTheme="minorHAnsi" w:hAnsi="Verdana" w:cs="Times New Roman"/>
          <w:color w:val="000000" w:themeColor="text1"/>
          <w:sz w:val="20"/>
          <w:szCs w:val="20"/>
          <w:lang w:val="en-US"/>
        </w:rPr>
      </w:pPr>
      <w:r w:rsidRPr="0030016D">
        <w:rPr>
          <w:rFonts w:ascii="Verdana" w:eastAsiaTheme="minorHAnsi" w:hAnsi="Verdana" w:cs="Times New Roman"/>
          <w:color w:val="000000" w:themeColor="text1"/>
          <w:sz w:val="20"/>
          <w:szCs w:val="20"/>
          <w:lang w:val="en-US"/>
        </w:rPr>
        <w:t xml:space="preserve">In addition to the data sources utilized for the </w:t>
      </w:r>
      <w:r w:rsidR="00BD4D57" w:rsidRPr="00C77E37">
        <w:rPr>
          <w:rFonts w:ascii="Verdana" w:eastAsiaTheme="minorHAnsi" w:hAnsi="Verdana" w:cs="Times New Roman"/>
          <w:color w:val="000000" w:themeColor="text1"/>
          <w:sz w:val="20"/>
          <w:szCs w:val="20"/>
          <w:lang w:val="en-US"/>
        </w:rPr>
        <w:t>CIMA 2017 AML/CFT Sector Specific Risk Assessments</w:t>
      </w:r>
      <w:r w:rsidRPr="0030016D">
        <w:rPr>
          <w:rFonts w:ascii="Verdana" w:eastAsiaTheme="minorHAnsi" w:hAnsi="Verdana" w:cs="Times New Roman"/>
          <w:color w:val="000000" w:themeColor="text1"/>
          <w:sz w:val="20"/>
          <w:szCs w:val="20"/>
          <w:lang w:val="en-US"/>
        </w:rPr>
        <w:t xml:space="preserve">, </w:t>
      </w:r>
      <w:proofErr w:type="gramStart"/>
      <w:r w:rsidRPr="0030016D">
        <w:rPr>
          <w:rFonts w:ascii="Verdana" w:eastAsiaTheme="minorHAnsi" w:hAnsi="Verdana" w:cs="Times New Roman"/>
          <w:color w:val="000000" w:themeColor="text1"/>
          <w:sz w:val="20"/>
          <w:szCs w:val="20"/>
          <w:lang w:val="en-US"/>
        </w:rPr>
        <w:t>a number of</w:t>
      </w:r>
      <w:proofErr w:type="gramEnd"/>
      <w:r w:rsidRPr="0030016D">
        <w:rPr>
          <w:rFonts w:ascii="Verdana" w:eastAsiaTheme="minorHAnsi" w:hAnsi="Verdana" w:cs="Times New Roman"/>
          <w:color w:val="000000" w:themeColor="text1"/>
          <w:sz w:val="20"/>
          <w:szCs w:val="20"/>
          <w:lang w:val="en-US"/>
        </w:rPr>
        <w:t xml:space="preserve"> key data points have been analyzed and taken into account to further strengthen the quantitative </w:t>
      </w:r>
      <w:r w:rsidRPr="00BD01CC">
        <w:rPr>
          <w:rFonts w:ascii="Verdana" w:eastAsiaTheme="minorHAnsi" w:hAnsi="Verdana" w:cs="Times New Roman"/>
          <w:color w:val="000000" w:themeColor="text1"/>
          <w:sz w:val="20"/>
          <w:szCs w:val="20"/>
          <w:lang w:val="en-US"/>
        </w:rPr>
        <w:t xml:space="preserve">elements of this </w:t>
      </w:r>
      <w:r w:rsidR="00865E77">
        <w:rPr>
          <w:rFonts w:ascii="Verdana" w:eastAsiaTheme="minorHAnsi" w:hAnsi="Verdana" w:cs="Times New Roman"/>
          <w:color w:val="000000" w:themeColor="text1"/>
          <w:sz w:val="20"/>
          <w:szCs w:val="20"/>
          <w:lang w:val="en-US"/>
        </w:rPr>
        <w:t>MFA</w:t>
      </w:r>
      <w:r w:rsidR="00865E77" w:rsidRPr="00BD01CC">
        <w:rPr>
          <w:rFonts w:ascii="Verdana" w:eastAsiaTheme="minorHAnsi" w:hAnsi="Verdana" w:cs="Times New Roman"/>
          <w:color w:val="000000" w:themeColor="text1"/>
          <w:sz w:val="20"/>
          <w:szCs w:val="20"/>
          <w:lang w:val="en-US"/>
        </w:rPr>
        <w:t xml:space="preserve"> </w:t>
      </w:r>
      <w:r w:rsidRPr="00BD01CC">
        <w:rPr>
          <w:rFonts w:ascii="Verdana" w:eastAsiaTheme="minorHAnsi" w:hAnsi="Verdana" w:cs="Times New Roman"/>
          <w:color w:val="000000" w:themeColor="text1"/>
          <w:sz w:val="20"/>
          <w:szCs w:val="20"/>
          <w:lang w:val="en-US"/>
        </w:rPr>
        <w:t xml:space="preserve">Sector Risk Assessment: </w:t>
      </w:r>
    </w:p>
    <w:p w14:paraId="5F72028E" w14:textId="77777777" w:rsidR="0030016D" w:rsidRPr="00BD01CC" w:rsidRDefault="0030016D" w:rsidP="0030016D">
      <w:pPr>
        <w:pStyle w:val="Heading2"/>
        <w:keepNext w:val="0"/>
        <w:keepLines w:val="0"/>
        <w:numPr>
          <w:ilvl w:val="0"/>
          <w:numId w:val="17"/>
        </w:numPr>
        <w:spacing w:before="0" w:line="276" w:lineRule="auto"/>
        <w:ind w:left="714" w:right="-6" w:hanging="357"/>
        <w:jc w:val="both"/>
        <w:rPr>
          <w:rFonts w:ascii="Verdana" w:eastAsiaTheme="minorHAnsi" w:hAnsi="Verdana" w:cs="Times New Roman"/>
          <w:color w:val="000000" w:themeColor="text1"/>
          <w:sz w:val="20"/>
          <w:szCs w:val="20"/>
          <w:lang w:val="en-US"/>
        </w:rPr>
      </w:pPr>
      <w:r w:rsidRPr="00BD01CC">
        <w:rPr>
          <w:rFonts w:ascii="Verdana" w:eastAsiaTheme="minorHAnsi" w:hAnsi="Verdana" w:cs="Times New Roman"/>
          <w:color w:val="000000" w:themeColor="text1"/>
          <w:sz w:val="20"/>
          <w:szCs w:val="20"/>
          <w:lang w:val="en-US"/>
        </w:rPr>
        <w:t xml:space="preserve">The National Risk Assessment; </w:t>
      </w:r>
    </w:p>
    <w:p w14:paraId="33D8EA90" w14:textId="720E7E87" w:rsidR="0030016D" w:rsidRDefault="0030016D" w:rsidP="0030016D">
      <w:pPr>
        <w:pStyle w:val="Heading2"/>
        <w:keepNext w:val="0"/>
        <w:keepLines w:val="0"/>
        <w:numPr>
          <w:ilvl w:val="0"/>
          <w:numId w:val="17"/>
        </w:numPr>
        <w:spacing w:before="0" w:line="276" w:lineRule="auto"/>
        <w:ind w:left="714" w:right="-6" w:hanging="357"/>
        <w:jc w:val="both"/>
        <w:rPr>
          <w:rFonts w:ascii="Verdana" w:eastAsiaTheme="minorHAnsi" w:hAnsi="Verdana" w:cs="Times New Roman"/>
          <w:color w:val="000000" w:themeColor="text1"/>
          <w:sz w:val="20"/>
          <w:szCs w:val="20"/>
          <w:lang w:val="en-US"/>
        </w:rPr>
      </w:pPr>
      <w:r w:rsidRPr="00BD01CC">
        <w:rPr>
          <w:rFonts w:ascii="Verdana" w:eastAsiaTheme="minorHAnsi" w:hAnsi="Verdana" w:cs="Times New Roman"/>
          <w:color w:val="000000" w:themeColor="text1"/>
          <w:sz w:val="20"/>
          <w:szCs w:val="20"/>
          <w:lang w:val="en-US"/>
        </w:rPr>
        <w:t>International guidance documents</w:t>
      </w:r>
      <w:r w:rsidR="00AE21D4">
        <w:rPr>
          <w:rFonts w:ascii="Verdana" w:eastAsiaTheme="minorHAnsi" w:hAnsi="Verdana" w:cs="Times New Roman"/>
          <w:color w:val="000000" w:themeColor="text1"/>
          <w:sz w:val="20"/>
          <w:szCs w:val="20"/>
          <w:lang w:val="en-US"/>
        </w:rPr>
        <w:t xml:space="preserve"> </w:t>
      </w:r>
      <w:r w:rsidR="00AE21D4" w:rsidRPr="0030016D">
        <w:rPr>
          <w:rFonts w:ascii="Verdana" w:eastAsiaTheme="minorHAnsi" w:hAnsi="Verdana" w:cs="Times New Roman"/>
          <w:color w:val="000000" w:themeColor="text1"/>
          <w:sz w:val="20"/>
          <w:szCs w:val="20"/>
          <w:lang w:val="en-US"/>
        </w:rPr>
        <w:t xml:space="preserve">such as the </w:t>
      </w:r>
      <w:r w:rsidR="00AE21D4" w:rsidRPr="0030016D">
        <w:rPr>
          <w:rFonts w:ascii="Verdana" w:eastAsiaTheme="minorHAnsi" w:hAnsi="Verdana" w:cs="Times New Roman"/>
          <w:i/>
          <w:color w:val="000000" w:themeColor="text1"/>
          <w:sz w:val="20"/>
          <w:szCs w:val="20"/>
          <w:lang w:val="en-US"/>
        </w:rPr>
        <w:t xml:space="preserve">Guidance for a Risk-Based Approach for the </w:t>
      </w:r>
      <w:r w:rsidR="00AE21D4">
        <w:rPr>
          <w:rFonts w:ascii="Verdana" w:eastAsiaTheme="minorHAnsi" w:hAnsi="Verdana" w:cs="Times New Roman"/>
          <w:i/>
          <w:color w:val="000000" w:themeColor="text1"/>
          <w:sz w:val="20"/>
          <w:szCs w:val="20"/>
          <w:lang w:val="en-US"/>
        </w:rPr>
        <w:t>Securities</w:t>
      </w:r>
      <w:r w:rsidR="00AE21D4" w:rsidRPr="0030016D">
        <w:rPr>
          <w:rFonts w:ascii="Verdana" w:eastAsiaTheme="minorHAnsi" w:hAnsi="Verdana" w:cs="Times New Roman"/>
          <w:i/>
          <w:color w:val="000000" w:themeColor="text1"/>
          <w:sz w:val="20"/>
          <w:szCs w:val="20"/>
          <w:lang w:val="en-US"/>
        </w:rPr>
        <w:t xml:space="preserve"> Sector</w:t>
      </w:r>
      <w:r w:rsidR="00AE21D4" w:rsidRPr="0030016D">
        <w:rPr>
          <w:rFonts w:ascii="Verdana" w:eastAsiaTheme="minorHAnsi" w:hAnsi="Verdana" w:cs="Times New Roman"/>
          <w:color w:val="000000" w:themeColor="text1"/>
          <w:sz w:val="20"/>
          <w:szCs w:val="20"/>
          <w:lang w:val="en-US"/>
        </w:rPr>
        <w:t xml:space="preserve"> and the </w:t>
      </w:r>
      <w:r w:rsidR="00AE21D4" w:rsidRPr="0030016D">
        <w:rPr>
          <w:rFonts w:ascii="Verdana" w:eastAsiaTheme="minorHAnsi" w:hAnsi="Verdana" w:cs="Times New Roman"/>
          <w:i/>
          <w:color w:val="000000" w:themeColor="text1"/>
          <w:sz w:val="20"/>
          <w:szCs w:val="20"/>
          <w:lang w:val="en-US"/>
        </w:rPr>
        <w:t>National Money Laundering and Terrorist Financing Risk Assessment</w:t>
      </w:r>
      <w:r w:rsidR="00AE21D4">
        <w:rPr>
          <w:rStyle w:val="FootnoteReference"/>
          <w:rFonts w:ascii="Verdana" w:eastAsiaTheme="minorHAnsi" w:hAnsi="Verdana" w:cs="Times New Roman"/>
          <w:i/>
          <w:color w:val="000000" w:themeColor="text1"/>
          <w:sz w:val="20"/>
          <w:szCs w:val="20"/>
          <w:lang w:val="en-US"/>
        </w:rPr>
        <w:footnoteReference w:id="1"/>
      </w:r>
      <w:r w:rsidRPr="00BD01CC">
        <w:rPr>
          <w:rFonts w:ascii="Verdana" w:eastAsiaTheme="minorHAnsi" w:hAnsi="Verdana" w:cs="Times New Roman"/>
          <w:color w:val="000000" w:themeColor="text1"/>
          <w:sz w:val="20"/>
          <w:szCs w:val="20"/>
          <w:lang w:val="en-US"/>
        </w:rPr>
        <w:t xml:space="preserve">; </w:t>
      </w:r>
    </w:p>
    <w:p w14:paraId="41DE6432" w14:textId="11847BE1" w:rsidR="000E6B8F" w:rsidRPr="000E6B8F" w:rsidRDefault="000E6B8F" w:rsidP="000E6B8F">
      <w:pPr>
        <w:pStyle w:val="Heading2"/>
        <w:keepNext w:val="0"/>
        <w:keepLines w:val="0"/>
        <w:numPr>
          <w:ilvl w:val="0"/>
          <w:numId w:val="17"/>
        </w:numPr>
        <w:spacing w:before="0" w:line="276" w:lineRule="auto"/>
        <w:ind w:left="714" w:right="-6" w:hanging="357"/>
        <w:jc w:val="both"/>
        <w:rPr>
          <w:rFonts w:ascii="Verdana" w:eastAsiaTheme="minorHAnsi" w:hAnsi="Verdana" w:cs="Times New Roman"/>
          <w:color w:val="000000" w:themeColor="text1"/>
          <w:sz w:val="20"/>
          <w:szCs w:val="20"/>
          <w:lang w:val="en-US"/>
        </w:rPr>
      </w:pPr>
      <w:r w:rsidRPr="00125E84">
        <w:rPr>
          <w:rFonts w:ascii="Verdana" w:eastAsiaTheme="minorHAnsi" w:hAnsi="Verdana" w:cs="Times New Roman"/>
          <w:color w:val="000000" w:themeColor="text1"/>
          <w:sz w:val="20"/>
          <w:szCs w:val="20"/>
          <w:lang w:val="en-US"/>
        </w:rPr>
        <w:t xml:space="preserve">Annual AML/CFT reporting data from </w:t>
      </w:r>
      <w:r>
        <w:rPr>
          <w:rFonts w:ascii="Verdana" w:eastAsiaTheme="minorHAnsi" w:hAnsi="Verdana" w:cs="Times New Roman"/>
          <w:color w:val="000000" w:themeColor="text1"/>
          <w:sz w:val="20"/>
          <w:szCs w:val="20"/>
          <w:lang w:val="en-US"/>
        </w:rPr>
        <w:t>MFAs</w:t>
      </w:r>
      <w:r w:rsidRPr="00125E84">
        <w:rPr>
          <w:rFonts w:ascii="Verdana" w:eastAsiaTheme="minorHAnsi" w:hAnsi="Verdana" w:cs="Times New Roman"/>
          <w:color w:val="000000" w:themeColor="text1"/>
          <w:sz w:val="20"/>
          <w:szCs w:val="20"/>
          <w:lang w:val="en-US"/>
        </w:rPr>
        <w:t xml:space="preserve"> (more granular submissions)</w:t>
      </w:r>
    </w:p>
    <w:p w14:paraId="4BB23E5F" w14:textId="77777777" w:rsidR="0030016D" w:rsidRPr="00BD01CC" w:rsidRDefault="0030016D" w:rsidP="0030016D">
      <w:pPr>
        <w:pStyle w:val="Heading2"/>
        <w:keepNext w:val="0"/>
        <w:keepLines w:val="0"/>
        <w:numPr>
          <w:ilvl w:val="0"/>
          <w:numId w:val="17"/>
        </w:numPr>
        <w:spacing w:before="0" w:line="276" w:lineRule="auto"/>
        <w:ind w:left="714" w:right="-6" w:hanging="357"/>
        <w:jc w:val="both"/>
        <w:rPr>
          <w:rFonts w:ascii="Verdana" w:eastAsiaTheme="minorHAnsi" w:hAnsi="Verdana" w:cs="Times New Roman"/>
          <w:color w:val="000000" w:themeColor="text1"/>
          <w:sz w:val="20"/>
          <w:szCs w:val="20"/>
          <w:lang w:val="en-US"/>
        </w:rPr>
      </w:pPr>
      <w:r w:rsidRPr="00BD01CC">
        <w:rPr>
          <w:rFonts w:ascii="Verdana" w:eastAsiaTheme="minorHAnsi" w:hAnsi="Verdana" w:cs="Times New Roman"/>
          <w:color w:val="000000" w:themeColor="text1"/>
          <w:sz w:val="20"/>
          <w:szCs w:val="20"/>
          <w:lang w:val="en-US"/>
        </w:rPr>
        <w:t xml:space="preserve">Supervisory judgment and expertise by CIMA staff; </w:t>
      </w:r>
    </w:p>
    <w:p w14:paraId="100FAFC3" w14:textId="625B93B4" w:rsidR="0030016D" w:rsidRPr="00BD01CC" w:rsidRDefault="0030016D" w:rsidP="0030016D">
      <w:pPr>
        <w:pStyle w:val="Heading2"/>
        <w:keepNext w:val="0"/>
        <w:keepLines w:val="0"/>
        <w:numPr>
          <w:ilvl w:val="0"/>
          <w:numId w:val="17"/>
        </w:numPr>
        <w:spacing w:before="0" w:line="276" w:lineRule="auto"/>
        <w:ind w:left="714" w:right="-6" w:hanging="357"/>
        <w:jc w:val="both"/>
        <w:rPr>
          <w:rFonts w:ascii="Verdana" w:eastAsiaTheme="minorHAnsi" w:hAnsi="Verdana" w:cs="Times New Roman"/>
          <w:color w:val="000000" w:themeColor="text1"/>
          <w:sz w:val="20"/>
          <w:szCs w:val="20"/>
          <w:lang w:val="en-US"/>
        </w:rPr>
      </w:pPr>
      <w:r w:rsidRPr="00BD01CC">
        <w:rPr>
          <w:rFonts w:ascii="Verdana" w:eastAsiaTheme="minorHAnsi" w:hAnsi="Verdana" w:cs="Times New Roman"/>
          <w:color w:val="000000" w:themeColor="text1"/>
          <w:sz w:val="20"/>
          <w:szCs w:val="20"/>
          <w:lang w:val="en-US"/>
        </w:rPr>
        <w:t>Discussions with industry representatives and consultants</w:t>
      </w:r>
      <w:r w:rsidR="00BD01CC">
        <w:rPr>
          <w:rFonts w:ascii="Verdana" w:eastAsiaTheme="minorHAnsi" w:hAnsi="Verdana" w:cs="Times New Roman"/>
          <w:color w:val="000000" w:themeColor="text1"/>
          <w:sz w:val="20"/>
          <w:szCs w:val="20"/>
          <w:lang w:val="en-US"/>
        </w:rPr>
        <w:t xml:space="preserve">; and </w:t>
      </w:r>
      <w:r w:rsidRPr="00BD01CC">
        <w:rPr>
          <w:rFonts w:ascii="Verdana" w:eastAsiaTheme="minorHAnsi" w:hAnsi="Verdana" w:cs="Times New Roman"/>
          <w:color w:val="000000" w:themeColor="text1"/>
          <w:sz w:val="20"/>
          <w:szCs w:val="20"/>
          <w:lang w:val="en-US"/>
        </w:rPr>
        <w:t xml:space="preserve"> </w:t>
      </w:r>
    </w:p>
    <w:p w14:paraId="662D5A94" w14:textId="03BBC9FB" w:rsidR="00BD01CC" w:rsidRPr="00BD01CC" w:rsidRDefault="00BD01CC" w:rsidP="00BD01CC">
      <w:pPr>
        <w:pStyle w:val="ListParagraph"/>
        <w:numPr>
          <w:ilvl w:val="0"/>
          <w:numId w:val="17"/>
        </w:numPr>
        <w:rPr>
          <w:rFonts w:cstheme="minorHAnsi"/>
          <w:sz w:val="20"/>
          <w:szCs w:val="20"/>
        </w:rPr>
      </w:pPr>
      <w:r w:rsidRPr="00BD01CC">
        <w:rPr>
          <w:rFonts w:cstheme="minorHAnsi"/>
          <w:color w:val="000000" w:themeColor="text1"/>
          <w:sz w:val="20"/>
          <w:szCs w:val="20"/>
          <w:lang w:val="en-US"/>
        </w:rPr>
        <w:t>Various guidance documents issued by CIMA</w:t>
      </w:r>
      <w:r w:rsidR="00AE21D4">
        <w:rPr>
          <w:rStyle w:val="FootnoteReference"/>
          <w:rFonts w:cstheme="minorHAnsi"/>
          <w:color w:val="000000" w:themeColor="text1"/>
          <w:sz w:val="20"/>
          <w:szCs w:val="20"/>
          <w:lang w:val="en-US"/>
        </w:rPr>
        <w:footnoteReference w:id="2"/>
      </w:r>
      <w:r w:rsidRPr="00BD01CC">
        <w:rPr>
          <w:rFonts w:cstheme="minorHAnsi"/>
          <w:color w:val="000000" w:themeColor="text1"/>
          <w:sz w:val="20"/>
          <w:szCs w:val="20"/>
          <w:lang w:val="en-US"/>
        </w:rPr>
        <w:t>.</w:t>
      </w:r>
    </w:p>
    <w:p w14:paraId="44D678DF" w14:textId="77777777" w:rsidR="0030016D" w:rsidRPr="0030016D" w:rsidRDefault="0030016D" w:rsidP="0030016D">
      <w:pPr>
        <w:pStyle w:val="Heading2"/>
        <w:spacing w:before="0" w:line="276" w:lineRule="auto"/>
        <w:ind w:right="-6"/>
        <w:jc w:val="both"/>
        <w:rPr>
          <w:rFonts w:ascii="Verdana" w:eastAsiaTheme="minorHAnsi" w:hAnsi="Verdana" w:cs="Times New Roman"/>
          <w:color w:val="000000" w:themeColor="text1"/>
          <w:sz w:val="20"/>
          <w:szCs w:val="20"/>
          <w:lang w:val="en-US"/>
        </w:rPr>
      </w:pPr>
    </w:p>
    <w:p w14:paraId="5BE2B51C" w14:textId="232D6D2C" w:rsidR="0030016D" w:rsidRPr="00F959AA" w:rsidRDefault="0030016D" w:rsidP="00F959AA">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F959AA">
        <w:rPr>
          <w:rFonts w:ascii="Verdana" w:eastAsiaTheme="minorHAnsi" w:hAnsi="Verdana" w:cs="Times New Roman"/>
          <w:color w:val="000000" w:themeColor="text1"/>
          <w:sz w:val="20"/>
          <w:szCs w:val="20"/>
          <w:lang w:val="en-US"/>
        </w:rPr>
        <w:t xml:space="preserve">The </w:t>
      </w:r>
      <w:r w:rsidR="00B309BC">
        <w:rPr>
          <w:rFonts w:ascii="Verdana" w:eastAsiaTheme="minorHAnsi" w:hAnsi="Verdana" w:cs="Times New Roman"/>
          <w:color w:val="000000" w:themeColor="text1"/>
          <w:sz w:val="20"/>
          <w:szCs w:val="20"/>
          <w:lang w:val="en-US"/>
        </w:rPr>
        <w:t>MFA</w:t>
      </w:r>
      <w:r w:rsidR="00B309BC" w:rsidRPr="00F959AA">
        <w:rPr>
          <w:rFonts w:ascii="Verdana" w:eastAsiaTheme="minorHAnsi" w:hAnsi="Verdana" w:cs="Times New Roman"/>
          <w:color w:val="000000" w:themeColor="text1"/>
          <w:sz w:val="20"/>
          <w:szCs w:val="20"/>
          <w:lang w:val="en-US"/>
        </w:rPr>
        <w:t xml:space="preserve"> </w:t>
      </w:r>
      <w:r w:rsidRPr="00F959AA">
        <w:rPr>
          <w:rFonts w:ascii="Verdana" w:eastAsiaTheme="minorHAnsi" w:hAnsi="Verdana" w:cs="Times New Roman"/>
          <w:color w:val="000000" w:themeColor="text1"/>
          <w:sz w:val="20"/>
          <w:szCs w:val="20"/>
          <w:lang w:val="en-US"/>
        </w:rPr>
        <w:t xml:space="preserve">Sector Risk Assessment is not intended to cover risks that may be specific to the circumstances of individual </w:t>
      </w:r>
      <w:r w:rsidR="00F959AA">
        <w:rPr>
          <w:rFonts w:ascii="Verdana" w:eastAsiaTheme="minorHAnsi" w:hAnsi="Verdana" w:cs="Times New Roman"/>
          <w:color w:val="000000" w:themeColor="text1"/>
          <w:sz w:val="20"/>
          <w:szCs w:val="20"/>
          <w:lang w:val="en-US"/>
        </w:rPr>
        <w:t>mutual fund administrators</w:t>
      </w:r>
      <w:r w:rsidRPr="00F959AA">
        <w:rPr>
          <w:rFonts w:ascii="Verdana" w:eastAsiaTheme="minorHAnsi" w:hAnsi="Verdana" w:cs="Times New Roman"/>
          <w:color w:val="000000" w:themeColor="text1"/>
          <w:sz w:val="20"/>
          <w:szCs w:val="20"/>
          <w:lang w:val="en-US"/>
        </w:rPr>
        <w:t xml:space="preserve"> but evaluates risks from a sectoral perspective. The </w:t>
      </w:r>
      <w:r w:rsidR="00B309BC" w:rsidRPr="00125E84">
        <w:rPr>
          <w:rFonts w:ascii="Verdana" w:eastAsiaTheme="minorHAnsi" w:hAnsi="Verdana" w:cs="Times New Roman"/>
          <w:color w:val="000000" w:themeColor="text1"/>
          <w:sz w:val="20"/>
          <w:szCs w:val="20"/>
          <w:lang w:val="en-US"/>
        </w:rPr>
        <w:t>MFA</w:t>
      </w:r>
      <w:r w:rsidR="00F959AA" w:rsidRPr="00F959AA">
        <w:rPr>
          <w:rFonts w:ascii="Verdana" w:eastAsiaTheme="minorHAnsi" w:hAnsi="Verdana" w:cs="Times New Roman"/>
          <w:color w:val="000000" w:themeColor="text1"/>
          <w:sz w:val="20"/>
          <w:szCs w:val="20"/>
          <w:lang w:val="en-US"/>
        </w:rPr>
        <w:t xml:space="preserve"> </w:t>
      </w:r>
      <w:r w:rsidRPr="00F959AA">
        <w:rPr>
          <w:rFonts w:ascii="Verdana" w:eastAsiaTheme="minorHAnsi" w:hAnsi="Verdana" w:cs="Times New Roman"/>
          <w:color w:val="000000" w:themeColor="text1"/>
          <w:sz w:val="20"/>
          <w:szCs w:val="20"/>
          <w:lang w:val="en-US"/>
        </w:rPr>
        <w:t>Sector Risk Assessment also does not assess any types of risks other than those relating to ML or TF.</w:t>
      </w:r>
    </w:p>
    <w:p w14:paraId="5D1B53C1" w14:textId="7C68F052" w:rsidR="0030016D" w:rsidRPr="00F959AA" w:rsidRDefault="0030016D" w:rsidP="00F959AA">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2D01E206" w14:textId="77777777" w:rsidR="00F959AA" w:rsidRDefault="00F959AA" w:rsidP="00F959AA">
      <w:pPr>
        <w:jc w:val="both"/>
        <w:rPr>
          <w:rFonts w:ascii="Verdana" w:hAnsi="Verdana"/>
          <w:b/>
        </w:rPr>
      </w:pPr>
    </w:p>
    <w:p w14:paraId="6B362088" w14:textId="3B364BAC" w:rsidR="00F959AA" w:rsidRDefault="00F959AA" w:rsidP="00F959AA">
      <w:pPr>
        <w:jc w:val="both"/>
        <w:rPr>
          <w:rFonts w:ascii="Verdana" w:hAnsi="Verdana"/>
          <w:b/>
        </w:rPr>
      </w:pPr>
      <w:r w:rsidRPr="00F959AA">
        <w:rPr>
          <w:rFonts w:ascii="Verdana" w:hAnsi="Verdana"/>
          <w:b/>
        </w:rPr>
        <w:t>Risk Assessment Methodology</w:t>
      </w:r>
    </w:p>
    <w:p w14:paraId="14E54936" w14:textId="77777777" w:rsidR="00F959AA" w:rsidRPr="00F959AA" w:rsidRDefault="00F959AA" w:rsidP="00F959AA">
      <w:pPr>
        <w:jc w:val="both"/>
        <w:rPr>
          <w:rFonts w:ascii="Verdana" w:hAnsi="Verdana"/>
          <w:b/>
        </w:rPr>
      </w:pPr>
    </w:p>
    <w:p w14:paraId="411089F6" w14:textId="7997A3C3" w:rsidR="00AD013C" w:rsidRDefault="00F959AA" w:rsidP="00F959AA">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F959AA">
        <w:rPr>
          <w:rFonts w:ascii="Verdana" w:eastAsiaTheme="minorHAnsi" w:hAnsi="Verdana" w:cs="Times New Roman"/>
          <w:color w:val="000000" w:themeColor="text1"/>
          <w:sz w:val="20"/>
          <w:szCs w:val="20"/>
          <w:lang w:val="en-US"/>
        </w:rPr>
        <w:t xml:space="preserve">The </w:t>
      </w:r>
      <w:r w:rsidR="00B309BC" w:rsidRPr="00125E84">
        <w:rPr>
          <w:rFonts w:ascii="Verdana" w:eastAsiaTheme="minorHAnsi" w:hAnsi="Verdana" w:cs="Times New Roman"/>
          <w:color w:val="000000" w:themeColor="text1"/>
          <w:sz w:val="20"/>
          <w:szCs w:val="20"/>
          <w:lang w:val="en-US"/>
        </w:rPr>
        <w:t>MFA</w:t>
      </w:r>
      <w:r w:rsidRPr="00F959AA">
        <w:rPr>
          <w:rFonts w:ascii="Verdana" w:eastAsiaTheme="minorHAnsi" w:hAnsi="Verdana" w:cs="Times New Roman"/>
          <w:color w:val="000000" w:themeColor="text1"/>
          <w:sz w:val="20"/>
          <w:szCs w:val="20"/>
          <w:lang w:val="en-US"/>
        </w:rPr>
        <w:t xml:space="preserve"> Sector Risk Assessment examines the inherent ML/TF risks that </w:t>
      </w:r>
      <w:r w:rsidR="003B46FB">
        <w:rPr>
          <w:rFonts w:ascii="Verdana" w:eastAsiaTheme="minorHAnsi" w:hAnsi="Verdana" w:cs="Times New Roman"/>
          <w:color w:val="000000" w:themeColor="text1"/>
          <w:sz w:val="20"/>
          <w:szCs w:val="20"/>
          <w:lang w:val="en-US"/>
        </w:rPr>
        <w:t xml:space="preserve">licensed </w:t>
      </w:r>
      <w:r w:rsidR="00A6392E">
        <w:rPr>
          <w:rFonts w:ascii="Verdana" w:eastAsiaTheme="minorHAnsi" w:hAnsi="Verdana" w:cs="Times New Roman"/>
          <w:color w:val="000000" w:themeColor="text1"/>
          <w:sz w:val="20"/>
          <w:szCs w:val="20"/>
          <w:lang w:val="en-US"/>
        </w:rPr>
        <w:t>mutual fund administrators</w:t>
      </w:r>
      <w:r w:rsidRPr="00F959AA">
        <w:rPr>
          <w:rFonts w:ascii="Verdana" w:eastAsiaTheme="minorHAnsi" w:hAnsi="Verdana" w:cs="Times New Roman"/>
          <w:color w:val="000000" w:themeColor="text1"/>
          <w:sz w:val="20"/>
          <w:szCs w:val="20"/>
          <w:lang w:val="en-US"/>
        </w:rPr>
        <w:t xml:space="preserve"> face. </w:t>
      </w:r>
      <w:r w:rsidR="00BD01CC" w:rsidRPr="00892CA6">
        <w:rPr>
          <w:rFonts w:ascii="Verdana" w:eastAsiaTheme="minorHAnsi" w:hAnsi="Verdana" w:cstheme="minorHAnsi"/>
          <w:color w:val="000000" w:themeColor="text1"/>
          <w:sz w:val="20"/>
          <w:szCs w:val="20"/>
          <w:lang w:val="en-US"/>
        </w:rPr>
        <w:t xml:space="preserve">Inherent risk is the risk that a </w:t>
      </w:r>
      <w:proofErr w:type="gramStart"/>
      <w:r w:rsidR="00BD01CC" w:rsidRPr="00892CA6">
        <w:rPr>
          <w:rFonts w:ascii="Verdana" w:eastAsiaTheme="minorHAnsi" w:hAnsi="Verdana" w:cstheme="minorHAnsi"/>
          <w:color w:val="000000" w:themeColor="text1"/>
          <w:sz w:val="20"/>
          <w:szCs w:val="20"/>
          <w:lang w:val="en-US"/>
        </w:rPr>
        <w:t>particular product/service</w:t>
      </w:r>
      <w:proofErr w:type="gramEnd"/>
      <w:r w:rsidR="00BD01CC" w:rsidRPr="00892CA6">
        <w:rPr>
          <w:rFonts w:ascii="Verdana" w:eastAsiaTheme="minorHAnsi" w:hAnsi="Verdana" w:cstheme="minorHAnsi"/>
          <w:color w:val="000000" w:themeColor="text1"/>
          <w:sz w:val="20"/>
          <w:szCs w:val="20"/>
          <w:lang w:val="en-US"/>
        </w:rPr>
        <w:t xml:space="preserve">, customer, delivery channel or activity poses, regardless of the entity that offers it and </w:t>
      </w:r>
      <w:r w:rsidR="00BD01CC">
        <w:rPr>
          <w:rFonts w:ascii="Verdana" w:eastAsiaTheme="minorHAnsi" w:hAnsi="Verdana" w:cstheme="minorHAnsi"/>
          <w:color w:val="000000" w:themeColor="text1"/>
          <w:sz w:val="20"/>
          <w:szCs w:val="20"/>
          <w:lang w:val="en-US"/>
        </w:rPr>
        <w:t xml:space="preserve">does </w:t>
      </w:r>
      <w:r w:rsidR="00BD01CC" w:rsidRPr="00892CA6">
        <w:rPr>
          <w:rFonts w:ascii="Verdana" w:eastAsiaTheme="minorHAnsi" w:hAnsi="Verdana" w:cstheme="minorHAnsi"/>
          <w:color w:val="000000" w:themeColor="text1"/>
          <w:sz w:val="20"/>
          <w:szCs w:val="20"/>
          <w:lang w:val="en-US"/>
        </w:rPr>
        <w:t>not consider any risk mitigating controls that may be in place</w:t>
      </w:r>
      <w:r w:rsidR="00BD01CC">
        <w:rPr>
          <w:rFonts w:ascii="Verdana" w:eastAsiaTheme="minorHAnsi" w:hAnsi="Verdana" w:cstheme="minorHAnsi"/>
          <w:color w:val="000000" w:themeColor="text1"/>
          <w:sz w:val="20"/>
          <w:szCs w:val="20"/>
          <w:lang w:val="en-US"/>
        </w:rPr>
        <w:t>.</w:t>
      </w:r>
      <w:r w:rsidRPr="00F959AA">
        <w:rPr>
          <w:rFonts w:ascii="Verdana" w:eastAsiaTheme="minorHAnsi" w:hAnsi="Verdana" w:cs="Times New Roman"/>
          <w:color w:val="000000" w:themeColor="text1"/>
          <w:sz w:val="20"/>
          <w:szCs w:val="20"/>
          <w:lang w:val="en-US"/>
        </w:rPr>
        <w:t xml:space="preserve"> </w:t>
      </w:r>
    </w:p>
    <w:p w14:paraId="5EAC99AF" w14:textId="77777777" w:rsidR="00AD013C" w:rsidRDefault="00AD013C" w:rsidP="00AD013C">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72547B94" w14:textId="0CCA67DB" w:rsidR="00F959AA" w:rsidRDefault="00F959AA" w:rsidP="00C54FEF">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D01CC">
        <w:rPr>
          <w:rFonts w:ascii="Verdana" w:eastAsiaTheme="minorHAnsi" w:hAnsi="Verdana" w:cs="Times New Roman"/>
          <w:color w:val="000000" w:themeColor="text1"/>
          <w:sz w:val="20"/>
          <w:szCs w:val="20"/>
          <w:lang w:val="en-US"/>
        </w:rPr>
        <w:t xml:space="preserve">This approach allows for the creation of peer groups and for the benchmarking of expected controls. The actual controls in place will vary significantly for each mutual fund administrator and are expected to be commensurate with the inherent risk that each mutual fund administrator faces. </w:t>
      </w:r>
    </w:p>
    <w:p w14:paraId="4BFF0277" w14:textId="77777777" w:rsidR="005E4BB0" w:rsidRPr="005E4BB0" w:rsidRDefault="005E4BB0" w:rsidP="005E4BB0">
      <w:pPr>
        <w:rPr>
          <w:rFonts w:eastAsiaTheme="minorHAnsi"/>
          <w:lang w:val="en-US"/>
        </w:rPr>
      </w:pPr>
    </w:p>
    <w:p w14:paraId="693A83EC" w14:textId="77777777" w:rsidR="00F959AA" w:rsidRPr="00F959AA" w:rsidRDefault="00F959AA" w:rsidP="00F959AA">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F959AA">
        <w:rPr>
          <w:rFonts w:ascii="Verdana" w:eastAsiaTheme="minorHAnsi" w:hAnsi="Verdana" w:cs="Times New Roman"/>
          <w:color w:val="000000" w:themeColor="text1"/>
          <w:sz w:val="20"/>
          <w:szCs w:val="20"/>
          <w:lang w:val="en-US"/>
        </w:rPr>
        <w:t>Risk factors in the following categories are considered for purposes of this ML/TF risk assessment: </w:t>
      </w:r>
    </w:p>
    <w:p w14:paraId="04E3ECA0" w14:textId="52A5A27E" w:rsidR="00F959AA" w:rsidRPr="00F959AA" w:rsidRDefault="00F959AA" w:rsidP="00F959AA">
      <w:pPr>
        <w:pStyle w:val="Heading2"/>
        <w:keepNext w:val="0"/>
        <w:keepLines w:val="0"/>
        <w:numPr>
          <w:ilvl w:val="1"/>
          <w:numId w:val="18"/>
        </w:numPr>
        <w:spacing w:before="0" w:line="276" w:lineRule="auto"/>
        <w:ind w:right="-6"/>
        <w:jc w:val="both"/>
        <w:rPr>
          <w:rFonts w:ascii="Verdana" w:eastAsiaTheme="minorHAnsi" w:hAnsi="Verdana" w:cs="Times New Roman"/>
          <w:color w:val="000000" w:themeColor="text1"/>
          <w:sz w:val="20"/>
          <w:szCs w:val="20"/>
          <w:lang w:val="en-US"/>
        </w:rPr>
      </w:pPr>
      <w:r w:rsidRPr="00F959AA">
        <w:rPr>
          <w:rFonts w:ascii="Verdana" w:eastAsiaTheme="minorHAnsi" w:hAnsi="Verdana" w:cs="Times New Roman"/>
          <w:color w:val="000000" w:themeColor="text1"/>
          <w:sz w:val="20"/>
          <w:szCs w:val="20"/>
          <w:lang w:val="en-US"/>
        </w:rPr>
        <w:t>Nature</w:t>
      </w:r>
      <w:r w:rsidR="00BD01CC">
        <w:rPr>
          <w:rFonts w:ascii="Verdana" w:eastAsiaTheme="minorHAnsi" w:hAnsi="Verdana" w:cs="Times New Roman"/>
          <w:color w:val="000000" w:themeColor="text1"/>
          <w:sz w:val="20"/>
          <w:szCs w:val="20"/>
          <w:lang w:val="en-US"/>
        </w:rPr>
        <w:t xml:space="preserve"> </w:t>
      </w:r>
      <w:r w:rsidRPr="00F959AA">
        <w:rPr>
          <w:rFonts w:ascii="Verdana" w:eastAsiaTheme="minorHAnsi" w:hAnsi="Verdana" w:cs="Times New Roman"/>
          <w:color w:val="000000" w:themeColor="text1"/>
          <w:sz w:val="20"/>
          <w:szCs w:val="20"/>
          <w:lang w:val="en-US"/>
        </w:rPr>
        <w:t>size</w:t>
      </w:r>
      <w:r w:rsidR="00BD01CC">
        <w:rPr>
          <w:rFonts w:ascii="Verdana" w:eastAsiaTheme="minorHAnsi" w:hAnsi="Verdana" w:cs="Times New Roman"/>
          <w:color w:val="000000" w:themeColor="text1"/>
          <w:sz w:val="20"/>
          <w:szCs w:val="20"/>
          <w:lang w:val="en-US"/>
        </w:rPr>
        <w:t xml:space="preserve"> and complexity</w:t>
      </w:r>
      <w:r w:rsidRPr="00F959AA">
        <w:rPr>
          <w:rFonts w:ascii="Verdana" w:eastAsiaTheme="minorHAnsi" w:hAnsi="Verdana" w:cs="Times New Roman"/>
          <w:color w:val="000000" w:themeColor="text1"/>
          <w:sz w:val="20"/>
          <w:szCs w:val="20"/>
          <w:lang w:val="en-US"/>
        </w:rPr>
        <w:t xml:space="preserve"> of the sector</w:t>
      </w:r>
      <w:r w:rsidR="00BD01CC">
        <w:rPr>
          <w:rFonts w:ascii="Verdana" w:eastAsiaTheme="minorHAnsi" w:hAnsi="Verdana" w:cs="Times New Roman"/>
          <w:color w:val="000000" w:themeColor="text1"/>
          <w:sz w:val="20"/>
          <w:szCs w:val="20"/>
          <w:lang w:val="en-US"/>
        </w:rPr>
        <w:t>, including geographic factors;</w:t>
      </w:r>
    </w:p>
    <w:p w14:paraId="36F95B37" w14:textId="3757922B" w:rsidR="00F959AA" w:rsidRPr="00F959AA" w:rsidRDefault="00F959AA" w:rsidP="00F959AA">
      <w:pPr>
        <w:pStyle w:val="Heading2"/>
        <w:keepNext w:val="0"/>
        <w:keepLines w:val="0"/>
        <w:numPr>
          <w:ilvl w:val="1"/>
          <w:numId w:val="18"/>
        </w:numPr>
        <w:spacing w:before="0" w:line="276" w:lineRule="auto"/>
        <w:ind w:right="-6"/>
        <w:jc w:val="both"/>
        <w:rPr>
          <w:rFonts w:ascii="Verdana" w:eastAsiaTheme="minorHAnsi" w:hAnsi="Verdana" w:cs="Times New Roman"/>
          <w:color w:val="000000" w:themeColor="text1"/>
          <w:sz w:val="20"/>
          <w:szCs w:val="20"/>
          <w:lang w:val="en-US"/>
        </w:rPr>
      </w:pPr>
      <w:r w:rsidRPr="00F959AA">
        <w:rPr>
          <w:rFonts w:ascii="Verdana" w:eastAsiaTheme="minorHAnsi" w:hAnsi="Verdana" w:cs="Times New Roman"/>
          <w:color w:val="000000" w:themeColor="text1"/>
          <w:sz w:val="20"/>
          <w:szCs w:val="20"/>
          <w:lang w:val="en-US"/>
        </w:rPr>
        <w:t>Types of customers</w:t>
      </w:r>
      <w:r w:rsidR="00BD01CC">
        <w:rPr>
          <w:rFonts w:ascii="Verdana" w:eastAsiaTheme="minorHAnsi" w:hAnsi="Verdana" w:cs="Times New Roman"/>
          <w:color w:val="000000" w:themeColor="text1"/>
          <w:sz w:val="20"/>
          <w:szCs w:val="20"/>
          <w:lang w:val="en-US"/>
        </w:rPr>
        <w:t>;</w:t>
      </w:r>
    </w:p>
    <w:p w14:paraId="172D2373" w14:textId="358F3FA8" w:rsidR="00F959AA" w:rsidRPr="00F959AA" w:rsidRDefault="00F959AA" w:rsidP="00F959AA">
      <w:pPr>
        <w:pStyle w:val="Heading2"/>
        <w:keepNext w:val="0"/>
        <w:keepLines w:val="0"/>
        <w:numPr>
          <w:ilvl w:val="1"/>
          <w:numId w:val="18"/>
        </w:numPr>
        <w:spacing w:before="0" w:line="276" w:lineRule="auto"/>
        <w:ind w:right="-6"/>
        <w:jc w:val="both"/>
        <w:rPr>
          <w:rFonts w:ascii="Verdana" w:eastAsiaTheme="minorHAnsi" w:hAnsi="Verdana" w:cs="Times New Roman"/>
          <w:color w:val="000000" w:themeColor="text1"/>
          <w:sz w:val="20"/>
          <w:szCs w:val="20"/>
          <w:lang w:val="en-US"/>
        </w:rPr>
      </w:pPr>
      <w:r w:rsidRPr="00F959AA">
        <w:rPr>
          <w:rFonts w:ascii="Verdana" w:eastAsiaTheme="minorHAnsi" w:hAnsi="Verdana" w:cs="Times New Roman"/>
          <w:color w:val="000000" w:themeColor="text1"/>
          <w:sz w:val="20"/>
          <w:szCs w:val="20"/>
          <w:lang w:val="en-US"/>
        </w:rPr>
        <w:t>Transactions, products and services</w:t>
      </w:r>
      <w:r w:rsidR="00BD01CC">
        <w:rPr>
          <w:rFonts w:ascii="Verdana" w:eastAsiaTheme="minorHAnsi" w:hAnsi="Verdana" w:cs="Times New Roman"/>
          <w:color w:val="000000" w:themeColor="text1"/>
          <w:sz w:val="20"/>
          <w:szCs w:val="20"/>
          <w:lang w:val="en-US"/>
        </w:rPr>
        <w:t>; and</w:t>
      </w:r>
    </w:p>
    <w:p w14:paraId="39B5BDC8" w14:textId="5389E72C" w:rsidR="00F959AA" w:rsidRPr="00F959AA" w:rsidRDefault="00F959AA" w:rsidP="00F959AA">
      <w:pPr>
        <w:pStyle w:val="Heading2"/>
        <w:keepNext w:val="0"/>
        <w:keepLines w:val="0"/>
        <w:numPr>
          <w:ilvl w:val="1"/>
          <w:numId w:val="18"/>
        </w:numPr>
        <w:spacing w:before="0" w:line="276" w:lineRule="auto"/>
        <w:ind w:right="-6"/>
        <w:jc w:val="both"/>
        <w:rPr>
          <w:rFonts w:ascii="Verdana" w:eastAsiaTheme="minorHAnsi" w:hAnsi="Verdana" w:cs="Times New Roman"/>
          <w:color w:val="000000" w:themeColor="text1"/>
          <w:sz w:val="20"/>
          <w:szCs w:val="20"/>
          <w:lang w:val="en-US"/>
        </w:rPr>
      </w:pPr>
      <w:r w:rsidRPr="00F959AA">
        <w:rPr>
          <w:rFonts w:ascii="Verdana" w:eastAsiaTheme="minorHAnsi" w:hAnsi="Verdana" w:cs="Times New Roman"/>
          <w:color w:val="000000" w:themeColor="text1"/>
          <w:sz w:val="20"/>
          <w:szCs w:val="20"/>
          <w:lang w:val="en-US"/>
        </w:rPr>
        <w:t>Delivery channels</w:t>
      </w:r>
      <w:r w:rsidR="00BD01CC">
        <w:rPr>
          <w:rFonts w:ascii="Verdana" w:eastAsiaTheme="minorHAnsi" w:hAnsi="Verdana" w:cs="Times New Roman"/>
          <w:color w:val="000000" w:themeColor="text1"/>
          <w:sz w:val="20"/>
          <w:szCs w:val="20"/>
          <w:lang w:val="en-US"/>
        </w:rPr>
        <w:t>.</w:t>
      </w:r>
    </w:p>
    <w:p w14:paraId="0C3E74AE" w14:textId="77777777" w:rsidR="00F959AA" w:rsidRPr="00F959AA" w:rsidRDefault="00F959AA" w:rsidP="00F959AA">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7FC9A289" w14:textId="77777777" w:rsidR="00F959AA" w:rsidRPr="00F959AA" w:rsidRDefault="00F959AA" w:rsidP="00F959AA">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F959AA">
        <w:rPr>
          <w:rFonts w:ascii="Verdana" w:eastAsiaTheme="minorHAnsi" w:hAnsi="Verdana" w:cs="Times New Roman"/>
          <w:color w:val="000000" w:themeColor="text1"/>
          <w:sz w:val="20"/>
          <w:szCs w:val="20"/>
          <w:lang w:val="en-US"/>
        </w:rPr>
        <w:t xml:space="preserve">For each of the listed risk categories, risk increasing and decreasing factors are listed in the below table and help guide the assessment of inherent ML/TF risks. </w:t>
      </w:r>
    </w:p>
    <w:p w14:paraId="6531D1B1" w14:textId="77777777" w:rsidR="006918C9" w:rsidRPr="000D2943" w:rsidRDefault="006918C9" w:rsidP="006918C9"/>
    <w:tbl>
      <w:tblPr>
        <w:tblStyle w:val="TableGrid"/>
        <w:tblW w:w="9918" w:type="dxa"/>
        <w:tblLook w:val="04A0" w:firstRow="1" w:lastRow="0" w:firstColumn="1" w:lastColumn="0" w:noHBand="0" w:noVBand="1"/>
      </w:tblPr>
      <w:tblGrid>
        <w:gridCol w:w="2830"/>
        <w:gridCol w:w="3828"/>
        <w:gridCol w:w="3260"/>
      </w:tblGrid>
      <w:tr w:rsidR="006918C9" w:rsidRPr="0075692B" w14:paraId="6EA71569" w14:textId="77777777" w:rsidTr="0075692B">
        <w:tc>
          <w:tcPr>
            <w:tcW w:w="2830" w:type="dxa"/>
          </w:tcPr>
          <w:p w14:paraId="465B54F7" w14:textId="4AF48F71" w:rsidR="006918C9" w:rsidRPr="0075692B" w:rsidRDefault="0075692B" w:rsidP="000D2943">
            <w:pPr>
              <w:rPr>
                <w:rFonts w:ascii="Verdana" w:hAnsi="Verdana"/>
                <w:b/>
                <w:sz w:val="18"/>
                <w:szCs w:val="18"/>
              </w:rPr>
            </w:pPr>
            <w:r w:rsidRPr="0075692B">
              <w:rPr>
                <w:rFonts w:ascii="Verdana" w:hAnsi="Verdana"/>
                <w:b/>
                <w:sz w:val="18"/>
                <w:szCs w:val="18"/>
              </w:rPr>
              <w:t>Risk factor</w:t>
            </w:r>
          </w:p>
        </w:tc>
        <w:tc>
          <w:tcPr>
            <w:tcW w:w="3828" w:type="dxa"/>
          </w:tcPr>
          <w:p w14:paraId="38D76252" w14:textId="68F4A9FA" w:rsidR="006918C9" w:rsidRPr="0075692B" w:rsidRDefault="00AD013C" w:rsidP="000D2943">
            <w:pPr>
              <w:rPr>
                <w:rFonts w:ascii="Verdana" w:hAnsi="Verdana"/>
                <w:b/>
                <w:sz w:val="18"/>
                <w:szCs w:val="18"/>
              </w:rPr>
            </w:pPr>
            <w:r>
              <w:rPr>
                <w:rFonts w:ascii="Verdana" w:hAnsi="Verdana"/>
                <w:b/>
                <w:sz w:val="18"/>
                <w:szCs w:val="18"/>
              </w:rPr>
              <w:t xml:space="preserve">Higher </w:t>
            </w:r>
            <w:r w:rsidR="0075692B" w:rsidRPr="0075692B">
              <w:rPr>
                <w:rFonts w:ascii="Verdana" w:hAnsi="Verdana"/>
                <w:b/>
                <w:sz w:val="18"/>
                <w:szCs w:val="18"/>
              </w:rPr>
              <w:t>Risk</w:t>
            </w:r>
            <w:r w:rsidR="006918C9" w:rsidRPr="0075692B">
              <w:rPr>
                <w:rFonts w:ascii="Verdana" w:hAnsi="Verdana"/>
                <w:b/>
                <w:sz w:val="18"/>
                <w:szCs w:val="18"/>
              </w:rPr>
              <w:t xml:space="preserve"> </w:t>
            </w:r>
          </w:p>
        </w:tc>
        <w:tc>
          <w:tcPr>
            <w:tcW w:w="3260" w:type="dxa"/>
          </w:tcPr>
          <w:p w14:paraId="39E3AE6B" w14:textId="352EBF74" w:rsidR="006918C9" w:rsidRPr="0075692B" w:rsidRDefault="00AD013C" w:rsidP="000D2943">
            <w:pPr>
              <w:rPr>
                <w:rFonts w:ascii="Verdana" w:hAnsi="Verdana"/>
                <w:b/>
                <w:sz w:val="18"/>
                <w:szCs w:val="18"/>
              </w:rPr>
            </w:pPr>
            <w:r>
              <w:rPr>
                <w:rFonts w:ascii="Verdana" w:hAnsi="Verdana"/>
                <w:b/>
                <w:sz w:val="18"/>
                <w:szCs w:val="18"/>
              </w:rPr>
              <w:t xml:space="preserve">Lower </w:t>
            </w:r>
            <w:r w:rsidR="0075692B" w:rsidRPr="0075692B">
              <w:rPr>
                <w:rFonts w:ascii="Verdana" w:hAnsi="Verdana"/>
                <w:b/>
                <w:sz w:val="18"/>
                <w:szCs w:val="18"/>
              </w:rPr>
              <w:t>Risk</w:t>
            </w:r>
            <w:r w:rsidR="006918C9" w:rsidRPr="0075692B">
              <w:rPr>
                <w:rFonts w:ascii="Verdana" w:hAnsi="Verdana"/>
                <w:b/>
                <w:sz w:val="18"/>
                <w:szCs w:val="18"/>
              </w:rPr>
              <w:t xml:space="preserve"> </w:t>
            </w:r>
          </w:p>
        </w:tc>
      </w:tr>
      <w:tr w:rsidR="006918C9" w:rsidRPr="0075692B" w14:paraId="190A271C" w14:textId="77777777" w:rsidTr="0075692B">
        <w:tc>
          <w:tcPr>
            <w:tcW w:w="2830" w:type="dxa"/>
          </w:tcPr>
          <w:p w14:paraId="1AED557B" w14:textId="77777777" w:rsidR="006918C9" w:rsidRPr="0075692B" w:rsidRDefault="006918C9" w:rsidP="000D2943">
            <w:pPr>
              <w:rPr>
                <w:rFonts w:ascii="Verdana" w:hAnsi="Verdana"/>
                <w:sz w:val="18"/>
                <w:szCs w:val="18"/>
              </w:rPr>
            </w:pPr>
            <w:r w:rsidRPr="0075692B">
              <w:rPr>
                <w:rFonts w:ascii="Verdana" w:hAnsi="Verdana"/>
                <w:sz w:val="18"/>
                <w:szCs w:val="18"/>
              </w:rPr>
              <w:t>Nature, size, complexity of business</w:t>
            </w:r>
          </w:p>
        </w:tc>
        <w:tc>
          <w:tcPr>
            <w:tcW w:w="3828" w:type="dxa"/>
          </w:tcPr>
          <w:p w14:paraId="2E82C27F" w14:textId="49726BD9" w:rsidR="00650454" w:rsidRPr="00125E84" w:rsidRDefault="00650454" w:rsidP="00125E84">
            <w:pPr>
              <w:pStyle w:val="ListParagraph"/>
              <w:numPr>
                <w:ilvl w:val="0"/>
                <w:numId w:val="22"/>
              </w:numPr>
              <w:rPr>
                <w:sz w:val="18"/>
                <w:szCs w:val="18"/>
              </w:rPr>
            </w:pPr>
            <w:r w:rsidRPr="00125E84">
              <w:rPr>
                <w:sz w:val="18"/>
                <w:szCs w:val="18"/>
              </w:rPr>
              <w:t xml:space="preserve">High value of assets under </w:t>
            </w:r>
            <w:r w:rsidR="00A6392E" w:rsidRPr="00125E84">
              <w:rPr>
                <w:sz w:val="18"/>
                <w:szCs w:val="18"/>
              </w:rPr>
              <w:t>administration</w:t>
            </w:r>
          </w:p>
          <w:p w14:paraId="13EEAA46" w14:textId="77777777" w:rsidR="00C1115C" w:rsidRPr="00125E84" w:rsidRDefault="00C1115C" w:rsidP="00125E84">
            <w:pPr>
              <w:pStyle w:val="ListParagraph"/>
              <w:numPr>
                <w:ilvl w:val="0"/>
                <w:numId w:val="22"/>
              </w:numPr>
              <w:rPr>
                <w:sz w:val="18"/>
                <w:szCs w:val="18"/>
              </w:rPr>
            </w:pPr>
            <w:r w:rsidRPr="00125E84">
              <w:rPr>
                <w:sz w:val="18"/>
                <w:szCs w:val="18"/>
              </w:rPr>
              <w:t>Unregulated instruments</w:t>
            </w:r>
          </w:p>
          <w:p w14:paraId="5FA8DDF9" w14:textId="5D5E3B18" w:rsidR="006918C9" w:rsidRPr="00125E84" w:rsidRDefault="006918C9" w:rsidP="00125E84">
            <w:pPr>
              <w:pStyle w:val="ListParagraph"/>
              <w:numPr>
                <w:ilvl w:val="0"/>
                <w:numId w:val="22"/>
              </w:numPr>
              <w:rPr>
                <w:sz w:val="18"/>
                <w:szCs w:val="18"/>
              </w:rPr>
            </w:pPr>
            <w:r w:rsidRPr="00125E84">
              <w:rPr>
                <w:sz w:val="18"/>
                <w:szCs w:val="18"/>
              </w:rPr>
              <w:t>Ownership structures, private vs public</w:t>
            </w:r>
          </w:p>
          <w:p w14:paraId="6C5884D4" w14:textId="7CAC0EFB" w:rsidR="006918C9" w:rsidRPr="00125E84" w:rsidRDefault="006918C9" w:rsidP="00125E84">
            <w:pPr>
              <w:pStyle w:val="ListParagraph"/>
              <w:numPr>
                <w:ilvl w:val="0"/>
                <w:numId w:val="22"/>
              </w:numPr>
              <w:rPr>
                <w:sz w:val="18"/>
                <w:szCs w:val="18"/>
              </w:rPr>
            </w:pPr>
            <w:r w:rsidRPr="00125E84">
              <w:rPr>
                <w:sz w:val="18"/>
                <w:szCs w:val="18"/>
              </w:rPr>
              <w:t>Funds with complex structures</w:t>
            </w:r>
          </w:p>
          <w:p w14:paraId="6FC7AA64" w14:textId="2D375A81" w:rsidR="00650454" w:rsidRPr="00125E84" w:rsidRDefault="00650454" w:rsidP="00125E84">
            <w:pPr>
              <w:pStyle w:val="ListParagraph"/>
              <w:numPr>
                <w:ilvl w:val="0"/>
                <w:numId w:val="22"/>
              </w:numPr>
              <w:rPr>
                <w:sz w:val="18"/>
                <w:szCs w:val="18"/>
              </w:rPr>
            </w:pPr>
            <w:r w:rsidRPr="00125E84">
              <w:rPr>
                <w:sz w:val="18"/>
                <w:szCs w:val="18"/>
              </w:rPr>
              <w:t xml:space="preserve">Parent company, affiliate or subsidiary in higher risk </w:t>
            </w:r>
            <w:r w:rsidR="00EF6E7D">
              <w:rPr>
                <w:sz w:val="18"/>
                <w:szCs w:val="18"/>
              </w:rPr>
              <w:t>countries.</w:t>
            </w:r>
          </w:p>
          <w:p w14:paraId="1AEC9E06" w14:textId="77777777" w:rsidR="006918C9" w:rsidRPr="0075692B" w:rsidRDefault="006918C9" w:rsidP="000D2943">
            <w:pPr>
              <w:rPr>
                <w:rFonts w:ascii="Verdana" w:hAnsi="Verdana"/>
                <w:sz w:val="18"/>
                <w:szCs w:val="18"/>
              </w:rPr>
            </w:pPr>
          </w:p>
        </w:tc>
        <w:tc>
          <w:tcPr>
            <w:tcW w:w="3260" w:type="dxa"/>
          </w:tcPr>
          <w:p w14:paraId="0276F9F7" w14:textId="77777777" w:rsidR="006918C9" w:rsidRPr="00125E84" w:rsidRDefault="006918C9" w:rsidP="00125E84">
            <w:pPr>
              <w:pStyle w:val="ListParagraph"/>
              <w:numPr>
                <w:ilvl w:val="0"/>
                <w:numId w:val="22"/>
              </w:numPr>
              <w:rPr>
                <w:sz w:val="18"/>
                <w:szCs w:val="18"/>
              </w:rPr>
            </w:pPr>
            <w:r w:rsidRPr="00125E84">
              <w:rPr>
                <w:sz w:val="18"/>
                <w:szCs w:val="18"/>
              </w:rPr>
              <w:t>Simple transactions</w:t>
            </w:r>
          </w:p>
          <w:p w14:paraId="34096DB0" w14:textId="6D1CEB96" w:rsidR="00650454" w:rsidRPr="00125E84" w:rsidRDefault="00197082" w:rsidP="00125E84">
            <w:pPr>
              <w:pStyle w:val="ListParagraph"/>
              <w:numPr>
                <w:ilvl w:val="0"/>
                <w:numId w:val="22"/>
              </w:numPr>
              <w:rPr>
                <w:sz w:val="18"/>
                <w:szCs w:val="18"/>
              </w:rPr>
            </w:pPr>
            <w:r w:rsidRPr="002C6987">
              <w:rPr>
                <w:sz w:val="18"/>
                <w:szCs w:val="18"/>
              </w:rPr>
              <w:t xml:space="preserve">Parent company, affiliate or subsidiary </w:t>
            </w:r>
            <w:r>
              <w:rPr>
                <w:sz w:val="18"/>
                <w:szCs w:val="18"/>
              </w:rPr>
              <w:t xml:space="preserve">not </w:t>
            </w:r>
            <w:r w:rsidR="00C1115C" w:rsidRPr="00125E84">
              <w:rPr>
                <w:sz w:val="18"/>
                <w:szCs w:val="18"/>
              </w:rPr>
              <w:t>from high-risk countries</w:t>
            </w:r>
            <w:r w:rsidR="00650454" w:rsidRPr="00125E84">
              <w:rPr>
                <w:sz w:val="18"/>
                <w:szCs w:val="18"/>
              </w:rPr>
              <w:t>.</w:t>
            </w:r>
          </w:p>
          <w:p w14:paraId="6972E017" w14:textId="77777777" w:rsidR="006918C9" w:rsidRPr="0075692B" w:rsidRDefault="006918C9" w:rsidP="000D2943">
            <w:pPr>
              <w:rPr>
                <w:rFonts w:ascii="Verdana" w:hAnsi="Verdana"/>
                <w:sz w:val="18"/>
                <w:szCs w:val="18"/>
              </w:rPr>
            </w:pPr>
          </w:p>
          <w:p w14:paraId="770BC179" w14:textId="77777777" w:rsidR="006918C9" w:rsidRPr="0075692B" w:rsidRDefault="006918C9" w:rsidP="000D2943">
            <w:pPr>
              <w:rPr>
                <w:rFonts w:ascii="Verdana" w:hAnsi="Verdana"/>
                <w:sz w:val="18"/>
                <w:szCs w:val="18"/>
              </w:rPr>
            </w:pPr>
          </w:p>
        </w:tc>
      </w:tr>
      <w:tr w:rsidR="00376383" w:rsidRPr="0075692B" w14:paraId="05DFCC5A" w14:textId="77777777" w:rsidTr="0075692B">
        <w:tc>
          <w:tcPr>
            <w:tcW w:w="2830" w:type="dxa"/>
          </w:tcPr>
          <w:p w14:paraId="7030CCC6" w14:textId="2CD9B525" w:rsidR="00376383" w:rsidRPr="0075692B" w:rsidRDefault="00376383" w:rsidP="00376383">
            <w:pPr>
              <w:rPr>
                <w:rFonts w:ascii="Verdana" w:hAnsi="Verdana"/>
                <w:sz w:val="18"/>
                <w:szCs w:val="18"/>
              </w:rPr>
            </w:pPr>
            <w:r w:rsidRPr="0075692B">
              <w:rPr>
                <w:rFonts w:ascii="Verdana" w:hAnsi="Verdana"/>
                <w:sz w:val="18"/>
                <w:szCs w:val="18"/>
              </w:rPr>
              <w:t>Geographic risk</w:t>
            </w:r>
          </w:p>
        </w:tc>
        <w:tc>
          <w:tcPr>
            <w:tcW w:w="3828" w:type="dxa"/>
          </w:tcPr>
          <w:p w14:paraId="370704A3" w14:textId="0986BD3A" w:rsidR="00376383" w:rsidRPr="00125E84" w:rsidRDefault="00376383" w:rsidP="00125E84">
            <w:pPr>
              <w:pStyle w:val="ListParagraph"/>
              <w:numPr>
                <w:ilvl w:val="0"/>
                <w:numId w:val="23"/>
              </w:numPr>
              <w:rPr>
                <w:sz w:val="18"/>
                <w:szCs w:val="18"/>
              </w:rPr>
            </w:pPr>
            <w:r w:rsidRPr="00125E84">
              <w:rPr>
                <w:sz w:val="18"/>
                <w:szCs w:val="18"/>
              </w:rPr>
              <w:t xml:space="preserve">Services outsourced to </w:t>
            </w:r>
            <w:r w:rsidR="00EF6E7D">
              <w:rPr>
                <w:sz w:val="18"/>
                <w:szCs w:val="18"/>
              </w:rPr>
              <w:t>countries</w:t>
            </w:r>
            <w:r w:rsidRPr="00125E84">
              <w:rPr>
                <w:sz w:val="18"/>
                <w:szCs w:val="18"/>
              </w:rPr>
              <w:t xml:space="preserve"> where fund administration is not a regulated activity for the purposes of AML/CFT, or the AML/CFT systems are not robust.</w:t>
            </w:r>
          </w:p>
          <w:p w14:paraId="2349C3E6" w14:textId="6EE3BDB6" w:rsidR="00376383" w:rsidRPr="00125E84" w:rsidRDefault="00376383" w:rsidP="00125E84">
            <w:pPr>
              <w:pStyle w:val="ListParagraph"/>
              <w:numPr>
                <w:ilvl w:val="0"/>
                <w:numId w:val="23"/>
              </w:numPr>
              <w:rPr>
                <w:sz w:val="18"/>
                <w:szCs w:val="18"/>
              </w:rPr>
            </w:pPr>
            <w:r w:rsidRPr="00125E84">
              <w:rPr>
                <w:sz w:val="18"/>
                <w:szCs w:val="18"/>
              </w:rPr>
              <w:t xml:space="preserve">Customers based </w:t>
            </w:r>
            <w:r w:rsidR="00A6392E">
              <w:rPr>
                <w:sz w:val="18"/>
                <w:szCs w:val="18"/>
              </w:rPr>
              <w:t>in</w:t>
            </w:r>
            <w:r w:rsidR="00A6392E" w:rsidRPr="00125E84">
              <w:rPr>
                <w:sz w:val="18"/>
                <w:szCs w:val="18"/>
              </w:rPr>
              <w:t xml:space="preserve"> </w:t>
            </w:r>
            <w:r w:rsidR="00EF6E7D">
              <w:rPr>
                <w:sz w:val="18"/>
                <w:szCs w:val="18"/>
              </w:rPr>
              <w:t>countries</w:t>
            </w:r>
            <w:r w:rsidRPr="00125E84">
              <w:rPr>
                <w:sz w:val="18"/>
                <w:szCs w:val="18"/>
              </w:rPr>
              <w:t xml:space="preserve"> with no equivalent AML</w:t>
            </w:r>
            <w:r w:rsidR="00593F46">
              <w:rPr>
                <w:sz w:val="18"/>
                <w:szCs w:val="18"/>
              </w:rPr>
              <w:t>/</w:t>
            </w:r>
            <w:r w:rsidRPr="00125E84">
              <w:rPr>
                <w:sz w:val="18"/>
                <w:szCs w:val="18"/>
              </w:rPr>
              <w:t>CFT legislation</w:t>
            </w:r>
            <w:r w:rsidR="00D0696E">
              <w:rPr>
                <w:sz w:val="18"/>
                <w:szCs w:val="18"/>
              </w:rPr>
              <w:t xml:space="preserve"> or in</w:t>
            </w:r>
            <w:r w:rsidRPr="00125E84">
              <w:rPr>
                <w:sz w:val="18"/>
                <w:szCs w:val="18"/>
              </w:rPr>
              <w:t xml:space="preserve"> countries </w:t>
            </w:r>
            <w:r w:rsidR="00D0696E">
              <w:rPr>
                <w:sz w:val="18"/>
                <w:szCs w:val="18"/>
              </w:rPr>
              <w:t>with</w:t>
            </w:r>
            <w:r w:rsidRPr="00125E84">
              <w:rPr>
                <w:sz w:val="18"/>
                <w:szCs w:val="18"/>
              </w:rPr>
              <w:t xml:space="preserve"> political turmoil or high levels of corruption.</w:t>
            </w:r>
          </w:p>
          <w:p w14:paraId="6372F30F" w14:textId="29FE0889" w:rsidR="00376383" w:rsidRPr="00125E84" w:rsidRDefault="00376383" w:rsidP="00125E84">
            <w:pPr>
              <w:pStyle w:val="ListParagraph"/>
              <w:numPr>
                <w:ilvl w:val="0"/>
                <w:numId w:val="23"/>
              </w:numPr>
              <w:rPr>
                <w:sz w:val="18"/>
                <w:szCs w:val="18"/>
              </w:rPr>
            </w:pPr>
            <w:r w:rsidRPr="00125E84">
              <w:rPr>
                <w:sz w:val="18"/>
                <w:szCs w:val="18"/>
              </w:rPr>
              <w:t xml:space="preserve">Transactions </w:t>
            </w:r>
            <w:r w:rsidR="00D0696E">
              <w:rPr>
                <w:sz w:val="18"/>
                <w:szCs w:val="18"/>
              </w:rPr>
              <w:t>carried out in or from</w:t>
            </w:r>
            <w:r w:rsidRPr="00125E84">
              <w:rPr>
                <w:sz w:val="18"/>
                <w:szCs w:val="18"/>
              </w:rPr>
              <w:t xml:space="preserve"> high-risk </w:t>
            </w:r>
            <w:r w:rsidR="00EF6E7D">
              <w:rPr>
                <w:sz w:val="18"/>
                <w:szCs w:val="18"/>
              </w:rPr>
              <w:t>countries</w:t>
            </w:r>
            <w:r w:rsidRPr="00125E84">
              <w:rPr>
                <w:sz w:val="18"/>
                <w:szCs w:val="18"/>
              </w:rPr>
              <w:t xml:space="preserve"> </w:t>
            </w:r>
          </w:p>
          <w:p w14:paraId="1B2CC8E2" w14:textId="3848FF32" w:rsidR="00DA4C35" w:rsidRPr="0075692B" w:rsidRDefault="00DA4C35" w:rsidP="00DA4C35">
            <w:pPr>
              <w:rPr>
                <w:rFonts w:ascii="Verdana" w:hAnsi="Verdana"/>
                <w:sz w:val="18"/>
                <w:szCs w:val="18"/>
              </w:rPr>
            </w:pPr>
          </w:p>
        </w:tc>
        <w:tc>
          <w:tcPr>
            <w:tcW w:w="3260" w:type="dxa"/>
          </w:tcPr>
          <w:p w14:paraId="23B88FF7" w14:textId="119A2EDD" w:rsidR="00376383" w:rsidRPr="00125E84" w:rsidRDefault="00376383" w:rsidP="00125E84">
            <w:pPr>
              <w:pStyle w:val="ListParagraph"/>
              <w:numPr>
                <w:ilvl w:val="0"/>
                <w:numId w:val="23"/>
              </w:numPr>
              <w:rPr>
                <w:sz w:val="18"/>
                <w:szCs w:val="18"/>
              </w:rPr>
            </w:pPr>
            <w:r w:rsidRPr="00125E84">
              <w:rPr>
                <w:sz w:val="18"/>
                <w:szCs w:val="18"/>
              </w:rPr>
              <w:t>Customer</w:t>
            </w:r>
            <w:r w:rsidR="00D0696E">
              <w:rPr>
                <w:sz w:val="18"/>
                <w:szCs w:val="18"/>
              </w:rPr>
              <w:t>s</w:t>
            </w:r>
            <w:r w:rsidRPr="00125E84">
              <w:rPr>
                <w:sz w:val="18"/>
                <w:szCs w:val="18"/>
              </w:rPr>
              <w:t xml:space="preserve"> based in </w:t>
            </w:r>
            <w:r w:rsidR="00EF6E7D">
              <w:rPr>
                <w:sz w:val="18"/>
                <w:szCs w:val="18"/>
              </w:rPr>
              <w:t>countries</w:t>
            </w:r>
            <w:r w:rsidRPr="00125E84">
              <w:rPr>
                <w:sz w:val="18"/>
                <w:szCs w:val="18"/>
              </w:rPr>
              <w:t xml:space="preserve"> with robust anti-money laundering and counter financing of terrorism </w:t>
            </w:r>
            <w:r w:rsidR="00593F46">
              <w:rPr>
                <w:sz w:val="18"/>
                <w:szCs w:val="18"/>
              </w:rPr>
              <w:t>systems.</w:t>
            </w:r>
          </w:p>
          <w:p w14:paraId="7A77CACC" w14:textId="77777777" w:rsidR="00376383" w:rsidRPr="00125E84" w:rsidRDefault="00376383" w:rsidP="00125E84">
            <w:pPr>
              <w:pStyle w:val="ListParagraph"/>
              <w:numPr>
                <w:ilvl w:val="0"/>
                <w:numId w:val="23"/>
              </w:numPr>
              <w:rPr>
                <w:sz w:val="18"/>
                <w:szCs w:val="18"/>
              </w:rPr>
            </w:pPr>
            <w:r w:rsidRPr="00125E84">
              <w:rPr>
                <w:sz w:val="18"/>
                <w:szCs w:val="18"/>
              </w:rPr>
              <w:t>Transactions carried out in or from countries with sound AML/CFT systems.</w:t>
            </w:r>
          </w:p>
          <w:p w14:paraId="202350CF" w14:textId="77777777" w:rsidR="00376383" w:rsidRPr="00650454" w:rsidRDefault="00376383" w:rsidP="00376383">
            <w:pPr>
              <w:spacing w:before="100" w:beforeAutospacing="1" w:after="100" w:afterAutospacing="1"/>
              <w:contextualSpacing/>
              <w:jc w:val="both"/>
              <w:rPr>
                <w:rFonts w:ascii="Verdana" w:hAnsi="Verdana"/>
                <w:sz w:val="18"/>
                <w:szCs w:val="18"/>
              </w:rPr>
            </w:pPr>
          </w:p>
        </w:tc>
      </w:tr>
      <w:tr w:rsidR="00376383" w:rsidRPr="0075692B" w14:paraId="0C828DBA" w14:textId="77777777" w:rsidTr="0075692B">
        <w:tc>
          <w:tcPr>
            <w:tcW w:w="2830" w:type="dxa"/>
          </w:tcPr>
          <w:p w14:paraId="07E60C54" w14:textId="14186C36" w:rsidR="00376383" w:rsidRPr="0075692B" w:rsidRDefault="00376383" w:rsidP="00376383">
            <w:pPr>
              <w:rPr>
                <w:rFonts w:ascii="Verdana" w:hAnsi="Verdana"/>
                <w:sz w:val="18"/>
                <w:szCs w:val="18"/>
              </w:rPr>
            </w:pPr>
            <w:r w:rsidRPr="0075692B">
              <w:rPr>
                <w:rFonts w:ascii="Verdana" w:hAnsi="Verdana"/>
                <w:sz w:val="18"/>
                <w:szCs w:val="18"/>
              </w:rPr>
              <w:lastRenderedPageBreak/>
              <w:t>Customer types</w:t>
            </w:r>
          </w:p>
        </w:tc>
        <w:tc>
          <w:tcPr>
            <w:tcW w:w="3828" w:type="dxa"/>
          </w:tcPr>
          <w:p w14:paraId="18C4BD47" w14:textId="77777777" w:rsidR="00651B7D" w:rsidRDefault="00651B7D">
            <w:pPr>
              <w:pStyle w:val="ListParagraph"/>
              <w:numPr>
                <w:ilvl w:val="0"/>
                <w:numId w:val="24"/>
              </w:numPr>
              <w:rPr>
                <w:sz w:val="18"/>
                <w:szCs w:val="18"/>
              </w:rPr>
            </w:pPr>
            <w:r>
              <w:rPr>
                <w:sz w:val="18"/>
                <w:szCs w:val="18"/>
              </w:rPr>
              <w:t>Legal persons and arrangements (companies, partnerships, trusts)</w:t>
            </w:r>
          </w:p>
          <w:p w14:paraId="07FC0752" w14:textId="54EF3AD9" w:rsidR="00376383" w:rsidRPr="00125E84" w:rsidRDefault="00376383" w:rsidP="00125E84">
            <w:pPr>
              <w:pStyle w:val="ListParagraph"/>
              <w:numPr>
                <w:ilvl w:val="0"/>
                <w:numId w:val="24"/>
              </w:numPr>
              <w:ind w:left="747"/>
              <w:rPr>
                <w:sz w:val="18"/>
                <w:szCs w:val="18"/>
              </w:rPr>
            </w:pPr>
            <w:r w:rsidRPr="00125E84">
              <w:rPr>
                <w:sz w:val="18"/>
                <w:szCs w:val="18"/>
              </w:rPr>
              <w:t>Corporate clients</w:t>
            </w:r>
          </w:p>
          <w:p w14:paraId="6AB19500" w14:textId="63048583" w:rsidR="00376383" w:rsidRPr="00125E84" w:rsidRDefault="00376383" w:rsidP="00125E84">
            <w:pPr>
              <w:pStyle w:val="ListParagraph"/>
              <w:numPr>
                <w:ilvl w:val="0"/>
                <w:numId w:val="24"/>
              </w:numPr>
              <w:ind w:left="747"/>
              <w:rPr>
                <w:sz w:val="18"/>
                <w:szCs w:val="18"/>
              </w:rPr>
            </w:pPr>
            <w:r w:rsidRPr="00125E84">
              <w:rPr>
                <w:sz w:val="18"/>
                <w:szCs w:val="18"/>
              </w:rPr>
              <w:t xml:space="preserve">High net worth individuals </w:t>
            </w:r>
          </w:p>
          <w:p w14:paraId="39AE1464" w14:textId="77777777" w:rsidR="00376383" w:rsidRPr="00125E84" w:rsidRDefault="00376383" w:rsidP="00125E84">
            <w:pPr>
              <w:pStyle w:val="ListParagraph"/>
              <w:numPr>
                <w:ilvl w:val="0"/>
                <w:numId w:val="24"/>
              </w:numPr>
              <w:ind w:left="747"/>
              <w:rPr>
                <w:sz w:val="18"/>
                <w:szCs w:val="18"/>
              </w:rPr>
            </w:pPr>
            <w:r w:rsidRPr="00125E84">
              <w:rPr>
                <w:sz w:val="18"/>
                <w:szCs w:val="18"/>
              </w:rPr>
              <w:t>Nominee shareholders</w:t>
            </w:r>
          </w:p>
          <w:p w14:paraId="66510FAD" w14:textId="0CEA47D5" w:rsidR="00376383" w:rsidRPr="00125E84" w:rsidRDefault="00376383" w:rsidP="00125E84">
            <w:pPr>
              <w:pStyle w:val="ListParagraph"/>
              <w:numPr>
                <w:ilvl w:val="0"/>
                <w:numId w:val="24"/>
              </w:numPr>
              <w:ind w:left="747"/>
              <w:rPr>
                <w:sz w:val="18"/>
                <w:szCs w:val="18"/>
              </w:rPr>
            </w:pPr>
            <w:r w:rsidRPr="00125E84">
              <w:rPr>
                <w:sz w:val="18"/>
                <w:szCs w:val="18"/>
              </w:rPr>
              <w:t>Non-bank financial institutions</w:t>
            </w:r>
          </w:p>
          <w:p w14:paraId="12D2794B" w14:textId="3F82D964" w:rsidR="00376383" w:rsidRPr="00125E84" w:rsidRDefault="00376383" w:rsidP="00125E84">
            <w:pPr>
              <w:pStyle w:val="ListParagraph"/>
              <w:numPr>
                <w:ilvl w:val="0"/>
                <w:numId w:val="24"/>
              </w:numPr>
              <w:ind w:left="747"/>
              <w:rPr>
                <w:sz w:val="18"/>
                <w:szCs w:val="18"/>
              </w:rPr>
            </w:pPr>
            <w:r w:rsidRPr="00125E84">
              <w:rPr>
                <w:sz w:val="18"/>
                <w:szCs w:val="18"/>
              </w:rPr>
              <w:t>Politically Exposed Person</w:t>
            </w:r>
            <w:r w:rsidR="006D3616">
              <w:rPr>
                <w:sz w:val="18"/>
                <w:szCs w:val="18"/>
              </w:rPr>
              <w:t>s</w:t>
            </w:r>
          </w:p>
          <w:p w14:paraId="200E5F39" w14:textId="19DAB343" w:rsidR="00376383" w:rsidRPr="00125E84" w:rsidRDefault="00593F46" w:rsidP="00125E84">
            <w:pPr>
              <w:pStyle w:val="ListParagraph"/>
              <w:numPr>
                <w:ilvl w:val="0"/>
                <w:numId w:val="24"/>
              </w:numPr>
              <w:ind w:left="747"/>
              <w:rPr>
                <w:sz w:val="18"/>
                <w:szCs w:val="18"/>
              </w:rPr>
            </w:pPr>
            <w:r>
              <w:rPr>
                <w:sz w:val="18"/>
                <w:szCs w:val="18"/>
              </w:rPr>
              <w:t>T</w:t>
            </w:r>
            <w:r w:rsidR="00376383" w:rsidRPr="00125E84">
              <w:rPr>
                <w:sz w:val="18"/>
                <w:szCs w:val="18"/>
              </w:rPr>
              <w:t>rusts</w:t>
            </w:r>
            <w:r>
              <w:rPr>
                <w:sz w:val="18"/>
                <w:szCs w:val="18"/>
              </w:rPr>
              <w:t xml:space="preserve"> arrangements</w:t>
            </w:r>
          </w:p>
          <w:p w14:paraId="1F73A039" w14:textId="77777777" w:rsidR="00376383" w:rsidRPr="0075692B" w:rsidRDefault="00376383" w:rsidP="00376383">
            <w:pPr>
              <w:rPr>
                <w:rFonts w:ascii="Verdana" w:hAnsi="Verdana"/>
                <w:sz w:val="18"/>
                <w:szCs w:val="18"/>
              </w:rPr>
            </w:pPr>
          </w:p>
        </w:tc>
        <w:tc>
          <w:tcPr>
            <w:tcW w:w="3260" w:type="dxa"/>
          </w:tcPr>
          <w:p w14:paraId="6FAE451B" w14:textId="77777777" w:rsidR="00376383" w:rsidRPr="00125E84" w:rsidRDefault="00376383" w:rsidP="00125E84">
            <w:pPr>
              <w:pStyle w:val="ListParagraph"/>
              <w:numPr>
                <w:ilvl w:val="0"/>
                <w:numId w:val="24"/>
              </w:numPr>
              <w:spacing w:before="100" w:beforeAutospacing="1" w:after="100" w:afterAutospacing="1"/>
              <w:jc w:val="both"/>
              <w:rPr>
                <w:sz w:val="18"/>
                <w:szCs w:val="18"/>
              </w:rPr>
            </w:pPr>
            <w:r w:rsidRPr="00125E84">
              <w:rPr>
                <w:sz w:val="18"/>
                <w:szCs w:val="18"/>
              </w:rPr>
              <w:t>Governments/public sector not from high-risk countries.</w:t>
            </w:r>
          </w:p>
          <w:p w14:paraId="0B9DFEBE" w14:textId="622A8988" w:rsidR="00376383" w:rsidRPr="00125E84" w:rsidRDefault="00376383" w:rsidP="00125E84">
            <w:pPr>
              <w:pStyle w:val="ListParagraph"/>
              <w:numPr>
                <w:ilvl w:val="0"/>
                <w:numId w:val="24"/>
              </w:numPr>
              <w:spacing w:before="100" w:beforeAutospacing="1" w:after="100" w:afterAutospacing="1"/>
              <w:jc w:val="both"/>
              <w:rPr>
                <w:sz w:val="18"/>
                <w:szCs w:val="18"/>
              </w:rPr>
            </w:pPr>
            <w:r w:rsidRPr="00125E84">
              <w:rPr>
                <w:sz w:val="18"/>
                <w:szCs w:val="18"/>
              </w:rPr>
              <w:t>Financial institutions not from high-risk countries.</w:t>
            </w:r>
          </w:p>
          <w:p w14:paraId="7F90EDEA" w14:textId="760426C3" w:rsidR="00376383" w:rsidRPr="00125E84" w:rsidRDefault="00376383" w:rsidP="00125E84">
            <w:pPr>
              <w:pStyle w:val="ListParagraph"/>
              <w:numPr>
                <w:ilvl w:val="0"/>
                <w:numId w:val="24"/>
              </w:numPr>
              <w:rPr>
                <w:sz w:val="18"/>
                <w:szCs w:val="18"/>
              </w:rPr>
            </w:pPr>
            <w:r w:rsidRPr="00125E84">
              <w:rPr>
                <w:sz w:val="18"/>
                <w:szCs w:val="18"/>
              </w:rPr>
              <w:t>Non-financial institutions not from high-risk countries</w:t>
            </w:r>
          </w:p>
          <w:p w14:paraId="3A126ADC" w14:textId="1ACB13CD" w:rsidR="00376383" w:rsidRPr="00125E84" w:rsidRDefault="00376383" w:rsidP="00125E84">
            <w:pPr>
              <w:pStyle w:val="ListParagraph"/>
              <w:numPr>
                <w:ilvl w:val="0"/>
                <w:numId w:val="24"/>
              </w:numPr>
              <w:rPr>
                <w:sz w:val="18"/>
                <w:szCs w:val="18"/>
              </w:rPr>
            </w:pPr>
            <w:r w:rsidRPr="00125E84">
              <w:rPr>
                <w:sz w:val="18"/>
                <w:szCs w:val="18"/>
              </w:rPr>
              <w:t>Funds are regulated in countries that are not high-risk countries.</w:t>
            </w:r>
          </w:p>
          <w:p w14:paraId="7BC3580A" w14:textId="78BDD1B7" w:rsidR="00376383" w:rsidRPr="00125E84" w:rsidRDefault="00376383" w:rsidP="00125E84">
            <w:pPr>
              <w:pStyle w:val="ListParagraph"/>
              <w:numPr>
                <w:ilvl w:val="0"/>
                <w:numId w:val="24"/>
              </w:numPr>
              <w:rPr>
                <w:sz w:val="18"/>
                <w:szCs w:val="18"/>
              </w:rPr>
            </w:pPr>
            <w:r w:rsidRPr="00125E84">
              <w:rPr>
                <w:sz w:val="18"/>
                <w:szCs w:val="18"/>
              </w:rPr>
              <w:t>Low volume of Investment Managers that are UBOs</w:t>
            </w:r>
          </w:p>
          <w:p w14:paraId="31D67CE8" w14:textId="647365BA" w:rsidR="00376383" w:rsidRPr="0075692B" w:rsidRDefault="00376383" w:rsidP="00376383">
            <w:pPr>
              <w:rPr>
                <w:rFonts w:ascii="Verdana" w:hAnsi="Verdana"/>
                <w:sz w:val="18"/>
                <w:szCs w:val="18"/>
              </w:rPr>
            </w:pPr>
          </w:p>
        </w:tc>
      </w:tr>
      <w:tr w:rsidR="00376383" w:rsidRPr="0075692B" w14:paraId="48AB49F4" w14:textId="77777777" w:rsidTr="0075692B">
        <w:tc>
          <w:tcPr>
            <w:tcW w:w="2830" w:type="dxa"/>
          </w:tcPr>
          <w:p w14:paraId="358B233B" w14:textId="294582FA" w:rsidR="00376383" w:rsidRPr="0075692B" w:rsidRDefault="00376383" w:rsidP="00376383">
            <w:pPr>
              <w:rPr>
                <w:rFonts w:ascii="Verdana" w:hAnsi="Verdana"/>
                <w:sz w:val="18"/>
                <w:szCs w:val="18"/>
              </w:rPr>
            </w:pPr>
            <w:r w:rsidRPr="0075692B">
              <w:rPr>
                <w:rFonts w:ascii="Verdana" w:hAnsi="Verdana"/>
                <w:sz w:val="18"/>
                <w:szCs w:val="18"/>
              </w:rPr>
              <w:t>Transactions, products and services offered</w:t>
            </w:r>
          </w:p>
        </w:tc>
        <w:tc>
          <w:tcPr>
            <w:tcW w:w="3828" w:type="dxa"/>
          </w:tcPr>
          <w:p w14:paraId="095FC219" w14:textId="2F97E1C4" w:rsidR="00376383" w:rsidRPr="00125E84" w:rsidRDefault="00376383" w:rsidP="00125E84">
            <w:pPr>
              <w:pStyle w:val="ListParagraph"/>
              <w:numPr>
                <w:ilvl w:val="0"/>
                <w:numId w:val="25"/>
              </w:numPr>
              <w:rPr>
                <w:sz w:val="18"/>
                <w:szCs w:val="18"/>
              </w:rPr>
            </w:pPr>
            <w:r w:rsidRPr="00125E84">
              <w:rPr>
                <w:sz w:val="18"/>
                <w:szCs w:val="18"/>
              </w:rPr>
              <w:t xml:space="preserve">High volume </w:t>
            </w:r>
            <w:r w:rsidR="00593F46">
              <w:rPr>
                <w:sz w:val="18"/>
                <w:szCs w:val="18"/>
              </w:rPr>
              <w:t xml:space="preserve">and value </w:t>
            </w:r>
            <w:r w:rsidRPr="00125E84">
              <w:rPr>
                <w:sz w:val="18"/>
                <w:szCs w:val="18"/>
              </w:rPr>
              <w:t>of subscriptions and redemptions</w:t>
            </w:r>
          </w:p>
          <w:p w14:paraId="4965DA48" w14:textId="29CF016A" w:rsidR="00376383" w:rsidRPr="00125E84" w:rsidRDefault="00376383" w:rsidP="00125E84">
            <w:pPr>
              <w:pStyle w:val="ListParagraph"/>
              <w:numPr>
                <w:ilvl w:val="0"/>
                <w:numId w:val="25"/>
              </w:numPr>
              <w:rPr>
                <w:sz w:val="18"/>
                <w:szCs w:val="18"/>
              </w:rPr>
            </w:pPr>
            <w:r w:rsidRPr="00125E84">
              <w:rPr>
                <w:sz w:val="18"/>
                <w:szCs w:val="18"/>
              </w:rPr>
              <w:t xml:space="preserve">High volume of </w:t>
            </w:r>
            <w:r w:rsidR="005500BA">
              <w:rPr>
                <w:sz w:val="18"/>
                <w:szCs w:val="18"/>
              </w:rPr>
              <w:t>t</w:t>
            </w:r>
            <w:r w:rsidRPr="00125E84">
              <w:rPr>
                <w:sz w:val="18"/>
                <w:szCs w:val="18"/>
              </w:rPr>
              <w:t>ransfers with high-risk countries</w:t>
            </w:r>
          </w:p>
          <w:p w14:paraId="37AC458E" w14:textId="766D0BB6" w:rsidR="00376383" w:rsidRPr="00125E84" w:rsidRDefault="00376383" w:rsidP="00125E84">
            <w:pPr>
              <w:pStyle w:val="ListParagraph"/>
              <w:numPr>
                <w:ilvl w:val="0"/>
                <w:numId w:val="25"/>
              </w:numPr>
              <w:rPr>
                <w:sz w:val="18"/>
                <w:szCs w:val="18"/>
              </w:rPr>
            </w:pPr>
            <w:r w:rsidRPr="00125E84">
              <w:rPr>
                <w:sz w:val="18"/>
                <w:szCs w:val="18"/>
              </w:rPr>
              <w:t>Registrar and transfer agent (RTA) services</w:t>
            </w:r>
          </w:p>
          <w:p w14:paraId="2E2053BC" w14:textId="4BE374BE" w:rsidR="00376383" w:rsidRPr="00125E84" w:rsidRDefault="00376383" w:rsidP="00125E84">
            <w:pPr>
              <w:pStyle w:val="ListParagraph"/>
              <w:numPr>
                <w:ilvl w:val="0"/>
                <w:numId w:val="25"/>
              </w:numPr>
              <w:rPr>
                <w:sz w:val="18"/>
                <w:szCs w:val="18"/>
              </w:rPr>
            </w:pPr>
            <w:r w:rsidRPr="00125E84">
              <w:rPr>
                <w:sz w:val="18"/>
                <w:szCs w:val="18"/>
              </w:rPr>
              <w:t>Higher percentage of services to unregulated entities</w:t>
            </w:r>
          </w:p>
        </w:tc>
        <w:tc>
          <w:tcPr>
            <w:tcW w:w="3260" w:type="dxa"/>
          </w:tcPr>
          <w:p w14:paraId="04B15214" w14:textId="3E5C774A" w:rsidR="00376383" w:rsidRPr="00125E84" w:rsidRDefault="00376383" w:rsidP="00125E84">
            <w:pPr>
              <w:pStyle w:val="ListParagraph"/>
              <w:numPr>
                <w:ilvl w:val="0"/>
                <w:numId w:val="25"/>
              </w:numPr>
              <w:rPr>
                <w:sz w:val="18"/>
                <w:szCs w:val="18"/>
              </w:rPr>
            </w:pPr>
            <w:r w:rsidRPr="00125E84">
              <w:rPr>
                <w:sz w:val="18"/>
                <w:szCs w:val="18"/>
              </w:rPr>
              <w:t>Low complexity – Net Asset Value (NAV) calculation services, and directorships.</w:t>
            </w:r>
          </w:p>
          <w:p w14:paraId="7C592606" w14:textId="0B632BE1" w:rsidR="00376383" w:rsidRPr="00125E84" w:rsidRDefault="00376383" w:rsidP="00125E84">
            <w:pPr>
              <w:pStyle w:val="ListParagraph"/>
              <w:numPr>
                <w:ilvl w:val="0"/>
                <w:numId w:val="25"/>
              </w:numPr>
              <w:rPr>
                <w:sz w:val="18"/>
                <w:szCs w:val="18"/>
              </w:rPr>
            </w:pPr>
            <w:r w:rsidRPr="00125E84">
              <w:rPr>
                <w:sz w:val="18"/>
                <w:szCs w:val="18"/>
              </w:rPr>
              <w:t>Low value of business transactions</w:t>
            </w:r>
          </w:p>
          <w:p w14:paraId="695B0E5E" w14:textId="7002853F" w:rsidR="00376383" w:rsidRPr="00125E84" w:rsidRDefault="00376383" w:rsidP="00125E84">
            <w:pPr>
              <w:pStyle w:val="ListParagraph"/>
              <w:numPr>
                <w:ilvl w:val="0"/>
                <w:numId w:val="25"/>
              </w:numPr>
              <w:rPr>
                <w:sz w:val="18"/>
                <w:szCs w:val="18"/>
              </w:rPr>
            </w:pPr>
            <w:r w:rsidRPr="00125E84">
              <w:rPr>
                <w:sz w:val="18"/>
                <w:szCs w:val="18"/>
              </w:rPr>
              <w:t>Low volume of AML/CFT services outsourced</w:t>
            </w:r>
          </w:p>
          <w:p w14:paraId="2939177C" w14:textId="65432694" w:rsidR="00376383" w:rsidRPr="0075692B" w:rsidRDefault="00376383" w:rsidP="00376383">
            <w:pPr>
              <w:rPr>
                <w:rFonts w:ascii="Verdana" w:hAnsi="Verdana"/>
                <w:sz w:val="18"/>
                <w:szCs w:val="18"/>
              </w:rPr>
            </w:pPr>
          </w:p>
          <w:p w14:paraId="0E46AEC4" w14:textId="77777777" w:rsidR="00376383" w:rsidRPr="0075692B" w:rsidRDefault="00376383" w:rsidP="00376383">
            <w:pPr>
              <w:rPr>
                <w:rFonts w:ascii="Verdana" w:hAnsi="Verdana"/>
                <w:sz w:val="18"/>
                <w:szCs w:val="18"/>
              </w:rPr>
            </w:pPr>
          </w:p>
        </w:tc>
      </w:tr>
      <w:tr w:rsidR="00376383" w:rsidRPr="0075692B" w14:paraId="69B7001C" w14:textId="77777777" w:rsidTr="0075692B">
        <w:tc>
          <w:tcPr>
            <w:tcW w:w="2830" w:type="dxa"/>
          </w:tcPr>
          <w:p w14:paraId="6E40EAAF" w14:textId="05761588" w:rsidR="00376383" w:rsidRPr="0075692B" w:rsidRDefault="00462AA2" w:rsidP="00376383">
            <w:pPr>
              <w:rPr>
                <w:rFonts w:ascii="Verdana" w:hAnsi="Verdana"/>
                <w:sz w:val="18"/>
                <w:szCs w:val="18"/>
              </w:rPr>
            </w:pPr>
            <w:r>
              <w:rPr>
                <w:rFonts w:ascii="Verdana" w:hAnsi="Verdana"/>
                <w:sz w:val="18"/>
                <w:szCs w:val="18"/>
              </w:rPr>
              <w:t>Distribution/d</w:t>
            </w:r>
            <w:r w:rsidR="00376383" w:rsidRPr="0075692B">
              <w:rPr>
                <w:rFonts w:ascii="Verdana" w:hAnsi="Verdana"/>
                <w:sz w:val="18"/>
                <w:szCs w:val="18"/>
              </w:rPr>
              <w:t>elivery channels</w:t>
            </w:r>
          </w:p>
        </w:tc>
        <w:tc>
          <w:tcPr>
            <w:tcW w:w="3828" w:type="dxa"/>
          </w:tcPr>
          <w:p w14:paraId="1D41C9D8" w14:textId="51600D83" w:rsidR="00376383" w:rsidRPr="00125E84" w:rsidRDefault="00376383" w:rsidP="00125E84">
            <w:pPr>
              <w:pStyle w:val="ListParagraph"/>
              <w:numPr>
                <w:ilvl w:val="0"/>
                <w:numId w:val="26"/>
              </w:numPr>
              <w:rPr>
                <w:sz w:val="18"/>
                <w:szCs w:val="18"/>
              </w:rPr>
            </w:pPr>
            <w:r w:rsidRPr="00125E84">
              <w:rPr>
                <w:sz w:val="18"/>
                <w:szCs w:val="18"/>
              </w:rPr>
              <w:t>Non-face to face/ no direct customer interaction</w:t>
            </w:r>
          </w:p>
          <w:p w14:paraId="6CF34117" w14:textId="742BB2D3" w:rsidR="00376383" w:rsidRPr="00125E84" w:rsidRDefault="00376383" w:rsidP="00125E84">
            <w:pPr>
              <w:pStyle w:val="ListParagraph"/>
              <w:numPr>
                <w:ilvl w:val="0"/>
                <w:numId w:val="26"/>
              </w:numPr>
              <w:rPr>
                <w:sz w:val="18"/>
                <w:szCs w:val="18"/>
              </w:rPr>
            </w:pPr>
            <w:r w:rsidRPr="00125E84">
              <w:rPr>
                <w:sz w:val="18"/>
                <w:szCs w:val="18"/>
              </w:rPr>
              <w:t>Non-face to face through nominees</w:t>
            </w:r>
          </w:p>
          <w:p w14:paraId="4B781BA2" w14:textId="0F7A3E7D" w:rsidR="00376383" w:rsidRPr="00125E84" w:rsidRDefault="00376383" w:rsidP="00125E84">
            <w:pPr>
              <w:pStyle w:val="ListParagraph"/>
              <w:numPr>
                <w:ilvl w:val="0"/>
                <w:numId w:val="26"/>
              </w:numPr>
              <w:rPr>
                <w:sz w:val="18"/>
                <w:szCs w:val="18"/>
              </w:rPr>
            </w:pPr>
            <w:r w:rsidRPr="00125E84">
              <w:rPr>
                <w:sz w:val="18"/>
                <w:szCs w:val="18"/>
              </w:rPr>
              <w:t>Contacts through referral or Eligible introducers</w:t>
            </w:r>
          </w:p>
          <w:p w14:paraId="59C8EA98" w14:textId="77777777" w:rsidR="00376383" w:rsidRPr="0075692B" w:rsidRDefault="00376383" w:rsidP="00376383">
            <w:pPr>
              <w:rPr>
                <w:rFonts w:ascii="Verdana" w:hAnsi="Verdana"/>
                <w:sz w:val="18"/>
                <w:szCs w:val="18"/>
              </w:rPr>
            </w:pPr>
          </w:p>
          <w:p w14:paraId="0BDCB3C5" w14:textId="77777777" w:rsidR="00376383" w:rsidRPr="0075692B" w:rsidRDefault="00376383" w:rsidP="00376383">
            <w:pPr>
              <w:rPr>
                <w:rFonts w:ascii="Verdana" w:hAnsi="Verdana"/>
                <w:sz w:val="18"/>
                <w:szCs w:val="18"/>
              </w:rPr>
            </w:pPr>
          </w:p>
        </w:tc>
        <w:tc>
          <w:tcPr>
            <w:tcW w:w="3260" w:type="dxa"/>
          </w:tcPr>
          <w:p w14:paraId="2CE94B48" w14:textId="77777777" w:rsidR="00376383" w:rsidRPr="00125E84" w:rsidRDefault="00376383" w:rsidP="00125E84">
            <w:pPr>
              <w:pStyle w:val="ListParagraph"/>
              <w:numPr>
                <w:ilvl w:val="0"/>
                <w:numId w:val="26"/>
              </w:numPr>
              <w:rPr>
                <w:sz w:val="18"/>
                <w:szCs w:val="18"/>
              </w:rPr>
            </w:pPr>
            <w:r w:rsidRPr="00125E84">
              <w:rPr>
                <w:sz w:val="18"/>
                <w:szCs w:val="18"/>
              </w:rPr>
              <w:t>High level of face to face contacts</w:t>
            </w:r>
          </w:p>
          <w:p w14:paraId="4B2C9D6D" w14:textId="1E24A39A" w:rsidR="00376383" w:rsidRPr="00125E84" w:rsidRDefault="00376383" w:rsidP="00125E84">
            <w:pPr>
              <w:pStyle w:val="ListParagraph"/>
              <w:numPr>
                <w:ilvl w:val="0"/>
                <w:numId w:val="26"/>
              </w:numPr>
              <w:rPr>
                <w:sz w:val="18"/>
                <w:szCs w:val="18"/>
              </w:rPr>
            </w:pPr>
            <w:r w:rsidRPr="00125E84">
              <w:rPr>
                <w:sz w:val="18"/>
                <w:szCs w:val="18"/>
              </w:rPr>
              <w:t xml:space="preserve">Introducers are </w:t>
            </w:r>
            <w:r w:rsidR="00593F46">
              <w:rPr>
                <w:sz w:val="18"/>
                <w:szCs w:val="18"/>
              </w:rPr>
              <w:t xml:space="preserve">not </w:t>
            </w:r>
            <w:r w:rsidRPr="00125E84">
              <w:rPr>
                <w:sz w:val="18"/>
                <w:szCs w:val="18"/>
              </w:rPr>
              <w:t xml:space="preserve">from </w:t>
            </w:r>
            <w:r w:rsidR="00593F46">
              <w:rPr>
                <w:sz w:val="18"/>
                <w:szCs w:val="18"/>
              </w:rPr>
              <w:t xml:space="preserve">high risk </w:t>
            </w:r>
            <w:r w:rsidRPr="00125E84">
              <w:rPr>
                <w:sz w:val="18"/>
                <w:szCs w:val="18"/>
              </w:rPr>
              <w:t xml:space="preserve">countries </w:t>
            </w:r>
          </w:p>
          <w:p w14:paraId="760F5D81" w14:textId="77777777" w:rsidR="00376383" w:rsidRPr="00125E84" w:rsidRDefault="00376383" w:rsidP="00125E84">
            <w:pPr>
              <w:pStyle w:val="ListParagraph"/>
              <w:numPr>
                <w:ilvl w:val="0"/>
                <w:numId w:val="26"/>
              </w:numPr>
              <w:rPr>
                <w:sz w:val="18"/>
                <w:szCs w:val="18"/>
              </w:rPr>
            </w:pPr>
            <w:r w:rsidRPr="00125E84">
              <w:rPr>
                <w:sz w:val="18"/>
                <w:szCs w:val="18"/>
              </w:rPr>
              <w:t>Introducers who are regulated.</w:t>
            </w:r>
          </w:p>
          <w:p w14:paraId="5A1CA2B5" w14:textId="7F5D641E" w:rsidR="00376383" w:rsidRPr="00125E84" w:rsidRDefault="00376383" w:rsidP="00125E84">
            <w:pPr>
              <w:pStyle w:val="ListParagraph"/>
              <w:numPr>
                <w:ilvl w:val="0"/>
                <w:numId w:val="26"/>
              </w:numPr>
              <w:rPr>
                <w:sz w:val="18"/>
                <w:szCs w:val="18"/>
              </w:rPr>
            </w:pPr>
            <w:r w:rsidRPr="00125E84">
              <w:rPr>
                <w:sz w:val="18"/>
                <w:szCs w:val="18"/>
              </w:rPr>
              <w:t>Introducers are within a group structure.</w:t>
            </w:r>
          </w:p>
          <w:p w14:paraId="0CF9E446" w14:textId="05243BF4" w:rsidR="00376383" w:rsidRPr="0075692B" w:rsidRDefault="00376383" w:rsidP="00376383">
            <w:pPr>
              <w:rPr>
                <w:rFonts w:ascii="Verdana" w:hAnsi="Verdana"/>
                <w:sz w:val="18"/>
                <w:szCs w:val="18"/>
              </w:rPr>
            </w:pPr>
          </w:p>
        </w:tc>
      </w:tr>
    </w:tbl>
    <w:p w14:paraId="3EDCFD00" w14:textId="77777777" w:rsidR="00AE7F7C" w:rsidRDefault="00AE7F7C" w:rsidP="00AE7F7C">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3A3FAD91" w14:textId="4FF28621" w:rsidR="006918C9" w:rsidRPr="009A26DE" w:rsidRDefault="009A26DE" w:rsidP="009A26DE">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9A26DE">
        <w:rPr>
          <w:rFonts w:ascii="Verdana" w:eastAsiaTheme="minorHAnsi" w:hAnsi="Verdana" w:cs="Times New Roman"/>
          <w:color w:val="000000" w:themeColor="text1"/>
          <w:sz w:val="20"/>
          <w:szCs w:val="20"/>
          <w:lang w:val="en-US"/>
        </w:rPr>
        <w:t>To allow for a structured analysis of available data according to geographic exposure, it was necessary to define the term “high risk jurisdiction.” Countries with weak or insufficient AML/CFT measures present a higher ML/TF risk</w:t>
      </w:r>
      <w:r w:rsidR="00770306">
        <w:rPr>
          <w:rFonts w:ascii="Verdana" w:eastAsiaTheme="minorHAnsi" w:hAnsi="Verdana" w:cs="Times New Roman"/>
          <w:color w:val="000000" w:themeColor="text1"/>
          <w:sz w:val="20"/>
          <w:szCs w:val="20"/>
          <w:lang w:val="en-US"/>
        </w:rPr>
        <w:t>,</w:t>
      </w:r>
      <w:r w:rsidRPr="009A26DE">
        <w:rPr>
          <w:rFonts w:ascii="Verdana" w:eastAsiaTheme="minorHAnsi" w:hAnsi="Verdana" w:cs="Times New Roman"/>
          <w:color w:val="000000" w:themeColor="text1"/>
          <w:sz w:val="20"/>
          <w:szCs w:val="20"/>
          <w:lang w:val="en-US"/>
        </w:rPr>
        <w:t xml:space="preserve"> as do countries associated with high degrees of bribery and corruption, tax evasion, terrorism, conflict zones and organized crime. Countries focused on for purposes of this analysis were therefore those on the FATF list of high-risk </w:t>
      </w:r>
      <w:r w:rsidR="00BE3D7E">
        <w:rPr>
          <w:rFonts w:ascii="Verdana" w:eastAsiaTheme="minorHAnsi" w:hAnsi="Verdana" w:cs="Times New Roman"/>
          <w:color w:val="000000" w:themeColor="text1"/>
          <w:sz w:val="20"/>
          <w:szCs w:val="20"/>
          <w:lang w:val="en-US"/>
        </w:rPr>
        <w:t xml:space="preserve">countries </w:t>
      </w:r>
      <w:r w:rsidRPr="009A26DE">
        <w:rPr>
          <w:rFonts w:ascii="Verdana" w:eastAsiaTheme="minorHAnsi" w:hAnsi="Verdana" w:cs="Times New Roman"/>
          <w:color w:val="000000" w:themeColor="text1"/>
          <w:sz w:val="20"/>
          <w:szCs w:val="20"/>
          <w:lang w:val="en-US"/>
        </w:rPr>
        <w:t>and other monitored jurisdictions</w:t>
      </w:r>
      <w:r w:rsidR="00EF6E7D">
        <w:rPr>
          <w:rFonts w:ascii="Verdana" w:eastAsiaTheme="minorHAnsi" w:hAnsi="Verdana" w:cs="Times New Roman"/>
          <w:color w:val="000000" w:themeColor="text1"/>
          <w:sz w:val="20"/>
          <w:szCs w:val="20"/>
          <w:lang w:val="en-US"/>
        </w:rPr>
        <w:t>,</w:t>
      </w:r>
      <w:r>
        <w:rPr>
          <w:rStyle w:val="FootnoteReference"/>
          <w:rFonts w:ascii="Verdana" w:eastAsiaTheme="minorHAnsi" w:hAnsi="Verdana" w:cs="Times New Roman"/>
          <w:color w:val="000000" w:themeColor="text1"/>
          <w:sz w:val="20"/>
          <w:szCs w:val="20"/>
          <w:lang w:val="en-US"/>
        </w:rPr>
        <w:footnoteReference w:id="3"/>
      </w:r>
      <w:r>
        <w:rPr>
          <w:rFonts w:ascii="Verdana" w:eastAsiaTheme="minorHAnsi" w:hAnsi="Verdana" w:cs="Times New Roman"/>
          <w:color w:val="000000" w:themeColor="text1"/>
          <w:sz w:val="20"/>
          <w:szCs w:val="20"/>
          <w:lang w:val="en-US"/>
        </w:rPr>
        <w:t xml:space="preserve"> </w:t>
      </w:r>
      <w:r w:rsidRPr="009A26DE">
        <w:rPr>
          <w:rFonts w:ascii="Verdana" w:eastAsiaTheme="minorHAnsi" w:hAnsi="Verdana" w:cs="Times New Roman"/>
          <w:color w:val="000000" w:themeColor="text1"/>
          <w:sz w:val="20"/>
          <w:szCs w:val="20"/>
          <w:lang w:val="en-US"/>
        </w:rPr>
        <w:t>countries against which the United Nations has imposed sanctions</w:t>
      </w:r>
      <w:r w:rsidRPr="00AD013C">
        <w:rPr>
          <w:rStyle w:val="FootnoteReference"/>
          <w:rFonts w:ascii="Verdana" w:eastAsiaTheme="minorHAnsi" w:hAnsi="Verdana" w:cs="Times New Roman"/>
          <w:color w:val="000000" w:themeColor="text1"/>
          <w:sz w:val="20"/>
          <w:szCs w:val="20"/>
          <w:lang w:val="en-US"/>
        </w:rPr>
        <w:footnoteReference w:id="4"/>
      </w:r>
      <w:r w:rsidR="00AD013C" w:rsidRPr="00AD013C">
        <w:rPr>
          <w:rStyle w:val="FootnoteReference"/>
        </w:rPr>
        <w:t xml:space="preserve"> </w:t>
      </w:r>
      <w:r w:rsidR="00AD013C" w:rsidRPr="00AD013C">
        <w:rPr>
          <w:rFonts w:ascii="Verdana" w:eastAsiaTheme="minorHAnsi" w:hAnsi="Verdana" w:cs="Times New Roman"/>
          <w:color w:val="000000" w:themeColor="text1"/>
          <w:sz w:val="20"/>
          <w:szCs w:val="20"/>
          <w:lang w:val="en-US"/>
        </w:rPr>
        <w:t>and the first 20 countries on the Basel AML Index issued by the Basel Institute on Governance</w:t>
      </w:r>
      <w:r w:rsidR="00AD013C">
        <w:rPr>
          <w:rStyle w:val="FootnoteReference"/>
          <w:rFonts w:ascii="Verdana" w:eastAsiaTheme="minorHAnsi" w:hAnsi="Verdana" w:cs="Times New Roman"/>
          <w:color w:val="000000" w:themeColor="text1"/>
          <w:sz w:val="20"/>
          <w:szCs w:val="20"/>
          <w:lang w:val="en-US"/>
        </w:rPr>
        <w:footnoteReference w:id="5"/>
      </w:r>
      <w:r>
        <w:rPr>
          <w:rFonts w:ascii="Verdana" w:eastAsiaTheme="minorHAnsi" w:hAnsi="Verdana" w:cs="Times New Roman"/>
          <w:color w:val="000000" w:themeColor="text1"/>
          <w:sz w:val="20"/>
          <w:szCs w:val="20"/>
          <w:lang w:val="en-US"/>
        </w:rPr>
        <w:t>.</w:t>
      </w:r>
    </w:p>
    <w:p w14:paraId="37F25431" w14:textId="1F914B55" w:rsidR="006918C9" w:rsidRDefault="006918C9" w:rsidP="006918C9">
      <w:pPr>
        <w:rPr>
          <w:rFonts w:ascii="Verdana" w:eastAsiaTheme="majorEastAsia" w:hAnsi="Verdana" w:cstheme="majorBidi"/>
          <w:color w:val="17365D" w:themeColor="text2" w:themeShade="BF"/>
          <w:spacing w:val="5"/>
          <w:kern w:val="28"/>
        </w:rPr>
      </w:pPr>
    </w:p>
    <w:p w14:paraId="3D343EAE" w14:textId="56028DCE" w:rsidR="00C77E37" w:rsidRDefault="00BD4D57" w:rsidP="00C77E37">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Pr>
          <w:rFonts w:ascii="Verdana" w:eastAsiaTheme="minorHAnsi" w:hAnsi="Verdana" w:cs="Times New Roman"/>
          <w:color w:val="000000" w:themeColor="text1"/>
          <w:sz w:val="20"/>
          <w:szCs w:val="20"/>
          <w:lang w:val="en-US"/>
        </w:rPr>
        <w:t>T</w:t>
      </w:r>
      <w:r w:rsidR="00C77E37" w:rsidRPr="00C77E37">
        <w:rPr>
          <w:rFonts w:ascii="Verdana" w:eastAsiaTheme="minorHAnsi" w:hAnsi="Verdana" w:cs="Times New Roman"/>
          <w:color w:val="000000" w:themeColor="text1"/>
          <w:sz w:val="20"/>
          <w:szCs w:val="20"/>
          <w:lang w:val="en-US"/>
        </w:rPr>
        <w:t xml:space="preserve">he abovementioned risk factors </w:t>
      </w:r>
      <w:proofErr w:type="gramStart"/>
      <w:r w:rsidR="00C77E37" w:rsidRPr="00C77E37">
        <w:rPr>
          <w:rFonts w:ascii="Verdana" w:eastAsiaTheme="minorHAnsi" w:hAnsi="Verdana" w:cs="Times New Roman"/>
          <w:color w:val="000000" w:themeColor="text1"/>
          <w:sz w:val="20"/>
          <w:szCs w:val="20"/>
          <w:lang w:val="en-US"/>
        </w:rPr>
        <w:t>has</w:t>
      </w:r>
      <w:proofErr w:type="gramEnd"/>
      <w:r w:rsidR="00C77E37" w:rsidRPr="00C77E37">
        <w:rPr>
          <w:rFonts w:ascii="Verdana" w:eastAsiaTheme="minorHAnsi" w:hAnsi="Verdana" w:cs="Times New Roman"/>
          <w:color w:val="000000" w:themeColor="text1"/>
          <w:sz w:val="20"/>
          <w:szCs w:val="20"/>
          <w:lang w:val="en-US"/>
        </w:rPr>
        <w:t xml:space="preserve"> been given one of the four risk ratings </w:t>
      </w:r>
      <w:r w:rsidR="00C77E37" w:rsidRPr="006E609E">
        <w:rPr>
          <w:rFonts w:ascii="Verdana" w:eastAsiaTheme="minorHAnsi" w:hAnsi="Verdana" w:cs="Times New Roman"/>
          <w:b/>
          <w:bCs/>
          <w:i/>
          <w:iCs/>
          <w:color w:val="000000" w:themeColor="text1"/>
          <w:sz w:val="20"/>
          <w:szCs w:val="20"/>
          <w:lang w:val="en-US"/>
        </w:rPr>
        <w:t>low, medium-low, medium-high, high</w:t>
      </w:r>
      <w:r w:rsidR="00C77E37" w:rsidRPr="00C77E37">
        <w:rPr>
          <w:rFonts w:ascii="Verdana" w:eastAsiaTheme="minorHAnsi" w:hAnsi="Verdana" w:cs="Times New Roman"/>
          <w:color w:val="000000" w:themeColor="text1"/>
          <w:sz w:val="20"/>
          <w:szCs w:val="20"/>
          <w:lang w:val="en-US"/>
        </w:rPr>
        <w:t xml:space="preserve">. This approach is in line with the CIMA 2017 AML/CFT Sector Specific Risk Assessments. </w:t>
      </w:r>
    </w:p>
    <w:p w14:paraId="1643E2C9" w14:textId="456006F2" w:rsidR="00C54FEF" w:rsidRDefault="00C54FEF" w:rsidP="00C54FEF">
      <w:pPr>
        <w:rPr>
          <w:rFonts w:eastAsiaTheme="minorHAnsi"/>
          <w:lang w:val="en-US"/>
        </w:rPr>
      </w:pPr>
    </w:p>
    <w:tbl>
      <w:tblPr>
        <w:tblStyle w:val="TableGrid"/>
        <w:tblW w:w="0" w:type="auto"/>
        <w:jc w:val="center"/>
        <w:tblLook w:val="04A0" w:firstRow="1" w:lastRow="0" w:firstColumn="1" w:lastColumn="0" w:noHBand="0" w:noVBand="1"/>
      </w:tblPr>
      <w:tblGrid>
        <w:gridCol w:w="2263"/>
        <w:gridCol w:w="2977"/>
      </w:tblGrid>
      <w:tr w:rsidR="00C54FEF" w:rsidRPr="001D0A24" w14:paraId="36F474A3" w14:textId="77777777" w:rsidTr="00C54FEF">
        <w:trPr>
          <w:jc w:val="center"/>
        </w:trPr>
        <w:tc>
          <w:tcPr>
            <w:tcW w:w="2263" w:type="dxa"/>
            <w:shd w:val="clear" w:color="auto" w:fill="00B050"/>
          </w:tcPr>
          <w:p w14:paraId="1C9802FF" w14:textId="77777777" w:rsidR="00C54FEF" w:rsidRPr="00892CA6" w:rsidRDefault="00C54FEF" w:rsidP="00C54FEF">
            <w:pPr>
              <w:pStyle w:val="NormalWeb"/>
              <w:jc w:val="both"/>
              <w:rPr>
                <w:rFonts w:ascii="Verdana" w:hAnsi="Verdana" w:cstheme="minorHAnsi"/>
                <w:color w:val="191919"/>
                <w:sz w:val="20"/>
                <w:szCs w:val="20"/>
              </w:rPr>
            </w:pPr>
            <w:r w:rsidRPr="00892CA6">
              <w:rPr>
                <w:rFonts w:ascii="Verdana" w:hAnsi="Verdana" w:cstheme="minorHAnsi"/>
                <w:color w:val="191919"/>
                <w:sz w:val="20"/>
                <w:szCs w:val="20"/>
              </w:rPr>
              <w:t>low</w:t>
            </w:r>
          </w:p>
        </w:tc>
        <w:tc>
          <w:tcPr>
            <w:tcW w:w="2977" w:type="dxa"/>
          </w:tcPr>
          <w:p w14:paraId="0EB7A9A9" w14:textId="77777777" w:rsidR="00C54FEF" w:rsidRPr="00892CA6" w:rsidRDefault="00C54FEF" w:rsidP="00C54FEF">
            <w:pPr>
              <w:pStyle w:val="NormalWeb"/>
              <w:jc w:val="both"/>
              <w:rPr>
                <w:rFonts w:ascii="Verdana" w:hAnsi="Verdana" w:cstheme="minorHAnsi"/>
                <w:color w:val="191919"/>
                <w:sz w:val="20"/>
                <w:szCs w:val="20"/>
              </w:rPr>
            </w:pPr>
            <w:r w:rsidRPr="00892CA6">
              <w:rPr>
                <w:rFonts w:ascii="Verdana" w:hAnsi="Verdana" w:cstheme="minorHAnsi"/>
                <w:color w:val="191919"/>
                <w:sz w:val="20"/>
                <w:szCs w:val="20"/>
              </w:rPr>
              <w:t>unlikely</w:t>
            </w:r>
          </w:p>
        </w:tc>
      </w:tr>
      <w:tr w:rsidR="00C54FEF" w:rsidRPr="001D0A24" w14:paraId="3BE736AE" w14:textId="77777777" w:rsidTr="00C54FEF">
        <w:trPr>
          <w:jc w:val="center"/>
        </w:trPr>
        <w:tc>
          <w:tcPr>
            <w:tcW w:w="2263" w:type="dxa"/>
            <w:shd w:val="clear" w:color="auto" w:fill="FFFF00"/>
          </w:tcPr>
          <w:p w14:paraId="5B2B6C8D" w14:textId="77777777" w:rsidR="00C54FEF" w:rsidRPr="00892CA6" w:rsidRDefault="00C54FEF" w:rsidP="00C54FEF">
            <w:pPr>
              <w:pStyle w:val="NormalWeb"/>
              <w:jc w:val="both"/>
              <w:rPr>
                <w:rFonts w:ascii="Verdana" w:hAnsi="Verdana" w:cstheme="minorHAnsi"/>
                <w:color w:val="191919"/>
                <w:sz w:val="20"/>
                <w:szCs w:val="20"/>
              </w:rPr>
            </w:pPr>
            <w:r w:rsidRPr="00892CA6">
              <w:rPr>
                <w:rFonts w:ascii="Verdana" w:hAnsi="Verdana" w:cstheme="minorHAnsi"/>
                <w:color w:val="191919"/>
                <w:sz w:val="20"/>
                <w:szCs w:val="20"/>
              </w:rPr>
              <w:t>medium-low</w:t>
            </w:r>
          </w:p>
        </w:tc>
        <w:tc>
          <w:tcPr>
            <w:tcW w:w="2977" w:type="dxa"/>
          </w:tcPr>
          <w:p w14:paraId="2BF0472C" w14:textId="77777777" w:rsidR="00C54FEF" w:rsidRPr="00892CA6" w:rsidRDefault="00C54FEF" w:rsidP="00C54FEF">
            <w:pPr>
              <w:pStyle w:val="NormalWeb"/>
              <w:jc w:val="both"/>
              <w:rPr>
                <w:rFonts w:ascii="Verdana" w:hAnsi="Verdana" w:cstheme="minorHAnsi"/>
                <w:color w:val="191919"/>
                <w:sz w:val="20"/>
                <w:szCs w:val="20"/>
              </w:rPr>
            </w:pPr>
            <w:r w:rsidRPr="00892CA6">
              <w:rPr>
                <w:rFonts w:ascii="Verdana" w:hAnsi="Verdana" w:cstheme="minorHAnsi"/>
                <w:color w:val="191919"/>
                <w:sz w:val="20"/>
                <w:szCs w:val="20"/>
              </w:rPr>
              <w:t>possible</w:t>
            </w:r>
          </w:p>
        </w:tc>
      </w:tr>
      <w:tr w:rsidR="00C54FEF" w:rsidRPr="001D0A24" w14:paraId="20AD9319" w14:textId="77777777" w:rsidTr="00C54FEF">
        <w:trPr>
          <w:jc w:val="center"/>
        </w:trPr>
        <w:tc>
          <w:tcPr>
            <w:tcW w:w="2263" w:type="dxa"/>
            <w:shd w:val="clear" w:color="auto" w:fill="FFC000"/>
          </w:tcPr>
          <w:p w14:paraId="302986EE" w14:textId="77777777" w:rsidR="00C54FEF" w:rsidRPr="00892CA6" w:rsidRDefault="00C54FEF" w:rsidP="00C54FEF">
            <w:pPr>
              <w:pStyle w:val="NormalWeb"/>
              <w:jc w:val="both"/>
              <w:rPr>
                <w:rFonts w:ascii="Verdana" w:hAnsi="Verdana" w:cstheme="minorHAnsi"/>
                <w:color w:val="191919"/>
                <w:sz w:val="20"/>
                <w:szCs w:val="20"/>
              </w:rPr>
            </w:pPr>
            <w:r w:rsidRPr="00892CA6">
              <w:rPr>
                <w:rFonts w:ascii="Verdana" w:hAnsi="Verdana" w:cstheme="minorHAnsi"/>
                <w:color w:val="191919"/>
                <w:sz w:val="20"/>
                <w:szCs w:val="20"/>
              </w:rPr>
              <w:t>medium-high</w:t>
            </w:r>
          </w:p>
        </w:tc>
        <w:tc>
          <w:tcPr>
            <w:tcW w:w="2977" w:type="dxa"/>
          </w:tcPr>
          <w:p w14:paraId="442A2A82" w14:textId="77777777" w:rsidR="00C54FEF" w:rsidRPr="00892CA6" w:rsidRDefault="00C54FEF" w:rsidP="00C54FEF">
            <w:pPr>
              <w:pStyle w:val="NormalWeb"/>
              <w:jc w:val="both"/>
              <w:rPr>
                <w:rFonts w:ascii="Verdana" w:hAnsi="Verdana" w:cstheme="minorHAnsi"/>
                <w:color w:val="191919"/>
                <w:sz w:val="20"/>
                <w:szCs w:val="20"/>
              </w:rPr>
            </w:pPr>
            <w:r w:rsidRPr="00892CA6">
              <w:rPr>
                <w:rFonts w:ascii="Verdana" w:hAnsi="Verdana" w:cstheme="minorHAnsi"/>
                <w:color w:val="191919"/>
                <w:sz w:val="20"/>
                <w:szCs w:val="20"/>
              </w:rPr>
              <w:t>likely</w:t>
            </w:r>
          </w:p>
        </w:tc>
      </w:tr>
      <w:tr w:rsidR="00C54FEF" w:rsidRPr="001D0A24" w14:paraId="37CCDC30" w14:textId="77777777" w:rsidTr="00C54FEF">
        <w:trPr>
          <w:jc w:val="center"/>
        </w:trPr>
        <w:tc>
          <w:tcPr>
            <w:tcW w:w="2263" w:type="dxa"/>
            <w:shd w:val="clear" w:color="auto" w:fill="FF0000"/>
          </w:tcPr>
          <w:p w14:paraId="3DF0DFB4" w14:textId="77777777" w:rsidR="00C54FEF" w:rsidRPr="00892CA6" w:rsidRDefault="00C54FEF" w:rsidP="00C54FEF">
            <w:pPr>
              <w:pStyle w:val="NormalWeb"/>
              <w:jc w:val="both"/>
              <w:rPr>
                <w:rFonts w:ascii="Verdana" w:hAnsi="Verdana" w:cstheme="minorHAnsi"/>
                <w:color w:val="191919"/>
                <w:sz w:val="20"/>
                <w:szCs w:val="20"/>
              </w:rPr>
            </w:pPr>
            <w:r w:rsidRPr="00892CA6">
              <w:rPr>
                <w:rFonts w:ascii="Verdana" w:hAnsi="Verdana" w:cstheme="minorHAnsi"/>
                <w:color w:val="191919"/>
                <w:sz w:val="20"/>
                <w:szCs w:val="20"/>
              </w:rPr>
              <w:t>high</w:t>
            </w:r>
          </w:p>
        </w:tc>
        <w:tc>
          <w:tcPr>
            <w:tcW w:w="2977" w:type="dxa"/>
          </w:tcPr>
          <w:p w14:paraId="5CC2CA04" w14:textId="77777777" w:rsidR="00C54FEF" w:rsidRPr="00892CA6" w:rsidRDefault="00C54FEF" w:rsidP="00C54FEF">
            <w:pPr>
              <w:pStyle w:val="NormalWeb"/>
              <w:jc w:val="both"/>
              <w:rPr>
                <w:rFonts w:ascii="Verdana" w:hAnsi="Verdana" w:cstheme="minorHAnsi"/>
                <w:color w:val="191919"/>
                <w:sz w:val="20"/>
                <w:szCs w:val="20"/>
              </w:rPr>
            </w:pPr>
            <w:r w:rsidRPr="00892CA6">
              <w:rPr>
                <w:rFonts w:ascii="Verdana" w:hAnsi="Verdana" w:cstheme="minorHAnsi"/>
                <w:color w:val="191919"/>
                <w:sz w:val="20"/>
                <w:szCs w:val="20"/>
              </w:rPr>
              <w:t>very likely</w:t>
            </w:r>
          </w:p>
        </w:tc>
      </w:tr>
    </w:tbl>
    <w:p w14:paraId="0FF74829" w14:textId="77777777" w:rsidR="00C54FEF" w:rsidRPr="00C54FEF" w:rsidRDefault="00C54FEF" w:rsidP="00C54FEF">
      <w:pPr>
        <w:rPr>
          <w:rFonts w:eastAsiaTheme="minorHAnsi"/>
          <w:lang w:val="en-US"/>
        </w:rPr>
      </w:pPr>
    </w:p>
    <w:p w14:paraId="62CCBB85" w14:textId="77777777" w:rsidR="00B30DCD" w:rsidRDefault="00B30DCD" w:rsidP="00B30DCD">
      <w:pPr>
        <w:pStyle w:val="Heading2"/>
        <w:keepNext w:val="0"/>
        <w:keepLines w:val="0"/>
        <w:spacing w:before="0" w:line="276" w:lineRule="auto"/>
        <w:ind w:right="-6"/>
        <w:jc w:val="both"/>
        <w:rPr>
          <w:rFonts w:ascii="Verdana" w:eastAsiaTheme="minorHAnsi" w:hAnsi="Verdana" w:cs="Times New Roman"/>
          <w:b/>
          <w:bCs/>
          <w:color w:val="000000" w:themeColor="text1"/>
          <w:sz w:val="20"/>
          <w:szCs w:val="20"/>
          <w:lang w:val="en-US"/>
        </w:rPr>
      </w:pPr>
    </w:p>
    <w:p w14:paraId="64F441E0" w14:textId="7A38D9F7" w:rsidR="00B30DCD" w:rsidRDefault="00B30DCD" w:rsidP="005E4BB0">
      <w:pPr>
        <w:pStyle w:val="Heading2"/>
        <w:keepNext w:val="0"/>
        <w:keepLines w:val="0"/>
        <w:spacing w:before="0" w:line="276" w:lineRule="auto"/>
        <w:ind w:right="-6"/>
        <w:jc w:val="both"/>
        <w:rPr>
          <w:rFonts w:ascii="Verdana" w:eastAsiaTheme="minorHAnsi" w:hAnsi="Verdana" w:cs="Times New Roman"/>
          <w:b/>
          <w:bCs/>
          <w:color w:val="000000" w:themeColor="text1"/>
          <w:sz w:val="20"/>
          <w:szCs w:val="20"/>
          <w:lang w:val="en-US"/>
        </w:rPr>
      </w:pPr>
      <w:r w:rsidRPr="00B30DCD">
        <w:rPr>
          <w:rFonts w:ascii="Verdana" w:eastAsiaTheme="minorHAnsi" w:hAnsi="Verdana" w:cs="Times New Roman"/>
          <w:b/>
          <w:bCs/>
          <w:color w:val="000000" w:themeColor="text1"/>
          <w:sz w:val="20"/>
          <w:szCs w:val="20"/>
          <w:lang w:val="en-US"/>
        </w:rPr>
        <w:lastRenderedPageBreak/>
        <w:t>Money Laundering (ML)/Terrorist Financing (TF) – Risk-Based Mitigation Measures</w:t>
      </w:r>
    </w:p>
    <w:p w14:paraId="720ED422" w14:textId="77777777" w:rsidR="005E4BB0" w:rsidRPr="005E4BB0" w:rsidRDefault="005E4BB0" w:rsidP="005E4BB0">
      <w:pPr>
        <w:rPr>
          <w:lang w:val="en-US"/>
        </w:rPr>
      </w:pPr>
    </w:p>
    <w:p w14:paraId="099012B5" w14:textId="5D616F8B" w:rsidR="00B30DCD" w:rsidRPr="005E4BB0" w:rsidRDefault="00B30DCD" w:rsidP="005E4BB0">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30DCD">
        <w:rPr>
          <w:rFonts w:ascii="Verdana" w:eastAsiaTheme="minorHAnsi" w:hAnsi="Verdana" w:cs="Times New Roman"/>
          <w:color w:val="000000" w:themeColor="text1"/>
          <w:sz w:val="20"/>
          <w:szCs w:val="20"/>
          <w:lang w:val="en-US"/>
        </w:rPr>
        <w:t xml:space="preserve">The Authority has taken several steps to mitigate the ML/TF exposures of its </w:t>
      </w:r>
      <w:r>
        <w:rPr>
          <w:rFonts w:ascii="Verdana" w:eastAsiaTheme="minorHAnsi" w:hAnsi="Verdana" w:cs="Times New Roman"/>
          <w:color w:val="000000" w:themeColor="text1"/>
          <w:sz w:val="20"/>
          <w:szCs w:val="20"/>
          <w:lang w:val="en-US"/>
        </w:rPr>
        <w:t>mutual fund administrator</w:t>
      </w:r>
      <w:r w:rsidRPr="00B30DCD">
        <w:rPr>
          <w:rFonts w:ascii="Verdana" w:eastAsiaTheme="minorHAnsi" w:hAnsi="Verdana" w:cs="Times New Roman"/>
          <w:color w:val="000000" w:themeColor="text1"/>
          <w:sz w:val="20"/>
          <w:szCs w:val="20"/>
          <w:lang w:val="en-US"/>
        </w:rPr>
        <w:t xml:space="preserve"> licensees. Some of these steps include</w:t>
      </w:r>
      <w:r w:rsidRPr="005E4BB0">
        <w:rPr>
          <w:rFonts w:ascii="Verdana" w:eastAsiaTheme="minorHAnsi" w:hAnsi="Verdana" w:cs="Times New Roman"/>
          <w:color w:val="000000" w:themeColor="text1"/>
          <w:sz w:val="20"/>
          <w:szCs w:val="20"/>
          <w:lang w:val="en-US"/>
        </w:rPr>
        <w:t>:</w:t>
      </w:r>
    </w:p>
    <w:p w14:paraId="772A658B" w14:textId="2E5FDD73" w:rsidR="00B30DCD" w:rsidRDefault="00B30DCD" w:rsidP="00B30DCD">
      <w:pPr>
        <w:pStyle w:val="ListParagraph"/>
        <w:numPr>
          <w:ilvl w:val="0"/>
          <w:numId w:val="21"/>
        </w:numPr>
        <w:spacing w:after="200" w:line="276" w:lineRule="auto"/>
        <w:jc w:val="both"/>
        <w:rPr>
          <w:sz w:val="20"/>
          <w:szCs w:val="20"/>
        </w:rPr>
      </w:pPr>
      <w:r>
        <w:rPr>
          <w:sz w:val="20"/>
          <w:szCs w:val="20"/>
        </w:rPr>
        <w:t>Enhanced risk-based supervisory framework</w:t>
      </w:r>
      <w:r w:rsidR="00662303">
        <w:rPr>
          <w:sz w:val="20"/>
          <w:szCs w:val="20"/>
        </w:rPr>
        <w:t>,</w:t>
      </w:r>
      <w:r>
        <w:rPr>
          <w:sz w:val="20"/>
          <w:szCs w:val="20"/>
        </w:rPr>
        <w:t xml:space="preserve"> including risk assessment of licensees for their ML/TF exposure</w:t>
      </w:r>
      <w:r w:rsidR="00981235">
        <w:rPr>
          <w:sz w:val="20"/>
          <w:szCs w:val="20"/>
        </w:rPr>
        <w:t>;</w:t>
      </w:r>
    </w:p>
    <w:p w14:paraId="308683C0" w14:textId="3B1F95D5" w:rsidR="00B30DCD" w:rsidRDefault="00B30DCD" w:rsidP="00B30DCD">
      <w:pPr>
        <w:pStyle w:val="ListParagraph"/>
        <w:numPr>
          <w:ilvl w:val="0"/>
          <w:numId w:val="21"/>
        </w:numPr>
        <w:spacing w:after="200" w:line="276" w:lineRule="auto"/>
        <w:jc w:val="both"/>
        <w:rPr>
          <w:sz w:val="20"/>
          <w:szCs w:val="20"/>
        </w:rPr>
      </w:pPr>
      <w:r>
        <w:rPr>
          <w:sz w:val="20"/>
          <w:szCs w:val="20"/>
        </w:rPr>
        <w:t>Enhanced international corporation with overseas regulators</w:t>
      </w:r>
      <w:r w:rsidR="00981235">
        <w:rPr>
          <w:sz w:val="20"/>
          <w:szCs w:val="20"/>
        </w:rPr>
        <w:t>;</w:t>
      </w:r>
    </w:p>
    <w:p w14:paraId="33793923" w14:textId="195DCF8E" w:rsidR="00B30DCD" w:rsidRDefault="00B30DCD" w:rsidP="00B30DCD">
      <w:pPr>
        <w:pStyle w:val="ListParagraph"/>
        <w:numPr>
          <w:ilvl w:val="0"/>
          <w:numId w:val="21"/>
        </w:numPr>
        <w:spacing w:after="200" w:line="276" w:lineRule="auto"/>
        <w:jc w:val="both"/>
        <w:rPr>
          <w:sz w:val="20"/>
          <w:szCs w:val="20"/>
        </w:rPr>
      </w:pPr>
      <w:r>
        <w:rPr>
          <w:sz w:val="20"/>
          <w:szCs w:val="20"/>
        </w:rPr>
        <w:t>More AML/CFT focused onsite inspections</w:t>
      </w:r>
      <w:r w:rsidR="00981235">
        <w:rPr>
          <w:sz w:val="20"/>
          <w:szCs w:val="20"/>
        </w:rPr>
        <w:t>; and</w:t>
      </w:r>
    </w:p>
    <w:p w14:paraId="1050F4B8" w14:textId="657EEB18" w:rsidR="00B30DCD" w:rsidRDefault="00B30DCD" w:rsidP="00B30DCD">
      <w:pPr>
        <w:pStyle w:val="ListParagraph"/>
        <w:numPr>
          <w:ilvl w:val="0"/>
          <w:numId w:val="21"/>
        </w:numPr>
        <w:spacing w:after="200" w:line="276" w:lineRule="auto"/>
        <w:jc w:val="both"/>
        <w:rPr>
          <w:sz w:val="20"/>
          <w:szCs w:val="20"/>
        </w:rPr>
      </w:pPr>
      <w:r>
        <w:rPr>
          <w:sz w:val="20"/>
          <w:szCs w:val="20"/>
        </w:rPr>
        <w:t>AML/CFT Training and outreach programs</w:t>
      </w:r>
      <w:r w:rsidR="00662303">
        <w:rPr>
          <w:sz w:val="20"/>
          <w:szCs w:val="20"/>
        </w:rPr>
        <w:t xml:space="preserve"> focusing on the ML/TF risks specific to the sector</w:t>
      </w:r>
      <w:r w:rsidR="00981235">
        <w:rPr>
          <w:sz w:val="20"/>
          <w:szCs w:val="20"/>
        </w:rPr>
        <w:t>.</w:t>
      </w:r>
    </w:p>
    <w:p w14:paraId="2715F64B" w14:textId="77777777" w:rsidR="00094DD1" w:rsidRPr="00094DD1" w:rsidRDefault="00094DD1" w:rsidP="00094DD1">
      <w:pPr>
        <w:rPr>
          <w:rFonts w:eastAsiaTheme="minorHAnsi"/>
          <w:lang w:val="en-US"/>
        </w:rPr>
      </w:pPr>
    </w:p>
    <w:p w14:paraId="1C3B7E47" w14:textId="45C3DD14" w:rsidR="006E609E" w:rsidRPr="006E609E" w:rsidRDefault="006E609E" w:rsidP="006E609E">
      <w:pPr>
        <w:jc w:val="both"/>
        <w:rPr>
          <w:rFonts w:ascii="Verdana" w:hAnsi="Verdana"/>
          <w:b/>
        </w:rPr>
      </w:pPr>
      <w:r w:rsidRPr="006E609E">
        <w:rPr>
          <w:rFonts w:ascii="Verdana" w:hAnsi="Verdana"/>
          <w:b/>
        </w:rPr>
        <w:t xml:space="preserve">Description of the </w:t>
      </w:r>
      <w:r w:rsidR="00B309BC">
        <w:rPr>
          <w:rFonts w:ascii="Verdana" w:hAnsi="Verdana"/>
          <w:b/>
        </w:rPr>
        <w:t>MFA</w:t>
      </w:r>
      <w:r w:rsidRPr="006E609E">
        <w:rPr>
          <w:rFonts w:ascii="Verdana" w:hAnsi="Verdana"/>
          <w:b/>
        </w:rPr>
        <w:t xml:space="preserve"> Sector</w:t>
      </w:r>
    </w:p>
    <w:p w14:paraId="0155A815" w14:textId="09D82D29" w:rsidR="0074693A" w:rsidRDefault="0074693A" w:rsidP="0074693A">
      <w:pPr>
        <w:pStyle w:val="Heading2"/>
        <w:keepNext w:val="0"/>
        <w:keepLines w:val="0"/>
        <w:numPr>
          <w:ilvl w:val="0"/>
          <w:numId w:val="16"/>
        </w:numPr>
        <w:spacing w:before="240" w:after="60" w:line="276" w:lineRule="auto"/>
        <w:ind w:left="0" w:right="-6" w:firstLine="0"/>
        <w:jc w:val="both"/>
        <w:rPr>
          <w:rFonts w:ascii="Verdana" w:eastAsiaTheme="minorHAnsi" w:hAnsi="Verdana" w:cstheme="minorHAnsi"/>
          <w:color w:val="000000" w:themeColor="text1"/>
          <w:sz w:val="20"/>
          <w:szCs w:val="20"/>
          <w:lang w:val="en-US"/>
        </w:rPr>
      </w:pPr>
      <w:r w:rsidRPr="00195F06">
        <w:rPr>
          <w:rFonts w:ascii="Verdana" w:eastAsiaTheme="minorHAnsi" w:hAnsi="Verdana" w:cstheme="minorHAnsi"/>
          <w:color w:val="000000" w:themeColor="text1"/>
          <w:sz w:val="20"/>
          <w:szCs w:val="20"/>
          <w:lang w:val="en-US"/>
        </w:rPr>
        <w:t xml:space="preserve">In 2017, CIMA conducted </w:t>
      </w:r>
      <w:r w:rsidR="005F533B">
        <w:rPr>
          <w:rFonts w:ascii="Verdana" w:eastAsiaTheme="minorHAnsi" w:hAnsi="Verdana" w:cstheme="minorHAnsi"/>
          <w:color w:val="000000" w:themeColor="text1"/>
          <w:sz w:val="20"/>
          <w:szCs w:val="20"/>
          <w:lang w:val="en-US"/>
        </w:rPr>
        <w:t>sector</w:t>
      </w:r>
      <w:r>
        <w:rPr>
          <w:rFonts w:ascii="Verdana" w:eastAsiaTheme="minorHAnsi" w:hAnsi="Verdana" w:cstheme="minorHAnsi"/>
          <w:color w:val="000000" w:themeColor="text1"/>
          <w:sz w:val="20"/>
          <w:szCs w:val="20"/>
          <w:lang w:val="en-US"/>
        </w:rPr>
        <w:t xml:space="preserve"> specific </w:t>
      </w:r>
      <w:r w:rsidRPr="003B6CBA">
        <w:rPr>
          <w:rFonts w:ascii="Verdana" w:eastAsiaTheme="minorHAnsi" w:hAnsi="Verdana" w:cstheme="minorHAnsi"/>
          <w:color w:val="000000" w:themeColor="text1"/>
          <w:sz w:val="20"/>
          <w:szCs w:val="20"/>
          <w:lang w:val="en-US"/>
        </w:rPr>
        <w:t>risk assessment</w:t>
      </w:r>
      <w:r w:rsidR="005F533B">
        <w:rPr>
          <w:rFonts w:ascii="Verdana" w:eastAsiaTheme="minorHAnsi" w:hAnsi="Verdana" w:cstheme="minorHAnsi"/>
          <w:color w:val="000000" w:themeColor="text1"/>
          <w:sz w:val="20"/>
          <w:szCs w:val="20"/>
          <w:lang w:val="en-US"/>
        </w:rPr>
        <w:t>s</w:t>
      </w:r>
      <w:r>
        <w:rPr>
          <w:rFonts w:ascii="Verdana" w:eastAsiaTheme="minorHAnsi" w:hAnsi="Verdana" w:cstheme="minorHAnsi"/>
          <w:color w:val="000000" w:themeColor="text1"/>
          <w:sz w:val="20"/>
          <w:szCs w:val="20"/>
          <w:lang w:val="en-US"/>
        </w:rPr>
        <w:t xml:space="preserve"> to identify the financial services sector’s inherent ML/TF risks.  Each sector was rated against the five inherent risk areas recommended in the FATF 40 Recommendations.  The sector specific assessment for</w:t>
      </w:r>
      <w:r w:rsidRPr="003B6CBA">
        <w:rPr>
          <w:rFonts w:ascii="Verdana" w:eastAsiaTheme="minorHAnsi" w:hAnsi="Verdana" w:cstheme="minorHAnsi"/>
          <w:color w:val="000000" w:themeColor="text1"/>
          <w:sz w:val="20"/>
          <w:szCs w:val="20"/>
          <w:lang w:val="en-US"/>
        </w:rPr>
        <w:t xml:space="preserve"> </w:t>
      </w:r>
      <w:r>
        <w:rPr>
          <w:rFonts w:ascii="Verdana" w:eastAsiaTheme="minorHAnsi" w:hAnsi="Verdana" w:cstheme="minorHAnsi"/>
          <w:color w:val="000000" w:themeColor="text1"/>
          <w:sz w:val="20"/>
          <w:szCs w:val="20"/>
          <w:lang w:val="en-US"/>
        </w:rPr>
        <w:t xml:space="preserve">the </w:t>
      </w:r>
      <w:r w:rsidR="005F533B">
        <w:rPr>
          <w:rFonts w:ascii="Verdana" w:eastAsiaTheme="minorHAnsi" w:hAnsi="Verdana" w:cstheme="minorHAnsi"/>
          <w:color w:val="000000" w:themeColor="text1"/>
          <w:sz w:val="20"/>
          <w:szCs w:val="20"/>
          <w:lang w:val="en-US"/>
        </w:rPr>
        <w:t xml:space="preserve">securities </w:t>
      </w:r>
      <w:r w:rsidRPr="003B6CBA">
        <w:rPr>
          <w:rFonts w:ascii="Verdana" w:eastAsiaTheme="minorHAnsi" w:hAnsi="Verdana" w:cstheme="minorHAnsi"/>
          <w:color w:val="000000" w:themeColor="text1"/>
          <w:sz w:val="20"/>
          <w:szCs w:val="20"/>
          <w:lang w:val="en-US"/>
        </w:rPr>
        <w:t>sector</w:t>
      </w:r>
      <w:r w:rsidR="005F533B">
        <w:rPr>
          <w:rFonts w:ascii="Verdana" w:eastAsiaTheme="minorHAnsi" w:hAnsi="Verdana" w:cstheme="minorHAnsi"/>
          <w:color w:val="000000" w:themeColor="text1"/>
          <w:sz w:val="20"/>
          <w:szCs w:val="20"/>
          <w:lang w:val="en-US"/>
        </w:rPr>
        <w:t>, inclusive of regulated mutual fund administrators,</w:t>
      </w:r>
      <w:r w:rsidRPr="003B6CBA">
        <w:rPr>
          <w:rFonts w:ascii="Verdana" w:eastAsiaTheme="minorHAnsi" w:hAnsi="Verdana" w:cstheme="minorHAnsi"/>
          <w:color w:val="000000" w:themeColor="text1"/>
          <w:sz w:val="20"/>
          <w:szCs w:val="20"/>
          <w:lang w:val="en-US"/>
        </w:rPr>
        <w:t xml:space="preserve"> </w:t>
      </w:r>
      <w:r>
        <w:rPr>
          <w:rFonts w:ascii="Verdana" w:eastAsiaTheme="minorHAnsi" w:hAnsi="Verdana" w:cstheme="minorHAnsi"/>
          <w:color w:val="000000" w:themeColor="text1"/>
          <w:sz w:val="20"/>
          <w:szCs w:val="20"/>
          <w:lang w:val="en-US"/>
        </w:rPr>
        <w:t>returned a rating of “Medium-H</w:t>
      </w:r>
      <w:r w:rsidRPr="003B6CBA">
        <w:rPr>
          <w:rFonts w:ascii="Verdana" w:eastAsiaTheme="minorHAnsi" w:hAnsi="Verdana" w:cstheme="minorHAnsi"/>
          <w:color w:val="000000" w:themeColor="text1"/>
          <w:sz w:val="20"/>
          <w:szCs w:val="20"/>
          <w:lang w:val="en-US"/>
        </w:rPr>
        <w:t>ig</w:t>
      </w:r>
      <w:r>
        <w:rPr>
          <w:rFonts w:ascii="Verdana" w:eastAsiaTheme="minorHAnsi" w:hAnsi="Verdana" w:cstheme="minorHAnsi"/>
          <w:color w:val="000000" w:themeColor="text1"/>
          <w:sz w:val="20"/>
          <w:szCs w:val="20"/>
          <w:lang w:val="en-US"/>
        </w:rPr>
        <w:t>h”</w:t>
      </w:r>
      <w:r w:rsidRPr="003B6CBA">
        <w:rPr>
          <w:rFonts w:ascii="Verdana" w:eastAsiaTheme="minorHAnsi" w:hAnsi="Verdana" w:cstheme="minorHAnsi"/>
          <w:color w:val="000000" w:themeColor="text1"/>
          <w:sz w:val="20"/>
          <w:szCs w:val="20"/>
          <w:lang w:val="en-US"/>
        </w:rPr>
        <w:t xml:space="preserve">. </w:t>
      </w:r>
    </w:p>
    <w:p w14:paraId="37FF8D2B" w14:textId="61D78D4D" w:rsidR="00FD615F" w:rsidRDefault="00FD615F" w:rsidP="00FD615F">
      <w:pPr>
        <w:jc w:val="both"/>
        <w:rPr>
          <w:rFonts w:ascii="Verdana" w:hAnsi="Verdana"/>
        </w:rPr>
      </w:pPr>
    </w:p>
    <w:p w14:paraId="2554A548" w14:textId="0A9E44F6" w:rsidR="00FD615F" w:rsidRPr="00C54FEF" w:rsidRDefault="0074693A" w:rsidP="00C54FEF">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Pr>
          <w:rFonts w:ascii="Verdana" w:eastAsiaTheme="minorHAnsi" w:hAnsi="Verdana" w:cs="Times New Roman"/>
          <w:color w:val="000000" w:themeColor="text1"/>
          <w:sz w:val="20"/>
          <w:szCs w:val="20"/>
          <w:lang w:val="en-US"/>
        </w:rPr>
        <w:t>A</w:t>
      </w:r>
      <w:r w:rsidRPr="00C54FEF">
        <w:rPr>
          <w:rFonts w:ascii="Verdana" w:eastAsiaTheme="minorHAnsi" w:hAnsi="Verdana" w:cs="Times New Roman"/>
          <w:color w:val="000000" w:themeColor="text1"/>
          <w:sz w:val="20"/>
          <w:szCs w:val="20"/>
          <w:lang w:val="en-US"/>
        </w:rPr>
        <w:t>s at 30 November 2019</w:t>
      </w:r>
      <w:r>
        <w:rPr>
          <w:rFonts w:ascii="Verdana" w:eastAsiaTheme="minorHAnsi" w:hAnsi="Verdana" w:cs="Times New Roman"/>
          <w:color w:val="000000" w:themeColor="text1"/>
          <w:sz w:val="20"/>
          <w:szCs w:val="20"/>
          <w:lang w:val="en-US"/>
        </w:rPr>
        <w:t>, t</w:t>
      </w:r>
      <w:r w:rsidR="00FD615F" w:rsidRPr="00C54FEF">
        <w:rPr>
          <w:rFonts w:ascii="Verdana" w:eastAsiaTheme="minorHAnsi" w:hAnsi="Verdana" w:cs="Times New Roman"/>
          <w:color w:val="000000" w:themeColor="text1"/>
          <w:sz w:val="20"/>
          <w:szCs w:val="20"/>
          <w:lang w:val="en-US"/>
        </w:rPr>
        <w:t xml:space="preserve">here </w:t>
      </w:r>
      <w:r>
        <w:rPr>
          <w:rFonts w:ascii="Verdana" w:eastAsiaTheme="minorHAnsi" w:hAnsi="Verdana" w:cs="Times New Roman"/>
          <w:color w:val="000000" w:themeColor="text1"/>
          <w:sz w:val="20"/>
          <w:szCs w:val="20"/>
          <w:lang w:val="en-US"/>
        </w:rPr>
        <w:t>we</w:t>
      </w:r>
      <w:r w:rsidR="00FD615F" w:rsidRPr="00C54FEF">
        <w:rPr>
          <w:rFonts w:ascii="Verdana" w:eastAsiaTheme="minorHAnsi" w:hAnsi="Verdana" w:cs="Times New Roman"/>
          <w:color w:val="000000" w:themeColor="text1"/>
          <w:sz w:val="20"/>
          <w:szCs w:val="20"/>
          <w:lang w:val="en-US"/>
        </w:rPr>
        <w:t xml:space="preserve">re </w:t>
      </w:r>
      <w:r w:rsidR="00BC3E92">
        <w:rPr>
          <w:rFonts w:ascii="Verdana" w:eastAsiaTheme="minorHAnsi" w:hAnsi="Verdana" w:cs="Times New Roman"/>
          <w:color w:val="000000" w:themeColor="text1"/>
          <w:sz w:val="20"/>
          <w:szCs w:val="20"/>
          <w:lang w:val="en-US"/>
        </w:rPr>
        <w:t xml:space="preserve">a total of </w:t>
      </w:r>
      <w:r w:rsidR="004E1884">
        <w:rPr>
          <w:rFonts w:ascii="Verdana" w:eastAsiaTheme="minorHAnsi" w:hAnsi="Verdana" w:cs="Times New Roman"/>
          <w:color w:val="000000" w:themeColor="text1"/>
          <w:sz w:val="20"/>
          <w:szCs w:val="20"/>
          <w:lang w:val="en-US"/>
        </w:rPr>
        <w:t>80</w:t>
      </w:r>
      <w:r w:rsidR="00BC3E92">
        <w:rPr>
          <w:rFonts w:ascii="Verdana" w:eastAsiaTheme="minorHAnsi" w:hAnsi="Verdana" w:cs="Times New Roman"/>
          <w:color w:val="000000" w:themeColor="text1"/>
          <w:sz w:val="20"/>
          <w:szCs w:val="20"/>
          <w:lang w:val="en-US"/>
        </w:rPr>
        <w:t xml:space="preserve"> regulated mutual fund administrators, categorized into </w:t>
      </w:r>
      <w:r w:rsidR="00FD615F" w:rsidRPr="00C54FEF">
        <w:rPr>
          <w:rFonts w:ascii="Verdana" w:eastAsiaTheme="minorHAnsi" w:hAnsi="Verdana" w:cs="Times New Roman"/>
          <w:color w:val="000000" w:themeColor="text1"/>
          <w:sz w:val="20"/>
          <w:szCs w:val="20"/>
          <w:lang w:val="en-US"/>
        </w:rPr>
        <w:t xml:space="preserve">three types of </w:t>
      </w:r>
      <w:r w:rsidR="00BC3E92">
        <w:rPr>
          <w:rFonts w:ascii="Verdana" w:eastAsiaTheme="minorHAnsi" w:hAnsi="Verdana" w:cs="Times New Roman"/>
          <w:color w:val="000000" w:themeColor="text1"/>
          <w:sz w:val="20"/>
          <w:szCs w:val="20"/>
          <w:lang w:val="en-US"/>
        </w:rPr>
        <w:t>m</w:t>
      </w:r>
      <w:r w:rsidR="00BC3E92" w:rsidRPr="00C54FEF">
        <w:rPr>
          <w:rFonts w:ascii="Verdana" w:eastAsiaTheme="minorHAnsi" w:hAnsi="Verdana" w:cs="Times New Roman"/>
          <w:color w:val="000000" w:themeColor="text1"/>
          <w:sz w:val="20"/>
          <w:szCs w:val="20"/>
          <w:lang w:val="en-US"/>
        </w:rPr>
        <w:t xml:space="preserve">utual </w:t>
      </w:r>
      <w:r w:rsidR="00FD615F" w:rsidRPr="00C54FEF">
        <w:rPr>
          <w:rFonts w:ascii="Verdana" w:eastAsiaTheme="minorHAnsi" w:hAnsi="Verdana" w:cs="Times New Roman"/>
          <w:color w:val="000000" w:themeColor="text1"/>
          <w:sz w:val="20"/>
          <w:szCs w:val="20"/>
          <w:lang w:val="en-US"/>
        </w:rPr>
        <w:t xml:space="preserve">fund administration </w:t>
      </w:r>
      <w:proofErr w:type="spellStart"/>
      <w:r w:rsidR="00BC3E92" w:rsidRPr="00C54FEF">
        <w:rPr>
          <w:rFonts w:ascii="Verdana" w:eastAsiaTheme="minorHAnsi" w:hAnsi="Verdana" w:cs="Times New Roman"/>
          <w:color w:val="000000" w:themeColor="text1"/>
          <w:sz w:val="20"/>
          <w:szCs w:val="20"/>
          <w:lang w:val="en-US"/>
        </w:rPr>
        <w:t>licen</w:t>
      </w:r>
      <w:r w:rsidR="00BC3E92">
        <w:rPr>
          <w:rFonts w:ascii="Verdana" w:eastAsiaTheme="minorHAnsi" w:hAnsi="Verdana" w:cs="Times New Roman"/>
          <w:color w:val="000000" w:themeColor="text1"/>
          <w:sz w:val="20"/>
          <w:szCs w:val="20"/>
          <w:lang w:val="en-US"/>
        </w:rPr>
        <w:t>c</w:t>
      </w:r>
      <w:r w:rsidR="00BC3E92" w:rsidRPr="00C54FEF">
        <w:rPr>
          <w:rFonts w:ascii="Verdana" w:eastAsiaTheme="minorHAnsi" w:hAnsi="Verdana" w:cs="Times New Roman"/>
          <w:color w:val="000000" w:themeColor="text1"/>
          <w:sz w:val="20"/>
          <w:szCs w:val="20"/>
          <w:lang w:val="en-US"/>
        </w:rPr>
        <w:t>es</w:t>
      </w:r>
      <w:proofErr w:type="spellEnd"/>
      <w:r w:rsidR="00FD615F" w:rsidRPr="00C54FEF">
        <w:rPr>
          <w:rFonts w:ascii="Verdana" w:eastAsiaTheme="minorHAnsi" w:hAnsi="Verdana" w:cs="Times New Roman"/>
          <w:color w:val="000000" w:themeColor="text1"/>
          <w:sz w:val="20"/>
          <w:szCs w:val="20"/>
          <w:lang w:val="en-US"/>
        </w:rPr>
        <w:t>: Mutual Fund administration – Full (69) and Mutual Fund administration – Restricted (10) and</w:t>
      </w:r>
      <w:r w:rsidR="001E7681" w:rsidRPr="00C54FEF">
        <w:rPr>
          <w:rFonts w:ascii="Verdana" w:eastAsiaTheme="minorHAnsi" w:hAnsi="Verdana" w:cs="Times New Roman"/>
          <w:color w:val="000000" w:themeColor="text1"/>
          <w:sz w:val="20"/>
          <w:szCs w:val="20"/>
          <w:lang w:val="en-US"/>
        </w:rPr>
        <w:t xml:space="preserve"> </w:t>
      </w:r>
      <w:r w:rsidR="00FD615F" w:rsidRPr="00C54FEF">
        <w:rPr>
          <w:rFonts w:ascii="Verdana" w:eastAsiaTheme="minorHAnsi" w:hAnsi="Verdana" w:cs="Times New Roman"/>
          <w:color w:val="000000" w:themeColor="text1"/>
          <w:sz w:val="20"/>
          <w:szCs w:val="20"/>
          <w:lang w:val="en-US"/>
        </w:rPr>
        <w:t>Mutual Fund administration – Exempted (1).</w:t>
      </w:r>
    </w:p>
    <w:p w14:paraId="46EA7D84" w14:textId="46A71F52" w:rsidR="00237E77" w:rsidRPr="00125E84" w:rsidRDefault="0074693A" w:rsidP="00125E84">
      <w:pPr>
        <w:pStyle w:val="Heading2"/>
        <w:keepNext w:val="0"/>
        <w:keepLines w:val="0"/>
        <w:numPr>
          <w:ilvl w:val="0"/>
          <w:numId w:val="16"/>
        </w:numPr>
        <w:spacing w:before="240" w:after="60" w:line="276" w:lineRule="auto"/>
        <w:ind w:left="0" w:right="-6" w:firstLine="0"/>
        <w:jc w:val="both"/>
        <w:rPr>
          <w:rFonts w:ascii="Verdana" w:eastAsiaTheme="minorHAnsi" w:hAnsi="Verdana" w:cstheme="minorHAnsi"/>
          <w:color w:val="000000" w:themeColor="text1"/>
          <w:lang w:val="en-US"/>
        </w:rPr>
      </w:pPr>
      <w:r w:rsidRPr="005A4C9F">
        <w:rPr>
          <w:rFonts w:ascii="Verdana" w:eastAsiaTheme="minorHAnsi" w:hAnsi="Verdana" w:cstheme="minorHAnsi"/>
          <w:color w:val="000000" w:themeColor="text1"/>
          <w:sz w:val="20"/>
          <w:szCs w:val="20"/>
          <w:lang w:val="en-US"/>
        </w:rPr>
        <w:t xml:space="preserve">CIMA conducted a survey in December 2019 to enhance its assessment of the ML/TF exposure </w:t>
      </w:r>
      <w:r w:rsidR="0036334F" w:rsidRPr="00B80904">
        <w:rPr>
          <w:rFonts w:ascii="Verdana" w:eastAsiaTheme="minorHAnsi" w:hAnsi="Verdana" w:cstheme="minorHAnsi"/>
          <w:color w:val="000000" w:themeColor="text1"/>
          <w:sz w:val="20"/>
          <w:szCs w:val="20"/>
          <w:lang w:val="en-US"/>
        </w:rPr>
        <w:t xml:space="preserve">by </w:t>
      </w:r>
      <w:r w:rsidRPr="00B80904">
        <w:rPr>
          <w:rFonts w:ascii="Verdana" w:eastAsiaTheme="minorHAnsi" w:hAnsi="Verdana" w:cstheme="minorHAnsi"/>
          <w:color w:val="000000" w:themeColor="text1"/>
          <w:sz w:val="20"/>
          <w:szCs w:val="20"/>
          <w:lang w:val="en-US"/>
        </w:rPr>
        <w:t>t</w:t>
      </w:r>
      <w:r w:rsidRPr="00B017EB">
        <w:rPr>
          <w:rFonts w:ascii="Verdana" w:eastAsiaTheme="minorHAnsi" w:hAnsi="Verdana" w:cstheme="minorHAnsi"/>
          <w:color w:val="000000" w:themeColor="text1"/>
          <w:sz w:val="20"/>
          <w:szCs w:val="20"/>
          <w:lang w:val="en-US"/>
        </w:rPr>
        <w:t xml:space="preserve">he </w:t>
      </w:r>
      <w:r w:rsidR="00BC3E92" w:rsidRPr="00E64A67">
        <w:rPr>
          <w:rFonts w:ascii="Verdana" w:eastAsiaTheme="minorHAnsi" w:hAnsi="Verdana" w:cstheme="minorHAnsi"/>
          <w:color w:val="000000" w:themeColor="text1"/>
          <w:sz w:val="20"/>
          <w:szCs w:val="20"/>
          <w:lang w:val="en-US"/>
        </w:rPr>
        <w:t>mutual fund administrat</w:t>
      </w:r>
      <w:r w:rsidR="0036334F" w:rsidRPr="00E64A67">
        <w:rPr>
          <w:rFonts w:ascii="Verdana" w:eastAsiaTheme="minorHAnsi" w:hAnsi="Verdana" w:cstheme="minorHAnsi"/>
          <w:color w:val="000000" w:themeColor="text1"/>
          <w:sz w:val="20"/>
          <w:szCs w:val="20"/>
          <w:lang w:val="en-US"/>
        </w:rPr>
        <w:t>ors</w:t>
      </w:r>
      <w:r w:rsidR="00BC3E92" w:rsidRPr="00430DBF">
        <w:rPr>
          <w:rFonts w:ascii="Verdana" w:eastAsiaTheme="minorHAnsi" w:hAnsi="Verdana" w:cstheme="minorHAnsi"/>
          <w:color w:val="000000" w:themeColor="text1"/>
          <w:sz w:val="20"/>
          <w:szCs w:val="20"/>
          <w:lang w:val="en-US"/>
        </w:rPr>
        <w:t xml:space="preserve"> </w:t>
      </w:r>
      <w:r w:rsidRPr="0031691D">
        <w:rPr>
          <w:rFonts w:ascii="Verdana" w:eastAsiaTheme="minorHAnsi" w:hAnsi="Verdana" w:cstheme="minorHAnsi"/>
          <w:color w:val="000000" w:themeColor="text1"/>
          <w:sz w:val="20"/>
          <w:szCs w:val="20"/>
          <w:lang w:val="en-US"/>
        </w:rPr>
        <w:t xml:space="preserve">in the Cayman Islands.  </w:t>
      </w:r>
      <w:r w:rsidR="00BD01CC" w:rsidRPr="009F3808">
        <w:rPr>
          <w:rFonts w:ascii="Verdana" w:eastAsiaTheme="minorHAnsi" w:hAnsi="Verdana" w:cstheme="minorHAnsi"/>
          <w:color w:val="000000" w:themeColor="text1"/>
          <w:sz w:val="20"/>
          <w:szCs w:val="20"/>
          <w:lang w:val="en-US"/>
        </w:rPr>
        <w:t xml:space="preserve">81% </w:t>
      </w:r>
      <w:r w:rsidR="00A72DFF" w:rsidRPr="00762E49">
        <w:rPr>
          <w:rFonts w:ascii="Verdana" w:eastAsiaTheme="minorHAnsi" w:hAnsi="Verdana" w:cstheme="minorHAnsi"/>
          <w:color w:val="000000" w:themeColor="text1"/>
          <w:sz w:val="20"/>
          <w:szCs w:val="20"/>
          <w:lang w:val="en-US"/>
        </w:rPr>
        <w:t xml:space="preserve">of mutual fund administrators licensed with CIMA </w:t>
      </w:r>
      <w:r w:rsidR="00BD01CC" w:rsidRPr="00762E49">
        <w:rPr>
          <w:rFonts w:ascii="Verdana" w:eastAsiaTheme="minorHAnsi" w:hAnsi="Verdana" w:cstheme="minorHAnsi"/>
          <w:color w:val="000000" w:themeColor="text1"/>
          <w:sz w:val="20"/>
          <w:szCs w:val="20"/>
          <w:lang w:val="en-US"/>
        </w:rPr>
        <w:t>provided a response to the data request.</w:t>
      </w:r>
      <w:r w:rsidR="00133B5C" w:rsidRPr="00762E49">
        <w:rPr>
          <w:rFonts w:ascii="Verdana" w:eastAsiaTheme="minorHAnsi" w:hAnsi="Verdana" w:cstheme="minorHAnsi"/>
          <w:color w:val="000000" w:themeColor="text1"/>
          <w:sz w:val="20"/>
          <w:szCs w:val="20"/>
          <w:lang w:val="en-US"/>
        </w:rPr>
        <w:t xml:space="preserve">  The analysis conducted </w:t>
      </w:r>
      <w:r w:rsidR="00A72DFF" w:rsidRPr="00762E49">
        <w:rPr>
          <w:rFonts w:ascii="Verdana" w:eastAsiaTheme="minorHAnsi" w:hAnsi="Verdana" w:cstheme="minorHAnsi"/>
          <w:color w:val="000000" w:themeColor="text1"/>
          <w:sz w:val="20"/>
          <w:szCs w:val="20"/>
          <w:lang w:val="en-US"/>
        </w:rPr>
        <w:t>of</w:t>
      </w:r>
      <w:r w:rsidR="00133B5C" w:rsidRPr="00762E49">
        <w:rPr>
          <w:rFonts w:ascii="Verdana" w:eastAsiaTheme="minorHAnsi" w:hAnsi="Verdana" w:cstheme="minorHAnsi"/>
          <w:color w:val="000000" w:themeColor="text1"/>
          <w:sz w:val="20"/>
          <w:szCs w:val="20"/>
          <w:lang w:val="en-US"/>
        </w:rPr>
        <w:t xml:space="preserve"> the </w:t>
      </w:r>
      <w:r w:rsidR="005B4D41" w:rsidRPr="00762E49">
        <w:rPr>
          <w:rFonts w:ascii="Verdana" w:eastAsiaTheme="minorHAnsi" w:hAnsi="Verdana" w:cstheme="minorHAnsi"/>
          <w:color w:val="000000" w:themeColor="text1"/>
          <w:sz w:val="20"/>
          <w:szCs w:val="20"/>
          <w:lang w:val="en-US"/>
        </w:rPr>
        <w:t>ML/TF risks for the mutual fund administrators</w:t>
      </w:r>
      <w:r w:rsidR="00BE3D7E">
        <w:rPr>
          <w:rFonts w:ascii="Verdana" w:eastAsiaTheme="minorHAnsi" w:hAnsi="Verdana" w:cstheme="minorHAnsi"/>
          <w:color w:val="000000" w:themeColor="text1"/>
          <w:sz w:val="20"/>
          <w:szCs w:val="20"/>
          <w:lang w:val="en-US"/>
        </w:rPr>
        <w:t xml:space="preserve"> as a</w:t>
      </w:r>
      <w:r w:rsidR="005B4D41" w:rsidRPr="00762E49">
        <w:rPr>
          <w:rFonts w:ascii="Verdana" w:eastAsiaTheme="minorHAnsi" w:hAnsi="Verdana" w:cstheme="minorHAnsi"/>
          <w:color w:val="000000" w:themeColor="text1"/>
          <w:sz w:val="20"/>
          <w:szCs w:val="20"/>
          <w:lang w:val="en-US"/>
        </w:rPr>
        <w:t xml:space="preserve"> sub-sector</w:t>
      </w:r>
      <w:r w:rsidR="00BE3D7E">
        <w:rPr>
          <w:rFonts w:ascii="Verdana" w:eastAsiaTheme="minorHAnsi" w:hAnsi="Verdana" w:cstheme="minorHAnsi"/>
          <w:color w:val="000000" w:themeColor="text1"/>
          <w:sz w:val="20"/>
          <w:szCs w:val="20"/>
          <w:lang w:val="en-US"/>
        </w:rPr>
        <w:t xml:space="preserve"> of the securities sector</w:t>
      </w:r>
      <w:r w:rsidR="00A72DFF" w:rsidRPr="00762E49">
        <w:rPr>
          <w:rFonts w:ascii="Verdana" w:eastAsiaTheme="minorHAnsi" w:hAnsi="Verdana" w:cstheme="minorHAnsi"/>
          <w:color w:val="000000" w:themeColor="text1"/>
          <w:sz w:val="20"/>
          <w:szCs w:val="20"/>
          <w:lang w:val="en-US"/>
        </w:rPr>
        <w:t>,</w:t>
      </w:r>
      <w:r w:rsidR="00133B5C" w:rsidRPr="00762E49">
        <w:rPr>
          <w:rFonts w:ascii="Verdana" w:eastAsiaTheme="minorHAnsi" w:hAnsi="Verdana" w:cstheme="minorHAnsi"/>
          <w:color w:val="000000" w:themeColor="text1"/>
          <w:sz w:val="20"/>
          <w:szCs w:val="20"/>
          <w:lang w:val="en-US"/>
        </w:rPr>
        <w:t xml:space="preserve"> results in an </w:t>
      </w:r>
      <w:r w:rsidR="00237E77" w:rsidRPr="00762E49">
        <w:rPr>
          <w:rFonts w:ascii="Verdana" w:eastAsiaTheme="minorHAnsi" w:hAnsi="Verdana" w:cstheme="minorHAnsi"/>
          <w:color w:val="000000" w:themeColor="text1"/>
          <w:sz w:val="20"/>
          <w:szCs w:val="20"/>
          <w:lang w:val="en-US"/>
        </w:rPr>
        <w:t xml:space="preserve">overall assessment </w:t>
      </w:r>
      <w:r w:rsidR="00133B5C" w:rsidRPr="00762E49">
        <w:rPr>
          <w:rFonts w:ascii="Verdana" w:eastAsiaTheme="minorHAnsi" w:hAnsi="Verdana" w:cstheme="minorHAnsi"/>
          <w:color w:val="000000" w:themeColor="text1"/>
          <w:sz w:val="20"/>
          <w:szCs w:val="20"/>
          <w:lang w:val="en-US"/>
        </w:rPr>
        <w:t>of a medium-</w:t>
      </w:r>
      <w:r w:rsidR="00237E77" w:rsidRPr="00762E49">
        <w:rPr>
          <w:rFonts w:ascii="Verdana" w:eastAsiaTheme="minorHAnsi" w:hAnsi="Verdana" w:cstheme="minorHAnsi"/>
          <w:color w:val="000000" w:themeColor="text1"/>
          <w:sz w:val="20"/>
          <w:szCs w:val="20"/>
          <w:lang w:val="en-US"/>
        </w:rPr>
        <w:t>high</w:t>
      </w:r>
      <w:r w:rsidR="00133B5C" w:rsidRPr="00762E49">
        <w:rPr>
          <w:rFonts w:ascii="Verdana" w:eastAsiaTheme="minorHAnsi" w:hAnsi="Verdana" w:cstheme="minorHAnsi"/>
          <w:color w:val="000000" w:themeColor="text1"/>
          <w:sz w:val="20"/>
          <w:szCs w:val="20"/>
          <w:lang w:val="en-US"/>
        </w:rPr>
        <w:t xml:space="preserve"> risk rating for the </w:t>
      </w:r>
      <w:r w:rsidR="005B4D41" w:rsidRPr="00762E49">
        <w:rPr>
          <w:rFonts w:ascii="Verdana" w:eastAsiaTheme="minorHAnsi" w:hAnsi="Verdana" w:cstheme="minorHAnsi"/>
          <w:color w:val="000000" w:themeColor="text1"/>
          <w:sz w:val="20"/>
          <w:szCs w:val="20"/>
          <w:lang w:val="en-US"/>
        </w:rPr>
        <w:t>sub-</w:t>
      </w:r>
      <w:r w:rsidR="00133B5C" w:rsidRPr="00762E49">
        <w:rPr>
          <w:rFonts w:ascii="Verdana" w:eastAsiaTheme="minorHAnsi" w:hAnsi="Verdana" w:cstheme="minorHAnsi"/>
          <w:color w:val="000000" w:themeColor="text1"/>
          <w:sz w:val="20"/>
          <w:szCs w:val="20"/>
          <w:lang w:val="en-US"/>
        </w:rPr>
        <w:t>sector</w:t>
      </w:r>
      <w:r w:rsidR="00133B5C" w:rsidRPr="005A4C9F">
        <w:rPr>
          <w:rFonts w:ascii="Verdana" w:eastAsiaTheme="minorHAnsi" w:hAnsi="Verdana" w:cstheme="minorHAnsi"/>
          <w:color w:val="000000" w:themeColor="text1"/>
          <w:sz w:val="20"/>
          <w:szCs w:val="20"/>
          <w:lang w:val="en-US"/>
        </w:rPr>
        <w:t>.</w:t>
      </w:r>
      <w:r w:rsidR="0036334F" w:rsidRPr="005A4C9F">
        <w:rPr>
          <w:rFonts w:ascii="Verdana" w:eastAsiaTheme="minorHAnsi" w:hAnsi="Verdana" w:cstheme="minorHAnsi"/>
          <w:color w:val="000000" w:themeColor="text1"/>
          <w:sz w:val="20"/>
          <w:szCs w:val="20"/>
          <w:lang w:val="en-US"/>
        </w:rPr>
        <w:t xml:space="preserve"> This rating remains consistent with the rating in 2017, </w:t>
      </w:r>
      <w:r w:rsidR="0036334F" w:rsidRPr="00B80904">
        <w:rPr>
          <w:rFonts w:ascii="Verdana" w:eastAsiaTheme="minorHAnsi" w:hAnsi="Verdana" w:cstheme="minorHAnsi"/>
          <w:color w:val="000000" w:themeColor="text1"/>
          <w:sz w:val="20"/>
          <w:szCs w:val="20"/>
          <w:lang w:val="en-US"/>
        </w:rPr>
        <w:t xml:space="preserve">with similar factors such as the </w:t>
      </w:r>
      <w:r w:rsidR="0036334F" w:rsidRPr="005A4C9F">
        <w:rPr>
          <w:rFonts w:ascii="Verdana" w:eastAsiaTheme="minorHAnsi" w:hAnsi="Verdana" w:cstheme="minorHAnsi"/>
          <w:color w:val="000000" w:themeColor="text1"/>
          <w:sz w:val="20"/>
          <w:szCs w:val="20"/>
          <w:lang w:val="en-US"/>
        </w:rPr>
        <w:t xml:space="preserve">complexity of the underlying fund structures, </w:t>
      </w:r>
      <w:r w:rsidR="0036334F" w:rsidRPr="00B80904">
        <w:rPr>
          <w:rFonts w:ascii="Verdana" w:eastAsiaTheme="minorHAnsi" w:hAnsi="Verdana" w:cstheme="minorHAnsi"/>
          <w:color w:val="000000" w:themeColor="text1"/>
          <w:sz w:val="20"/>
          <w:szCs w:val="20"/>
          <w:lang w:val="en-US"/>
        </w:rPr>
        <w:t>the onboarding and vetting of investors through non-face-to-face channels,</w:t>
      </w:r>
      <w:r w:rsidR="00A04F16" w:rsidRPr="00B80904">
        <w:rPr>
          <w:rFonts w:ascii="Verdana" w:eastAsiaTheme="minorHAnsi" w:hAnsi="Verdana" w:cstheme="minorHAnsi"/>
          <w:color w:val="000000" w:themeColor="text1"/>
          <w:sz w:val="20"/>
          <w:szCs w:val="20"/>
          <w:lang w:val="en-US"/>
        </w:rPr>
        <w:t xml:space="preserve"> as well as</w:t>
      </w:r>
      <w:r w:rsidR="0036334F" w:rsidRPr="00B017EB">
        <w:rPr>
          <w:rFonts w:ascii="Verdana" w:eastAsiaTheme="minorHAnsi" w:hAnsi="Verdana" w:cstheme="minorHAnsi"/>
          <w:color w:val="000000" w:themeColor="text1"/>
          <w:sz w:val="20"/>
          <w:szCs w:val="20"/>
          <w:lang w:val="en-US"/>
        </w:rPr>
        <w:t xml:space="preserve"> the outsourced nature of services</w:t>
      </w:r>
      <w:r w:rsidR="00A04F16" w:rsidRPr="00B017EB">
        <w:rPr>
          <w:rFonts w:ascii="Verdana" w:eastAsiaTheme="minorHAnsi" w:hAnsi="Verdana" w:cstheme="minorHAnsi"/>
          <w:color w:val="000000" w:themeColor="text1"/>
          <w:sz w:val="20"/>
          <w:szCs w:val="20"/>
          <w:lang w:val="en-US"/>
        </w:rPr>
        <w:t>, ha</w:t>
      </w:r>
      <w:r w:rsidR="00E26491" w:rsidRPr="00E64A67">
        <w:rPr>
          <w:rFonts w:ascii="Verdana" w:eastAsiaTheme="minorHAnsi" w:hAnsi="Verdana" w:cstheme="minorHAnsi"/>
          <w:color w:val="000000" w:themeColor="text1"/>
          <w:sz w:val="20"/>
          <w:szCs w:val="20"/>
          <w:lang w:val="en-US"/>
        </w:rPr>
        <w:t xml:space="preserve">ving </w:t>
      </w:r>
      <w:r w:rsidR="00A04F16" w:rsidRPr="00430DBF">
        <w:rPr>
          <w:rFonts w:ascii="Verdana" w:eastAsiaTheme="minorHAnsi" w:hAnsi="Verdana" w:cstheme="minorHAnsi"/>
          <w:color w:val="000000" w:themeColor="text1"/>
          <w:sz w:val="20"/>
          <w:szCs w:val="20"/>
          <w:lang w:val="en-US"/>
        </w:rPr>
        <w:t xml:space="preserve">an impact </w:t>
      </w:r>
      <w:r w:rsidR="00E26491" w:rsidRPr="00430DBF">
        <w:rPr>
          <w:rFonts w:ascii="Verdana" w:eastAsiaTheme="minorHAnsi" w:hAnsi="Verdana" w:cstheme="minorHAnsi"/>
          <w:color w:val="000000" w:themeColor="text1"/>
          <w:sz w:val="20"/>
          <w:szCs w:val="20"/>
          <w:lang w:val="en-US"/>
        </w:rPr>
        <w:t>o</w:t>
      </w:r>
      <w:r w:rsidR="00E26491" w:rsidRPr="00A743F7">
        <w:rPr>
          <w:rFonts w:ascii="Verdana" w:eastAsiaTheme="minorHAnsi" w:hAnsi="Verdana" w:cstheme="minorHAnsi"/>
          <w:color w:val="000000" w:themeColor="text1"/>
          <w:sz w:val="20"/>
          <w:szCs w:val="20"/>
          <w:lang w:val="en-US"/>
        </w:rPr>
        <w:t>n increasing</w:t>
      </w:r>
      <w:r w:rsidR="0036334F" w:rsidRPr="00125E84">
        <w:rPr>
          <w:rFonts w:ascii="Verdana" w:eastAsiaTheme="minorHAnsi" w:hAnsi="Verdana" w:cstheme="minorHAnsi"/>
          <w:color w:val="000000" w:themeColor="text1"/>
          <w:sz w:val="20"/>
          <w:szCs w:val="20"/>
          <w:lang w:val="en-US"/>
        </w:rPr>
        <w:t xml:space="preserve"> the vulnerability to money laundering</w:t>
      </w:r>
      <w:r w:rsidR="0036334F" w:rsidRPr="005A4C9F">
        <w:rPr>
          <w:rFonts w:ascii="Verdana" w:eastAsiaTheme="minorHAnsi" w:hAnsi="Verdana" w:cstheme="minorHAnsi"/>
          <w:color w:val="000000" w:themeColor="text1"/>
          <w:sz w:val="20"/>
          <w:szCs w:val="20"/>
          <w:lang w:val="en-US"/>
        </w:rPr>
        <w:t xml:space="preserve"> and terrorist financing</w:t>
      </w:r>
      <w:r w:rsidR="0036334F" w:rsidRPr="00125E84">
        <w:rPr>
          <w:rFonts w:ascii="Verdana" w:eastAsiaTheme="minorHAnsi" w:hAnsi="Verdana" w:cstheme="minorHAnsi"/>
          <w:color w:val="000000" w:themeColor="text1"/>
          <w:sz w:val="20"/>
          <w:szCs w:val="20"/>
          <w:lang w:val="en-US"/>
        </w:rPr>
        <w:t xml:space="preserve"> risk</w:t>
      </w:r>
      <w:r w:rsidR="0036334F" w:rsidRPr="005A4C9F">
        <w:rPr>
          <w:rFonts w:ascii="Verdana" w:eastAsiaTheme="minorHAnsi" w:hAnsi="Verdana" w:cstheme="minorHAnsi"/>
          <w:color w:val="000000" w:themeColor="text1"/>
          <w:sz w:val="20"/>
          <w:szCs w:val="20"/>
          <w:lang w:val="en-US"/>
        </w:rPr>
        <w:t>s.</w:t>
      </w:r>
      <w:r w:rsidR="00E45BF0" w:rsidRPr="005A4C9F">
        <w:rPr>
          <w:rFonts w:ascii="Verdana" w:eastAsiaTheme="minorHAnsi" w:hAnsi="Verdana" w:cstheme="minorHAnsi"/>
          <w:color w:val="000000" w:themeColor="text1"/>
          <w:sz w:val="20"/>
          <w:szCs w:val="20"/>
          <w:lang w:val="en-US"/>
        </w:rPr>
        <w:t xml:space="preserve">  </w:t>
      </w:r>
      <w:r w:rsidR="00E45BF0" w:rsidRPr="00125E84">
        <w:rPr>
          <w:rFonts w:ascii="Verdana" w:eastAsiaTheme="minorHAnsi" w:hAnsi="Verdana" w:cstheme="minorHAnsi"/>
          <w:color w:val="000000" w:themeColor="text1"/>
          <w:sz w:val="20"/>
          <w:szCs w:val="20"/>
          <w:lang w:val="en-US"/>
        </w:rPr>
        <w:t>Considering t</w:t>
      </w:r>
      <w:r w:rsidR="00E45BF0" w:rsidRPr="005A4C9F">
        <w:rPr>
          <w:rFonts w:ascii="Verdana" w:eastAsiaTheme="minorHAnsi" w:hAnsi="Verdana" w:cstheme="minorHAnsi"/>
          <w:color w:val="000000" w:themeColor="text1"/>
          <w:sz w:val="20"/>
          <w:szCs w:val="20"/>
          <w:lang w:val="en-US"/>
        </w:rPr>
        <w:t xml:space="preserve">he </w:t>
      </w:r>
      <w:r w:rsidR="00E45BF0" w:rsidRPr="00125E84">
        <w:rPr>
          <w:rFonts w:ascii="Verdana" w:eastAsiaTheme="minorHAnsi" w:hAnsi="Verdana" w:cstheme="minorHAnsi"/>
          <w:color w:val="000000" w:themeColor="text1"/>
          <w:sz w:val="20"/>
          <w:szCs w:val="20"/>
          <w:lang w:val="en-US"/>
        </w:rPr>
        <w:t>risks allocation into structural, customer</w:t>
      </w:r>
      <w:r w:rsidR="00BE3D7E">
        <w:rPr>
          <w:rFonts w:ascii="Verdana" w:eastAsiaTheme="minorHAnsi" w:hAnsi="Verdana" w:cstheme="minorHAnsi"/>
          <w:color w:val="000000" w:themeColor="text1"/>
          <w:sz w:val="20"/>
          <w:szCs w:val="20"/>
          <w:lang w:val="en-US"/>
        </w:rPr>
        <w:t>s</w:t>
      </w:r>
      <w:r w:rsidR="00E45BF0" w:rsidRPr="00125E84">
        <w:rPr>
          <w:rFonts w:ascii="Verdana" w:eastAsiaTheme="minorHAnsi" w:hAnsi="Verdana" w:cstheme="minorHAnsi"/>
          <w:color w:val="000000" w:themeColor="text1"/>
          <w:sz w:val="20"/>
          <w:szCs w:val="20"/>
          <w:lang w:val="en-US"/>
        </w:rPr>
        <w:t xml:space="preserve">, </w:t>
      </w:r>
      <w:r w:rsidR="00BE3D7E">
        <w:rPr>
          <w:rFonts w:ascii="Verdana" w:eastAsiaTheme="minorHAnsi" w:hAnsi="Verdana" w:cstheme="minorHAnsi"/>
          <w:color w:val="000000" w:themeColor="text1"/>
          <w:sz w:val="20"/>
          <w:szCs w:val="20"/>
          <w:lang w:val="en-US"/>
        </w:rPr>
        <w:t xml:space="preserve">transactions </w:t>
      </w:r>
      <w:r w:rsidR="00E45BF0" w:rsidRPr="00125E84">
        <w:rPr>
          <w:rFonts w:ascii="Verdana" w:eastAsiaTheme="minorHAnsi" w:hAnsi="Verdana" w:cstheme="minorHAnsi"/>
          <w:color w:val="000000" w:themeColor="text1"/>
          <w:sz w:val="20"/>
          <w:szCs w:val="20"/>
          <w:lang w:val="en-US"/>
        </w:rPr>
        <w:t>product</w:t>
      </w:r>
      <w:r w:rsidR="00BE3D7E">
        <w:rPr>
          <w:rFonts w:ascii="Verdana" w:eastAsiaTheme="minorHAnsi" w:hAnsi="Verdana" w:cstheme="minorHAnsi"/>
          <w:color w:val="000000" w:themeColor="text1"/>
          <w:sz w:val="20"/>
          <w:szCs w:val="20"/>
          <w:lang w:val="en-US"/>
        </w:rPr>
        <w:t>s</w:t>
      </w:r>
      <w:r w:rsidR="00E45BF0" w:rsidRPr="00125E84">
        <w:rPr>
          <w:rFonts w:ascii="Verdana" w:eastAsiaTheme="minorHAnsi" w:hAnsi="Verdana" w:cstheme="minorHAnsi"/>
          <w:color w:val="000000" w:themeColor="text1"/>
          <w:sz w:val="20"/>
          <w:szCs w:val="20"/>
          <w:lang w:val="en-US"/>
        </w:rPr>
        <w:t xml:space="preserve"> and service</w:t>
      </w:r>
      <w:r w:rsidR="00BE3D7E">
        <w:rPr>
          <w:rFonts w:ascii="Verdana" w:eastAsiaTheme="minorHAnsi" w:hAnsi="Verdana" w:cstheme="minorHAnsi"/>
          <w:color w:val="000000" w:themeColor="text1"/>
          <w:sz w:val="20"/>
          <w:szCs w:val="20"/>
          <w:lang w:val="en-US"/>
        </w:rPr>
        <w:t>s</w:t>
      </w:r>
      <w:r w:rsidR="00E45BF0" w:rsidRPr="00125E84">
        <w:rPr>
          <w:rFonts w:ascii="Verdana" w:eastAsiaTheme="minorHAnsi" w:hAnsi="Verdana" w:cstheme="minorHAnsi"/>
          <w:color w:val="000000" w:themeColor="text1"/>
          <w:sz w:val="20"/>
          <w:szCs w:val="20"/>
          <w:lang w:val="en-US"/>
        </w:rPr>
        <w:t>, delivery channel and geographic risks, the following inherent risk ratings are assigned:</w:t>
      </w:r>
    </w:p>
    <w:p w14:paraId="5ED4EDF5" w14:textId="77777777" w:rsidR="00237E77" w:rsidRPr="00125E84" w:rsidRDefault="00237E77" w:rsidP="00125E84">
      <w:pPr>
        <w:jc w:val="both"/>
        <w:rPr>
          <w:rFonts w:ascii="Verdana" w:hAnsi="Verdana"/>
        </w:rPr>
      </w:pPr>
    </w:p>
    <w:tbl>
      <w:tblPr>
        <w:tblStyle w:val="TableGrid"/>
        <w:tblW w:w="0" w:type="auto"/>
        <w:tblInd w:w="565" w:type="dxa"/>
        <w:tblLook w:val="04A0" w:firstRow="1" w:lastRow="0" w:firstColumn="1" w:lastColumn="0" w:noHBand="0" w:noVBand="1"/>
      </w:tblPr>
      <w:tblGrid>
        <w:gridCol w:w="6379"/>
      </w:tblGrid>
      <w:tr w:rsidR="00BD01CC" w:rsidRPr="00CD6C2A" w14:paraId="729011A4" w14:textId="77777777" w:rsidTr="00C54FEF">
        <w:tc>
          <w:tcPr>
            <w:tcW w:w="6379" w:type="dxa"/>
          </w:tcPr>
          <w:p w14:paraId="2469312B" w14:textId="77777777" w:rsidR="00BD01CC" w:rsidRPr="00094DD1" w:rsidRDefault="00BD01CC" w:rsidP="00C54FEF">
            <w:pPr>
              <w:spacing w:before="100" w:beforeAutospacing="1" w:after="100" w:afterAutospacing="1"/>
              <w:jc w:val="both"/>
              <w:rPr>
                <w:rFonts w:eastAsia="Times New Roman" w:cs="Times New Roman"/>
                <w:b/>
                <w:bCs/>
                <w:color w:val="191919"/>
                <w:sz w:val="24"/>
                <w:szCs w:val="24"/>
                <w:lang w:val="en-US" w:eastAsia="en-GB"/>
              </w:rPr>
            </w:pPr>
            <w:r w:rsidRPr="00094DD1">
              <w:rPr>
                <w:rFonts w:eastAsia="Times New Roman" w:cs="Times New Roman"/>
                <w:b/>
                <w:bCs/>
                <w:color w:val="191919"/>
                <w:sz w:val="24"/>
                <w:szCs w:val="24"/>
                <w:lang w:val="en-US" w:eastAsia="en-GB"/>
              </w:rPr>
              <w:t>Mutual Fund Administrators</w:t>
            </w:r>
          </w:p>
        </w:tc>
      </w:tr>
      <w:tr w:rsidR="00BD01CC" w:rsidRPr="00CD6C2A" w14:paraId="06093B8D" w14:textId="77777777" w:rsidTr="00751637">
        <w:tc>
          <w:tcPr>
            <w:tcW w:w="6379" w:type="dxa"/>
            <w:shd w:val="clear" w:color="auto" w:fill="F79747"/>
          </w:tcPr>
          <w:p w14:paraId="1C01A44F" w14:textId="1B6EF9BC" w:rsidR="00BD01CC" w:rsidRPr="003A2B63" w:rsidRDefault="00BD01CC" w:rsidP="00C54FEF">
            <w:pPr>
              <w:spacing w:before="100" w:beforeAutospacing="1" w:after="100" w:afterAutospacing="1"/>
              <w:jc w:val="both"/>
              <w:rPr>
                <w:rFonts w:eastAsia="Times New Roman" w:cs="Times New Roman"/>
                <w:color w:val="191919"/>
                <w:lang w:val="en-US" w:eastAsia="en-GB"/>
              </w:rPr>
            </w:pPr>
            <w:r w:rsidRPr="003A2B63">
              <w:rPr>
                <w:rFonts w:eastAsia="Times New Roman" w:cs="Times New Roman"/>
                <w:color w:val="191919"/>
                <w:lang w:val="en-US" w:eastAsia="en-GB"/>
              </w:rPr>
              <w:t xml:space="preserve">Nature and Size: </w:t>
            </w:r>
            <w:r w:rsidR="003A2B63" w:rsidRPr="003A2B63">
              <w:rPr>
                <w:rFonts w:eastAsia="Times New Roman" w:cs="Times New Roman"/>
                <w:color w:val="191919"/>
                <w:lang w:val="en-US" w:eastAsia="en-GB"/>
              </w:rPr>
              <w:t>Medium High</w:t>
            </w:r>
          </w:p>
        </w:tc>
      </w:tr>
      <w:tr w:rsidR="00BD01CC" w:rsidRPr="00CD6C2A" w14:paraId="0EA99C59" w14:textId="77777777" w:rsidTr="00C54FEF">
        <w:tc>
          <w:tcPr>
            <w:tcW w:w="6379" w:type="dxa"/>
            <w:shd w:val="clear" w:color="auto" w:fill="FFFF00"/>
          </w:tcPr>
          <w:p w14:paraId="2B3E4353" w14:textId="35C6125B" w:rsidR="00BD01CC" w:rsidRPr="00CD6C2A" w:rsidRDefault="00BD01CC" w:rsidP="00C54FEF">
            <w:pPr>
              <w:spacing w:before="100" w:beforeAutospacing="1" w:after="100" w:afterAutospacing="1"/>
              <w:jc w:val="both"/>
              <w:rPr>
                <w:color w:val="191919"/>
                <w:lang w:val="en-US" w:eastAsia="en-GB"/>
              </w:rPr>
            </w:pPr>
            <w:r>
              <w:rPr>
                <w:color w:val="191919"/>
                <w:lang w:val="en-US" w:eastAsia="en-GB"/>
              </w:rPr>
              <w:t>Geographic:</w:t>
            </w:r>
            <w:r w:rsidR="00751637">
              <w:rPr>
                <w:color w:val="191919"/>
                <w:lang w:val="en-US" w:eastAsia="en-GB"/>
              </w:rPr>
              <w:t xml:space="preserve"> Medium - Low</w:t>
            </w:r>
          </w:p>
        </w:tc>
      </w:tr>
      <w:tr w:rsidR="00BD01CC" w:rsidRPr="00CD6C2A" w14:paraId="7353D514" w14:textId="77777777" w:rsidTr="00C54FEF">
        <w:tc>
          <w:tcPr>
            <w:tcW w:w="6379" w:type="dxa"/>
            <w:shd w:val="clear" w:color="auto" w:fill="FFFF00"/>
          </w:tcPr>
          <w:p w14:paraId="1BDFC9F7" w14:textId="4719C2B5" w:rsidR="00BD01CC" w:rsidRPr="00CD6C2A" w:rsidRDefault="00BD01CC" w:rsidP="00C54FEF">
            <w:pPr>
              <w:spacing w:before="100" w:beforeAutospacing="1" w:after="100" w:afterAutospacing="1"/>
              <w:jc w:val="both"/>
              <w:rPr>
                <w:rFonts w:eastAsia="Times New Roman" w:cs="Times New Roman"/>
                <w:color w:val="191919"/>
                <w:lang w:val="en-US" w:eastAsia="en-GB"/>
              </w:rPr>
            </w:pPr>
            <w:r w:rsidRPr="00CD6C2A">
              <w:rPr>
                <w:rFonts w:eastAsia="Times New Roman" w:cs="Times New Roman"/>
                <w:color w:val="191919"/>
                <w:lang w:val="en-US" w:eastAsia="en-GB"/>
              </w:rPr>
              <w:t xml:space="preserve">Customers: </w:t>
            </w:r>
            <w:r w:rsidR="007A1238">
              <w:rPr>
                <w:rFonts w:eastAsia="Times New Roman" w:cs="Times New Roman"/>
                <w:color w:val="191919"/>
                <w:lang w:val="en-US" w:eastAsia="en-GB"/>
              </w:rPr>
              <w:t>M</w:t>
            </w:r>
            <w:r>
              <w:rPr>
                <w:rFonts w:eastAsia="Times New Roman" w:cs="Times New Roman"/>
                <w:color w:val="191919"/>
                <w:lang w:val="en-US" w:eastAsia="en-GB"/>
              </w:rPr>
              <w:t>edium-</w:t>
            </w:r>
            <w:r w:rsidR="007A1238">
              <w:rPr>
                <w:rFonts w:eastAsia="Times New Roman" w:cs="Times New Roman"/>
                <w:color w:val="191919"/>
                <w:lang w:val="en-US" w:eastAsia="en-GB"/>
              </w:rPr>
              <w:t>L</w:t>
            </w:r>
            <w:r w:rsidRPr="00CD6C2A">
              <w:rPr>
                <w:rFonts w:eastAsia="Times New Roman" w:cs="Times New Roman"/>
                <w:color w:val="191919"/>
                <w:lang w:val="en-US" w:eastAsia="en-GB"/>
              </w:rPr>
              <w:t>ow</w:t>
            </w:r>
          </w:p>
        </w:tc>
      </w:tr>
      <w:tr w:rsidR="00BD01CC" w:rsidRPr="00701C47" w14:paraId="2C62C757" w14:textId="77777777" w:rsidTr="00701C47">
        <w:tc>
          <w:tcPr>
            <w:tcW w:w="6379" w:type="dxa"/>
            <w:shd w:val="clear" w:color="auto" w:fill="F79747"/>
          </w:tcPr>
          <w:p w14:paraId="722263FD" w14:textId="64AE5505" w:rsidR="00BD01CC" w:rsidRPr="00CD6C2A" w:rsidRDefault="00BD01CC" w:rsidP="00C54FEF">
            <w:pPr>
              <w:spacing w:before="100" w:beforeAutospacing="1" w:after="100" w:afterAutospacing="1"/>
              <w:jc w:val="both"/>
              <w:rPr>
                <w:rFonts w:eastAsia="Times New Roman" w:cs="Times New Roman"/>
                <w:color w:val="191919"/>
                <w:lang w:val="en-US" w:eastAsia="en-GB"/>
              </w:rPr>
            </w:pPr>
            <w:r w:rsidRPr="00701C47">
              <w:rPr>
                <w:rFonts w:eastAsia="Times New Roman" w:cs="Times New Roman"/>
                <w:color w:val="191919"/>
                <w:lang w:val="en-US" w:eastAsia="en-GB"/>
              </w:rPr>
              <w:t xml:space="preserve">Transactions, products and service: </w:t>
            </w:r>
            <w:r w:rsidR="00701C47" w:rsidRPr="00701C47">
              <w:rPr>
                <w:rFonts w:eastAsia="Times New Roman" w:cs="Times New Roman"/>
                <w:color w:val="191919"/>
                <w:lang w:val="en-US" w:eastAsia="en-GB"/>
              </w:rPr>
              <w:t>M</w:t>
            </w:r>
            <w:r w:rsidRPr="00701C47">
              <w:rPr>
                <w:rFonts w:eastAsia="Times New Roman" w:cs="Times New Roman"/>
                <w:color w:val="191919"/>
                <w:lang w:val="en-US" w:eastAsia="en-GB"/>
              </w:rPr>
              <w:t xml:space="preserve">edium – </w:t>
            </w:r>
            <w:r w:rsidR="00701C47" w:rsidRPr="00701C47">
              <w:rPr>
                <w:rFonts w:eastAsia="Times New Roman" w:cs="Times New Roman"/>
                <w:color w:val="191919"/>
                <w:lang w:val="en-US" w:eastAsia="en-GB"/>
              </w:rPr>
              <w:t>H</w:t>
            </w:r>
            <w:r w:rsidR="00701C47">
              <w:rPr>
                <w:rFonts w:eastAsia="Times New Roman" w:cs="Times New Roman"/>
                <w:color w:val="191919"/>
                <w:lang w:val="en-US" w:eastAsia="en-GB"/>
              </w:rPr>
              <w:t>igh</w:t>
            </w:r>
          </w:p>
        </w:tc>
      </w:tr>
      <w:tr w:rsidR="00BD01CC" w:rsidRPr="005F76C8" w14:paraId="06B14B21" w14:textId="77777777" w:rsidTr="005F76C8">
        <w:tc>
          <w:tcPr>
            <w:tcW w:w="6379" w:type="dxa"/>
            <w:shd w:val="clear" w:color="auto" w:fill="F79747"/>
          </w:tcPr>
          <w:p w14:paraId="648613C5" w14:textId="4C97C8B4" w:rsidR="00BD01CC" w:rsidRPr="00CD6C2A" w:rsidRDefault="00BD01CC" w:rsidP="00C54FEF">
            <w:pPr>
              <w:spacing w:before="100" w:beforeAutospacing="1" w:after="100" w:afterAutospacing="1"/>
              <w:jc w:val="both"/>
              <w:rPr>
                <w:rFonts w:eastAsia="Times New Roman" w:cs="Times New Roman"/>
                <w:color w:val="191919"/>
                <w:lang w:val="en-US" w:eastAsia="en-GB"/>
              </w:rPr>
            </w:pPr>
            <w:r w:rsidRPr="00CD6C2A">
              <w:rPr>
                <w:rFonts w:eastAsia="Times New Roman" w:cs="Times New Roman"/>
                <w:color w:val="191919"/>
                <w:lang w:val="en-US" w:eastAsia="en-GB"/>
              </w:rPr>
              <w:t xml:space="preserve">Delivery channel: </w:t>
            </w:r>
            <w:r w:rsidR="005F76C8">
              <w:rPr>
                <w:rFonts w:eastAsia="Times New Roman" w:cs="Times New Roman"/>
                <w:color w:val="191919"/>
                <w:lang w:val="en-US" w:eastAsia="en-GB"/>
              </w:rPr>
              <w:t>M</w:t>
            </w:r>
            <w:r w:rsidRPr="00CD6C2A">
              <w:rPr>
                <w:rFonts w:eastAsia="Times New Roman" w:cs="Times New Roman"/>
                <w:color w:val="191919"/>
                <w:lang w:val="en-US" w:eastAsia="en-GB"/>
              </w:rPr>
              <w:t>edium-</w:t>
            </w:r>
            <w:r w:rsidR="005F76C8">
              <w:rPr>
                <w:rFonts w:eastAsia="Times New Roman" w:cs="Times New Roman"/>
                <w:color w:val="191919"/>
                <w:lang w:val="en-US" w:eastAsia="en-GB"/>
              </w:rPr>
              <w:t>High</w:t>
            </w:r>
          </w:p>
        </w:tc>
      </w:tr>
      <w:tr w:rsidR="00BD01CC" w:rsidRPr="00CD6C2A" w14:paraId="2AEBABA5" w14:textId="77777777" w:rsidTr="00A228F8">
        <w:trPr>
          <w:trHeight w:val="440"/>
        </w:trPr>
        <w:tc>
          <w:tcPr>
            <w:tcW w:w="6379" w:type="dxa"/>
            <w:shd w:val="clear" w:color="auto" w:fill="F79747"/>
            <w:vAlign w:val="bottom"/>
          </w:tcPr>
          <w:p w14:paraId="5A9BED4E" w14:textId="053C223E" w:rsidR="00BD01CC" w:rsidRPr="000623CE" w:rsidRDefault="00BD01CC" w:rsidP="00A228F8">
            <w:pPr>
              <w:spacing w:before="100" w:beforeAutospacing="1" w:after="100" w:afterAutospacing="1"/>
              <w:rPr>
                <w:rFonts w:eastAsia="Times New Roman" w:cs="Times New Roman"/>
                <w:b/>
                <w:bCs/>
                <w:color w:val="191919"/>
                <w:lang w:val="en-US" w:eastAsia="en-GB"/>
              </w:rPr>
            </w:pPr>
            <w:r w:rsidRPr="000623CE">
              <w:rPr>
                <w:rFonts w:eastAsia="Times New Roman" w:cs="Times New Roman"/>
                <w:b/>
                <w:bCs/>
                <w:color w:val="191919"/>
                <w:lang w:val="en-US" w:eastAsia="en-GB"/>
              </w:rPr>
              <w:t xml:space="preserve">Overall: </w:t>
            </w:r>
            <w:r w:rsidR="005F76C8">
              <w:rPr>
                <w:rFonts w:eastAsia="Times New Roman" w:cs="Times New Roman"/>
                <w:b/>
                <w:bCs/>
                <w:color w:val="191919"/>
                <w:lang w:val="en-US" w:eastAsia="en-GB"/>
              </w:rPr>
              <w:t>M</w:t>
            </w:r>
            <w:r w:rsidRPr="000623CE">
              <w:rPr>
                <w:rFonts w:eastAsia="Times New Roman" w:cs="Times New Roman"/>
                <w:b/>
                <w:bCs/>
                <w:color w:val="191919"/>
                <w:lang w:val="en-US" w:eastAsia="en-GB"/>
              </w:rPr>
              <w:t>edium-</w:t>
            </w:r>
            <w:r w:rsidR="005F76C8">
              <w:rPr>
                <w:rFonts w:eastAsia="Times New Roman" w:cs="Times New Roman"/>
                <w:b/>
                <w:bCs/>
                <w:color w:val="191919"/>
                <w:lang w:val="en-US" w:eastAsia="en-GB"/>
              </w:rPr>
              <w:t>High</w:t>
            </w:r>
          </w:p>
        </w:tc>
      </w:tr>
    </w:tbl>
    <w:p w14:paraId="228A0832" w14:textId="77777777" w:rsidR="00BD01CC" w:rsidRDefault="00BD01CC" w:rsidP="006918C9">
      <w:pPr>
        <w:rPr>
          <w:rFonts w:ascii="Verdana" w:eastAsiaTheme="majorEastAsia" w:hAnsi="Verdana" w:cstheme="majorBidi"/>
          <w:b/>
          <w:spacing w:val="5"/>
          <w:kern w:val="28"/>
        </w:rPr>
      </w:pPr>
    </w:p>
    <w:p w14:paraId="3FE7C495" w14:textId="1869F9F5" w:rsidR="00133B5C" w:rsidRDefault="00133B5C" w:rsidP="006918C9">
      <w:pPr>
        <w:rPr>
          <w:rFonts w:ascii="Verdana" w:eastAsiaTheme="majorEastAsia" w:hAnsi="Verdana" w:cstheme="majorBidi"/>
          <w:b/>
          <w:spacing w:val="5"/>
          <w:kern w:val="28"/>
        </w:rPr>
      </w:pPr>
    </w:p>
    <w:p w14:paraId="66949E56" w14:textId="3DF62EE6" w:rsidR="006918C9" w:rsidRPr="006918C9" w:rsidRDefault="00D83871" w:rsidP="006918C9">
      <w:pPr>
        <w:rPr>
          <w:rFonts w:ascii="Verdana" w:eastAsiaTheme="majorEastAsia" w:hAnsi="Verdana" w:cstheme="majorBidi"/>
          <w:b/>
          <w:spacing w:val="5"/>
          <w:kern w:val="28"/>
        </w:rPr>
      </w:pPr>
      <w:r>
        <w:rPr>
          <w:rFonts w:ascii="Verdana" w:eastAsiaTheme="majorEastAsia" w:hAnsi="Verdana" w:cstheme="majorBidi"/>
          <w:b/>
          <w:spacing w:val="5"/>
          <w:kern w:val="28"/>
        </w:rPr>
        <w:t xml:space="preserve">Risk Category- </w:t>
      </w:r>
      <w:r w:rsidR="006918C9" w:rsidRPr="006918C9">
        <w:rPr>
          <w:rFonts w:ascii="Verdana" w:eastAsiaTheme="majorEastAsia" w:hAnsi="Verdana" w:cstheme="majorBidi"/>
          <w:b/>
          <w:spacing w:val="5"/>
          <w:kern w:val="28"/>
        </w:rPr>
        <w:t>Nature, Size and Complexity of Business</w:t>
      </w:r>
    </w:p>
    <w:p w14:paraId="6E8B2E78" w14:textId="77777777" w:rsidR="006918C9" w:rsidRPr="006918C9" w:rsidRDefault="006918C9" w:rsidP="006918C9">
      <w:pPr>
        <w:rPr>
          <w:rFonts w:ascii="Verdana" w:eastAsiaTheme="majorEastAsia" w:hAnsi="Verdana" w:cstheme="majorBidi"/>
          <w:color w:val="17365D" w:themeColor="text2" w:themeShade="BF"/>
          <w:spacing w:val="5"/>
          <w:kern w:val="28"/>
        </w:rPr>
      </w:pPr>
    </w:p>
    <w:p w14:paraId="697378E4" w14:textId="44B92D27" w:rsidR="006918C9" w:rsidRPr="00B75B12" w:rsidRDefault="00116637"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75B12">
        <w:rPr>
          <w:rFonts w:ascii="Verdana" w:eastAsiaTheme="minorHAnsi" w:hAnsi="Verdana" w:cs="Times New Roman"/>
          <w:color w:val="000000" w:themeColor="text1"/>
          <w:sz w:val="20"/>
          <w:szCs w:val="20"/>
          <w:lang w:val="en-US"/>
        </w:rPr>
        <w:t xml:space="preserve">Mutual </w:t>
      </w:r>
      <w:r w:rsidR="00A54B6E">
        <w:rPr>
          <w:rFonts w:ascii="Verdana" w:eastAsiaTheme="minorHAnsi" w:hAnsi="Verdana" w:cs="Times New Roman"/>
          <w:color w:val="000000" w:themeColor="text1"/>
          <w:sz w:val="20"/>
          <w:szCs w:val="20"/>
          <w:lang w:val="en-US"/>
        </w:rPr>
        <w:t>f</w:t>
      </w:r>
      <w:r w:rsidR="006918C9" w:rsidRPr="00B75B12">
        <w:rPr>
          <w:rFonts w:ascii="Verdana" w:eastAsiaTheme="minorHAnsi" w:hAnsi="Verdana" w:cs="Times New Roman"/>
          <w:color w:val="000000" w:themeColor="text1"/>
          <w:sz w:val="20"/>
          <w:szCs w:val="20"/>
          <w:lang w:val="en-US"/>
        </w:rPr>
        <w:t xml:space="preserve">und administrators </w:t>
      </w:r>
      <w:r w:rsidR="00A54B6E">
        <w:rPr>
          <w:rFonts w:ascii="Verdana" w:eastAsiaTheme="minorHAnsi" w:hAnsi="Verdana" w:cs="Times New Roman"/>
          <w:color w:val="000000" w:themeColor="text1"/>
          <w:sz w:val="20"/>
          <w:szCs w:val="20"/>
          <w:lang w:val="en-US"/>
        </w:rPr>
        <w:t>provide services to investment</w:t>
      </w:r>
      <w:r w:rsidR="006918C9" w:rsidRPr="00B75B12">
        <w:rPr>
          <w:rFonts w:ascii="Verdana" w:eastAsiaTheme="minorHAnsi" w:hAnsi="Verdana" w:cs="Times New Roman"/>
          <w:color w:val="000000" w:themeColor="text1"/>
          <w:sz w:val="20"/>
          <w:szCs w:val="20"/>
          <w:lang w:val="en-US"/>
        </w:rPr>
        <w:t xml:space="preserve"> funds</w:t>
      </w:r>
      <w:r w:rsidR="00A54B6E">
        <w:rPr>
          <w:rFonts w:ascii="Verdana" w:eastAsiaTheme="minorHAnsi" w:hAnsi="Verdana" w:cs="Times New Roman"/>
          <w:color w:val="000000" w:themeColor="text1"/>
          <w:sz w:val="20"/>
          <w:szCs w:val="20"/>
          <w:lang w:val="en-US"/>
        </w:rPr>
        <w:t xml:space="preserve"> including</w:t>
      </w:r>
      <w:r w:rsidR="00A54B6E" w:rsidRPr="00B75B12">
        <w:rPr>
          <w:rFonts w:ascii="Verdana" w:eastAsiaTheme="minorHAnsi" w:hAnsi="Verdana" w:cs="Times New Roman"/>
          <w:color w:val="000000" w:themeColor="text1"/>
          <w:sz w:val="20"/>
          <w:szCs w:val="20"/>
          <w:lang w:val="en-US"/>
        </w:rPr>
        <w:t xml:space="preserve"> </w:t>
      </w:r>
      <w:r w:rsidR="006918C9" w:rsidRPr="00B75B12">
        <w:rPr>
          <w:rFonts w:ascii="Verdana" w:eastAsiaTheme="minorHAnsi" w:hAnsi="Verdana" w:cs="Times New Roman"/>
          <w:color w:val="000000" w:themeColor="text1"/>
          <w:sz w:val="20"/>
          <w:szCs w:val="20"/>
          <w:lang w:val="en-US"/>
        </w:rPr>
        <w:t xml:space="preserve">processing subscriptions and redemptions, undertaking client due diligence and ensuring compliance with </w:t>
      </w:r>
      <w:r w:rsidR="006918C9" w:rsidRPr="00B75B12">
        <w:rPr>
          <w:rFonts w:ascii="Verdana" w:eastAsiaTheme="minorHAnsi" w:hAnsi="Verdana" w:cs="Times New Roman"/>
          <w:color w:val="000000" w:themeColor="text1"/>
          <w:sz w:val="20"/>
          <w:szCs w:val="20"/>
          <w:lang w:val="en-US"/>
        </w:rPr>
        <w:lastRenderedPageBreak/>
        <w:t xml:space="preserve">anti-money laundering procedures, processing dividend </w:t>
      </w:r>
      <w:r w:rsidR="00BE3D7E">
        <w:rPr>
          <w:rFonts w:ascii="Verdana" w:eastAsiaTheme="minorHAnsi" w:hAnsi="Verdana" w:cs="Times New Roman"/>
          <w:color w:val="000000" w:themeColor="text1"/>
          <w:sz w:val="20"/>
          <w:szCs w:val="20"/>
          <w:lang w:val="en-US"/>
        </w:rPr>
        <w:t xml:space="preserve">and transfer </w:t>
      </w:r>
      <w:r w:rsidR="006918C9" w:rsidRPr="00B75B12">
        <w:rPr>
          <w:rFonts w:ascii="Verdana" w:eastAsiaTheme="minorHAnsi" w:hAnsi="Verdana" w:cs="Times New Roman"/>
          <w:color w:val="000000" w:themeColor="text1"/>
          <w:sz w:val="20"/>
          <w:szCs w:val="20"/>
          <w:lang w:val="en-US"/>
        </w:rPr>
        <w:t xml:space="preserve">payments </w:t>
      </w:r>
      <w:r w:rsidR="00BE3D7E">
        <w:rPr>
          <w:rFonts w:ascii="Verdana" w:eastAsiaTheme="minorHAnsi" w:hAnsi="Verdana" w:cs="Times New Roman"/>
          <w:color w:val="000000" w:themeColor="text1"/>
          <w:sz w:val="20"/>
          <w:szCs w:val="20"/>
          <w:lang w:val="en-US"/>
        </w:rPr>
        <w:t xml:space="preserve">as well as </w:t>
      </w:r>
      <w:r w:rsidR="006918C9" w:rsidRPr="00B75B12">
        <w:rPr>
          <w:rFonts w:ascii="Verdana" w:eastAsiaTheme="minorHAnsi" w:hAnsi="Verdana" w:cs="Times New Roman"/>
          <w:color w:val="000000" w:themeColor="text1"/>
          <w:sz w:val="20"/>
          <w:szCs w:val="20"/>
          <w:lang w:val="en-US"/>
        </w:rPr>
        <w:t>reconciling and reporting fund transactions.</w:t>
      </w:r>
    </w:p>
    <w:p w14:paraId="0DF1B1A7" w14:textId="77777777" w:rsidR="006918C9" w:rsidRPr="00B75B12" w:rsidRDefault="006918C9" w:rsidP="00B75B12">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00CB9F87" w14:textId="5A21D595" w:rsidR="006918C9" w:rsidRPr="00B75B12" w:rsidRDefault="00116637"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75B12">
        <w:rPr>
          <w:rFonts w:ascii="Verdana" w:eastAsiaTheme="minorHAnsi" w:hAnsi="Verdana" w:cs="Times New Roman"/>
          <w:color w:val="000000" w:themeColor="text1"/>
          <w:sz w:val="20"/>
          <w:szCs w:val="20"/>
          <w:lang w:val="en-US"/>
        </w:rPr>
        <w:t xml:space="preserve">Mutual </w:t>
      </w:r>
      <w:r w:rsidR="006918C9" w:rsidRPr="00B75B12">
        <w:rPr>
          <w:rFonts w:ascii="Verdana" w:eastAsiaTheme="minorHAnsi" w:hAnsi="Verdana" w:cs="Times New Roman"/>
          <w:color w:val="000000" w:themeColor="text1"/>
          <w:sz w:val="20"/>
          <w:szCs w:val="20"/>
          <w:lang w:val="en-US"/>
        </w:rPr>
        <w:t>Fund administrators include small single offices</w:t>
      </w:r>
      <w:r w:rsidR="00A54B6E">
        <w:rPr>
          <w:rFonts w:ascii="Verdana" w:eastAsiaTheme="minorHAnsi" w:hAnsi="Verdana" w:cs="Times New Roman"/>
          <w:color w:val="000000" w:themeColor="text1"/>
          <w:sz w:val="20"/>
          <w:szCs w:val="20"/>
          <w:lang w:val="en-US"/>
        </w:rPr>
        <w:t>,</w:t>
      </w:r>
      <w:r w:rsidR="006918C9" w:rsidRPr="00B75B12">
        <w:rPr>
          <w:rFonts w:ascii="Verdana" w:eastAsiaTheme="minorHAnsi" w:hAnsi="Verdana" w:cs="Times New Roman"/>
          <w:color w:val="000000" w:themeColor="text1"/>
          <w:sz w:val="20"/>
          <w:szCs w:val="20"/>
          <w:lang w:val="en-US"/>
        </w:rPr>
        <w:t xml:space="preserve"> as well as global operations</w:t>
      </w:r>
      <w:r w:rsidR="00A54B6E">
        <w:rPr>
          <w:rFonts w:ascii="Verdana" w:eastAsiaTheme="minorHAnsi" w:hAnsi="Verdana" w:cs="Times New Roman"/>
          <w:color w:val="000000" w:themeColor="text1"/>
          <w:sz w:val="20"/>
          <w:szCs w:val="20"/>
          <w:lang w:val="en-US"/>
        </w:rPr>
        <w:t>,</w:t>
      </w:r>
      <w:r w:rsidR="006918C9" w:rsidRPr="00B75B12">
        <w:rPr>
          <w:rFonts w:ascii="Verdana" w:eastAsiaTheme="minorHAnsi" w:hAnsi="Verdana" w:cs="Times New Roman"/>
          <w:color w:val="000000" w:themeColor="text1"/>
          <w:sz w:val="20"/>
          <w:szCs w:val="20"/>
          <w:lang w:val="en-US"/>
        </w:rPr>
        <w:t xml:space="preserve"> where</w:t>
      </w:r>
      <w:r w:rsidR="00A54B6E">
        <w:rPr>
          <w:rFonts w:ascii="Verdana" w:eastAsiaTheme="minorHAnsi" w:hAnsi="Verdana" w:cs="Times New Roman"/>
          <w:color w:val="000000" w:themeColor="text1"/>
          <w:sz w:val="20"/>
          <w:szCs w:val="20"/>
          <w:lang w:val="en-US"/>
        </w:rPr>
        <w:t>,</w:t>
      </w:r>
      <w:r w:rsidR="006918C9" w:rsidRPr="00B75B12">
        <w:rPr>
          <w:rFonts w:ascii="Verdana" w:eastAsiaTheme="minorHAnsi" w:hAnsi="Verdana" w:cs="Times New Roman"/>
          <w:color w:val="000000" w:themeColor="text1"/>
          <w:sz w:val="20"/>
          <w:szCs w:val="20"/>
          <w:lang w:val="en-US"/>
        </w:rPr>
        <w:t xml:space="preserve"> for example</w:t>
      </w:r>
      <w:r w:rsidR="00A54B6E">
        <w:rPr>
          <w:rFonts w:ascii="Verdana" w:eastAsiaTheme="minorHAnsi" w:hAnsi="Verdana" w:cs="Times New Roman"/>
          <w:color w:val="000000" w:themeColor="text1"/>
          <w:sz w:val="20"/>
          <w:szCs w:val="20"/>
          <w:lang w:val="en-US"/>
        </w:rPr>
        <w:t>,</w:t>
      </w:r>
      <w:r w:rsidR="006918C9" w:rsidRPr="00B75B12">
        <w:rPr>
          <w:rFonts w:ascii="Verdana" w:eastAsiaTheme="minorHAnsi" w:hAnsi="Verdana" w:cs="Times New Roman"/>
          <w:color w:val="000000" w:themeColor="text1"/>
          <w:sz w:val="20"/>
          <w:szCs w:val="20"/>
          <w:lang w:val="en-US"/>
        </w:rPr>
        <w:t xml:space="preserve"> registrar and transfer services (RTA) are provided in</w:t>
      </w:r>
      <w:r w:rsidR="00A54B6E">
        <w:rPr>
          <w:rFonts w:ascii="Verdana" w:eastAsiaTheme="minorHAnsi" w:hAnsi="Verdana" w:cs="Times New Roman"/>
          <w:color w:val="000000" w:themeColor="text1"/>
          <w:sz w:val="20"/>
          <w:szCs w:val="20"/>
          <w:lang w:val="en-US"/>
        </w:rPr>
        <w:t>-</w:t>
      </w:r>
      <w:r w:rsidR="006918C9" w:rsidRPr="00B75B12">
        <w:rPr>
          <w:rFonts w:ascii="Verdana" w:eastAsiaTheme="minorHAnsi" w:hAnsi="Verdana" w:cs="Times New Roman"/>
          <w:color w:val="000000" w:themeColor="text1"/>
          <w:sz w:val="20"/>
          <w:szCs w:val="20"/>
          <w:lang w:val="en-US"/>
        </w:rPr>
        <w:t>house and net asset value calculation services (NAV) are outsourced to subsidiaries across the world</w:t>
      </w:r>
      <w:r w:rsidR="00A54B6E">
        <w:rPr>
          <w:rFonts w:ascii="Verdana" w:eastAsiaTheme="minorHAnsi" w:hAnsi="Verdana" w:cs="Times New Roman"/>
          <w:color w:val="000000" w:themeColor="text1"/>
          <w:sz w:val="20"/>
          <w:szCs w:val="20"/>
          <w:lang w:val="en-US"/>
        </w:rPr>
        <w:t>.  In</w:t>
      </w:r>
      <w:r w:rsidR="006918C9" w:rsidRPr="00B75B12">
        <w:rPr>
          <w:rFonts w:ascii="Verdana" w:eastAsiaTheme="minorHAnsi" w:hAnsi="Verdana" w:cs="Times New Roman"/>
          <w:color w:val="000000" w:themeColor="text1"/>
          <w:sz w:val="20"/>
          <w:szCs w:val="20"/>
          <w:lang w:val="en-US"/>
        </w:rPr>
        <w:t xml:space="preserve"> some </w:t>
      </w:r>
      <w:r w:rsidRPr="00B75B12">
        <w:rPr>
          <w:rFonts w:ascii="Verdana" w:eastAsiaTheme="minorHAnsi" w:hAnsi="Verdana" w:cs="Times New Roman"/>
          <w:color w:val="000000" w:themeColor="text1"/>
          <w:sz w:val="20"/>
          <w:szCs w:val="20"/>
          <w:lang w:val="en-US"/>
        </w:rPr>
        <w:t>cases,</w:t>
      </w:r>
      <w:r w:rsidR="006918C9" w:rsidRPr="00B75B12">
        <w:rPr>
          <w:rFonts w:ascii="Verdana" w:eastAsiaTheme="minorHAnsi" w:hAnsi="Verdana" w:cs="Times New Roman"/>
          <w:color w:val="000000" w:themeColor="text1"/>
          <w:sz w:val="20"/>
          <w:szCs w:val="20"/>
          <w:lang w:val="en-US"/>
        </w:rPr>
        <w:t xml:space="preserve"> there are several levels of outsourcing.  While some </w:t>
      </w:r>
      <w:r w:rsidR="00A54B6E">
        <w:rPr>
          <w:rFonts w:ascii="Verdana" w:eastAsiaTheme="minorHAnsi" w:hAnsi="Verdana" w:cs="Times New Roman"/>
          <w:color w:val="000000" w:themeColor="text1"/>
          <w:sz w:val="20"/>
          <w:szCs w:val="20"/>
          <w:lang w:val="en-US"/>
        </w:rPr>
        <w:t>mutual fund administrators</w:t>
      </w:r>
      <w:r w:rsidR="00A54B6E" w:rsidRPr="00B75B12">
        <w:rPr>
          <w:rFonts w:ascii="Verdana" w:eastAsiaTheme="minorHAnsi" w:hAnsi="Verdana" w:cs="Times New Roman"/>
          <w:color w:val="000000" w:themeColor="text1"/>
          <w:sz w:val="20"/>
          <w:szCs w:val="20"/>
          <w:lang w:val="en-US"/>
        </w:rPr>
        <w:t xml:space="preserve"> </w:t>
      </w:r>
      <w:r w:rsidR="006918C9" w:rsidRPr="00B75B12">
        <w:rPr>
          <w:rFonts w:ascii="Verdana" w:eastAsiaTheme="minorHAnsi" w:hAnsi="Verdana" w:cs="Times New Roman"/>
          <w:color w:val="000000" w:themeColor="text1"/>
          <w:sz w:val="20"/>
          <w:szCs w:val="20"/>
          <w:lang w:val="en-US"/>
        </w:rPr>
        <w:t>have maintained the traditional services of RTA</w:t>
      </w:r>
      <w:r w:rsidRPr="00B75B12">
        <w:rPr>
          <w:rFonts w:ascii="Verdana" w:eastAsiaTheme="minorHAnsi" w:hAnsi="Verdana" w:cs="Times New Roman"/>
          <w:color w:val="000000" w:themeColor="text1"/>
          <w:sz w:val="20"/>
          <w:szCs w:val="20"/>
          <w:lang w:val="en-US"/>
        </w:rPr>
        <w:t xml:space="preserve">, </w:t>
      </w:r>
      <w:r w:rsidR="006918C9" w:rsidRPr="00B75B12">
        <w:rPr>
          <w:rFonts w:ascii="Verdana" w:eastAsiaTheme="minorHAnsi" w:hAnsi="Verdana" w:cs="Times New Roman"/>
          <w:color w:val="000000" w:themeColor="text1"/>
          <w:sz w:val="20"/>
          <w:szCs w:val="20"/>
          <w:lang w:val="en-US"/>
        </w:rPr>
        <w:t>NAV,</w:t>
      </w:r>
      <w:r w:rsidRPr="00B75B12">
        <w:rPr>
          <w:rFonts w:ascii="Verdana" w:eastAsiaTheme="minorHAnsi" w:hAnsi="Verdana" w:cs="Times New Roman"/>
          <w:color w:val="000000" w:themeColor="text1"/>
          <w:sz w:val="20"/>
          <w:szCs w:val="20"/>
          <w:lang w:val="en-US"/>
        </w:rPr>
        <w:t xml:space="preserve"> principal office and registered office services, </w:t>
      </w:r>
      <w:r w:rsidR="006918C9" w:rsidRPr="00B75B12">
        <w:rPr>
          <w:rFonts w:ascii="Verdana" w:eastAsiaTheme="minorHAnsi" w:hAnsi="Verdana" w:cs="Times New Roman"/>
          <w:color w:val="000000" w:themeColor="text1"/>
          <w:sz w:val="20"/>
          <w:szCs w:val="20"/>
          <w:lang w:val="en-US"/>
        </w:rPr>
        <w:t>others have expanded to include</w:t>
      </w:r>
      <w:r w:rsidR="0038772B">
        <w:rPr>
          <w:rFonts w:ascii="Verdana" w:eastAsiaTheme="minorHAnsi" w:hAnsi="Verdana" w:cs="Times New Roman"/>
          <w:color w:val="000000" w:themeColor="text1"/>
          <w:sz w:val="20"/>
          <w:szCs w:val="20"/>
          <w:lang w:val="en-US"/>
        </w:rPr>
        <w:t xml:space="preserve"> Foreign Account Tax Compliance/Common Reporting Standards (</w:t>
      </w:r>
      <w:r w:rsidR="006918C9" w:rsidRPr="00B75B12">
        <w:rPr>
          <w:rFonts w:ascii="Verdana" w:eastAsiaTheme="minorHAnsi" w:hAnsi="Verdana" w:cs="Times New Roman"/>
          <w:color w:val="000000" w:themeColor="text1"/>
          <w:sz w:val="20"/>
          <w:szCs w:val="20"/>
          <w:lang w:val="en-US"/>
        </w:rPr>
        <w:t>FATCA/CRS</w:t>
      </w:r>
      <w:r w:rsidR="0038772B">
        <w:rPr>
          <w:rFonts w:ascii="Verdana" w:eastAsiaTheme="minorHAnsi" w:hAnsi="Verdana" w:cs="Times New Roman"/>
          <w:color w:val="000000" w:themeColor="text1"/>
          <w:sz w:val="20"/>
          <w:szCs w:val="20"/>
          <w:lang w:val="en-US"/>
        </w:rPr>
        <w:t>)</w:t>
      </w:r>
      <w:r w:rsidR="006918C9" w:rsidRPr="00B75B12">
        <w:rPr>
          <w:rFonts w:ascii="Verdana" w:eastAsiaTheme="minorHAnsi" w:hAnsi="Verdana" w:cs="Times New Roman"/>
          <w:color w:val="000000" w:themeColor="text1"/>
          <w:sz w:val="20"/>
          <w:szCs w:val="20"/>
          <w:lang w:val="en-US"/>
        </w:rPr>
        <w:t xml:space="preserve"> services, deposit</w:t>
      </w:r>
      <w:r w:rsidR="002A5E06">
        <w:rPr>
          <w:rFonts w:ascii="Verdana" w:eastAsiaTheme="minorHAnsi" w:hAnsi="Verdana" w:cs="Times New Roman"/>
          <w:color w:val="000000" w:themeColor="text1"/>
          <w:sz w:val="20"/>
          <w:szCs w:val="20"/>
          <w:lang w:val="en-US"/>
        </w:rPr>
        <w:t>a</w:t>
      </w:r>
      <w:r w:rsidR="006918C9" w:rsidRPr="00B75B12">
        <w:rPr>
          <w:rFonts w:ascii="Verdana" w:eastAsiaTheme="minorHAnsi" w:hAnsi="Verdana" w:cs="Times New Roman"/>
          <w:color w:val="000000" w:themeColor="text1"/>
          <w:sz w:val="20"/>
          <w:szCs w:val="20"/>
          <w:lang w:val="en-US"/>
        </w:rPr>
        <w:t>ry lite</w:t>
      </w:r>
      <w:r w:rsidR="002A5E06">
        <w:rPr>
          <w:rStyle w:val="FootnoteReference"/>
          <w:rFonts w:ascii="Verdana" w:eastAsiaTheme="minorHAnsi" w:hAnsi="Verdana" w:cs="Times New Roman"/>
          <w:color w:val="000000" w:themeColor="text1"/>
          <w:sz w:val="20"/>
          <w:szCs w:val="20"/>
          <w:lang w:val="en-US"/>
        </w:rPr>
        <w:footnoteReference w:id="6"/>
      </w:r>
      <w:r w:rsidRPr="00B75B12">
        <w:rPr>
          <w:rFonts w:ascii="Verdana" w:eastAsiaTheme="minorHAnsi" w:hAnsi="Verdana" w:cs="Times New Roman"/>
          <w:color w:val="000000" w:themeColor="text1"/>
          <w:sz w:val="20"/>
          <w:szCs w:val="20"/>
          <w:lang w:val="en-US"/>
        </w:rPr>
        <w:t xml:space="preserve">, </w:t>
      </w:r>
      <w:r w:rsidR="006918C9" w:rsidRPr="00B75B12">
        <w:rPr>
          <w:rFonts w:ascii="Verdana" w:eastAsiaTheme="minorHAnsi" w:hAnsi="Verdana" w:cs="Times New Roman"/>
          <w:color w:val="000000" w:themeColor="text1"/>
          <w:sz w:val="20"/>
          <w:szCs w:val="20"/>
          <w:lang w:val="en-US"/>
        </w:rPr>
        <w:t>directorship to funds</w:t>
      </w:r>
      <w:r w:rsidRPr="00B75B12">
        <w:rPr>
          <w:rFonts w:ascii="Verdana" w:eastAsiaTheme="minorHAnsi" w:hAnsi="Verdana" w:cs="Times New Roman"/>
          <w:color w:val="000000" w:themeColor="text1"/>
          <w:sz w:val="20"/>
          <w:szCs w:val="20"/>
          <w:lang w:val="en-US"/>
        </w:rPr>
        <w:t xml:space="preserve"> and in recent years acting as </w:t>
      </w:r>
      <w:r w:rsidR="00A54B6E">
        <w:rPr>
          <w:rFonts w:ascii="Verdana" w:eastAsiaTheme="minorHAnsi" w:hAnsi="Verdana" w:cs="Times New Roman"/>
          <w:color w:val="000000" w:themeColor="text1"/>
          <w:sz w:val="20"/>
          <w:szCs w:val="20"/>
          <w:lang w:val="en-US"/>
        </w:rPr>
        <w:t>AML</w:t>
      </w:r>
      <w:r w:rsidR="00B97DCA" w:rsidRPr="00B75B12">
        <w:rPr>
          <w:rFonts w:ascii="Verdana" w:eastAsiaTheme="minorHAnsi" w:hAnsi="Verdana" w:cs="Times New Roman"/>
          <w:color w:val="000000" w:themeColor="text1"/>
          <w:sz w:val="20"/>
          <w:szCs w:val="20"/>
          <w:lang w:val="en-US"/>
        </w:rPr>
        <w:t xml:space="preserve"> Officer</w:t>
      </w:r>
      <w:r w:rsidR="00A54B6E">
        <w:rPr>
          <w:rFonts w:ascii="Verdana" w:eastAsiaTheme="minorHAnsi" w:hAnsi="Verdana" w:cs="Times New Roman"/>
          <w:color w:val="000000" w:themeColor="text1"/>
          <w:sz w:val="20"/>
          <w:szCs w:val="20"/>
          <w:lang w:val="en-US"/>
        </w:rPr>
        <w:t>s</w:t>
      </w:r>
      <w:r w:rsidR="00B97DCA" w:rsidRPr="00B75B12">
        <w:rPr>
          <w:rFonts w:ascii="Verdana" w:eastAsiaTheme="minorHAnsi" w:hAnsi="Verdana" w:cs="Times New Roman"/>
          <w:color w:val="000000" w:themeColor="text1"/>
          <w:sz w:val="20"/>
          <w:szCs w:val="20"/>
          <w:lang w:val="en-US"/>
        </w:rPr>
        <w:t xml:space="preserve"> (</w:t>
      </w:r>
      <w:r w:rsidR="00A54B6E">
        <w:rPr>
          <w:rFonts w:ascii="Verdana" w:eastAsiaTheme="minorHAnsi" w:hAnsi="Verdana" w:cs="Times New Roman"/>
          <w:color w:val="000000" w:themeColor="text1"/>
          <w:sz w:val="20"/>
          <w:szCs w:val="20"/>
          <w:lang w:val="en-US"/>
        </w:rPr>
        <w:t xml:space="preserve">MLRO, Deputy MLRO and/or </w:t>
      </w:r>
      <w:r w:rsidRPr="00B75B12">
        <w:rPr>
          <w:rFonts w:ascii="Verdana" w:eastAsiaTheme="minorHAnsi" w:hAnsi="Verdana" w:cs="Times New Roman"/>
          <w:color w:val="000000" w:themeColor="text1"/>
          <w:sz w:val="20"/>
          <w:szCs w:val="20"/>
          <w:lang w:val="en-US"/>
        </w:rPr>
        <w:t>AMLCO</w:t>
      </w:r>
      <w:r w:rsidR="00B97DCA" w:rsidRPr="00B75B12">
        <w:rPr>
          <w:rFonts w:ascii="Verdana" w:eastAsiaTheme="minorHAnsi" w:hAnsi="Verdana" w:cs="Times New Roman"/>
          <w:color w:val="000000" w:themeColor="text1"/>
          <w:sz w:val="20"/>
          <w:szCs w:val="20"/>
          <w:lang w:val="en-US"/>
        </w:rPr>
        <w:t>)</w:t>
      </w:r>
      <w:r w:rsidRPr="00B75B12">
        <w:rPr>
          <w:rFonts w:ascii="Verdana" w:eastAsiaTheme="minorHAnsi" w:hAnsi="Verdana" w:cs="Times New Roman"/>
          <w:color w:val="000000" w:themeColor="text1"/>
          <w:sz w:val="20"/>
          <w:szCs w:val="20"/>
          <w:lang w:val="en-US"/>
        </w:rPr>
        <w:t xml:space="preserve"> to funds</w:t>
      </w:r>
      <w:r w:rsidR="006918C9" w:rsidRPr="00B75B12">
        <w:rPr>
          <w:rFonts w:ascii="Verdana" w:eastAsiaTheme="minorHAnsi" w:hAnsi="Verdana" w:cs="Times New Roman"/>
          <w:color w:val="000000" w:themeColor="text1"/>
          <w:sz w:val="20"/>
          <w:szCs w:val="20"/>
          <w:lang w:val="en-US"/>
        </w:rPr>
        <w:t>.</w:t>
      </w:r>
    </w:p>
    <w:p w14:paraId="1EB39BB8" w14:textId="77777777" w:rsidR="006918C9" w:rsidRPr="00B75B12" w:rsidRDefault="006918C9" w:rsidP="00B75B12">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2C329A48" w14:textId="3433022B" w:rsidR="00A95BFB" w:rsidRPr="00B75B12" w:rsidRDefault="001F2FA1"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75B12">
        <w:rPr>
          <w:rFonts w:ascii="Verdana" w:eastAsiaTheme="minorHAnsi" w:hAnsi="Verdana" w:cs="Times New Roman"/>
          <w:color w:val="000000" w:themeColor="text1"/>
          <w:sz w:val="20"/>
          <w:szCs w:val="20"/>
          <w:lang w:val="en-US"/>
        </w:rPr>
        <w:t xml:space="preserve">The </w:t>
      </w:r>
      <w:r w:rsidR="002A5E06">
        <w:rPr>
          <w:rFonts w:ascii="Verdana" w:eastAsiaTheme="minorHAnsi" w:hAnsi="Verdana" w:cs="Times New Roman"/>
          <w:color w:val="000000" w:themeColor="text1"/>
          <w:sz w:val="20"/>
          <w:szCs w:val="20"/>
          <w:lang w:val="en-US"/>
        </w:rPr>
        <w:t>mutual fund administrators</w:t>
      </w:r>
      <w:r w:rsidR="002A5E06" w:rsidRPr="00B75B12">
        <w:rPr>
          <w:rFonts w:ascii="Verdana" w:eastAsiaTheme="minorHAnsi" w:hAnsi="Verdana" w:cs="Times New Roman"/>
          <w:color w:val="000000" w:themeColor="text1"/>
          <w:sz w:val="20"/>
          <w:szCs w:val="20"/>
          <w:lang w:val="en-US"/>
        </w:rPr>
        <w:t xml:space="preserve"> </w:t>
      </w:r>
      <w:r w:rsidR="00E562AB">
        <w:rPr>
          <w:rFonts w:ascii="Verdana" w:eastAsiaTheme="minorHAnsi" w:hAnsi="Verdana" w:cs="Times New Roman"/>
          <w:color w:val="000000" w:themeColor="text1"/>
          <w:sz w:val="20"/>
          <w:szCs w:val="20"/>
          <w:lang w:val="en-US"/>
        </w:rPr>
        <w:t xml:space="preserve">surveyed </w:t>
      </w:r>
      <w:r w:rsidRPr="00B75B12">
        <w:rPr>
          <w:rFonts w:ascii="Verdana" w:eastAsiaTheme="minorHAnsi" w:hAnsi="Verdana" w:cs="Times New Roman"/>
          <w:color w:val="000000" w:themeColor="text1"/>
          <w:sz w:val="20"/>
          <w:szCs w:val="20"/>
          <w:lang w:val="en-US"/>
        </w:rPr>
        <w:t xml:space="preserve">reported total asset under </w:t>
      </w:r>
      <w:r w:rsidR="00E562AB">
        <w:rPr>
          <w:rFonts w:ascii="Verdana" w:eastAsiaTheme="minorHAnsi" w:hAnsi="Verdana" w:cs="Times New Roman"/>
          <w:color w:val="000000" w:themeColor="text1"/>
          <w:sz w:val="20"/>
          <w:szCs w:val="20"/>
          <w:lang w:val="en-US"/>
        </w:rPr>
        <w:t>administration</w:t>
      </w:r>
      <w:r w:rsidR="00E562AB" w:rsidRPr="00B75B12">
        <w:rPr>
          <w:rFonts w:ascii="Verdana" w:eastAsiaTheme="minorHAnsi" w:hAnsi="Verdana" w:cs="Times New Roman"/>
          <w:color w:val="000000" w:themeColor="text1"/>
          <w:sz w:val="20"/>
          <w:szCs w:val="20"/>
          <w:lang w:val="en-US"/>
        </w:rPr>
        <w:t xml:space="preserve"> </w:t>
      </w:r>
      <w:r w:rsidR="007A3871" w:rsidRPr="00B75B12">
        <w:rPr>
          <w:rFonts w:ascii="Verdana" w:eastAsiaTheme="minorHAnsi" w:hAnsi="Verdana" w:cs="Times New Roman"/>
          <w:color w:val="000000" w:themeColor="text1"/>
          <w:sz w:val="20"/>
          <w:szCs w:val="20"/>
          <w:lang w:val="en-US"/>
        </w:rPr>
        <w:t>(</w:t>
      </w:r>
      <w:r w:rsidR="00E562AB" w:rsidRPr="00B75B12">
        <w:rPr>
          <w:rFonts w:ascii="Verdana" w:eastAsiaTheme="minorHAnsi" w:hAnsi="Verdana" w:cs="Times New Roman"/>
          <w:color w:val="000000" w:themeColor="text1"/>
          <w:sz w:val="20"/>
          <w:szCs w:val="20"/>
          <w:lang w:val="en-US"/>
        </w:rPr>
        <w:t>AU</w:t>
      </w:r>
      <w:r w:rsidR="00E562AB">
        <w:rPr>
          <w:rFonts w:ascii="Verdana" w:eastAsiaTheme="minorHAnsi" w:hAnsi="Verdana" w:cs="Times New Roman"/>
          <w:color w:val="000000" w:themeColor="text1"/>
          <w:sz w:val="20"/>
          <w:szCs w:val="20"/>
          <w:lang w:val="en-US"/>
        </w:rPr>
        <w:t>A</w:t>
      </w:r>
      <w:r w:rsidR="007A3871" w:rsidRPr="00B75B12">
        <w:rPr>
          <w:rFonts w:ascii="Verdana" w:eastAsiaTheme="minorHAnsi" w:hAnsi="Verdana" w:cs="Times New Roman"/>
          <w:color w:val="000000" w:themeColor="text1"/>
          <w:sz w:val="20"/>
          <w:szCs w:val="20"/>
          <w:lang w:val="en-US"/>
        </w:rPr>
        <w:t>)</w:t>
      </w:r>
      <w:r w:rsidRPr="00B75B12">
        <w:rPr>
          <w:rFonts w:ascii="Verdana" w:eastAsiaTheme="minorHAnsi" w:hAnsi="Verdana" w:cs="Times New Roman"/>
          <w:color w:val="000000" w:themeColor="text1"/>
          <w:sz w:val="20"/>
          <w:szCs w:val="20"/>
          <w:lang w:val="en-US"/>
        </w:rPr>
        <w:t xml:space="preserve"> of US</w:t>
      </w:r>
      <w:r w:rsidR="00790B9D" w:rsidRPr="00B75B12">
        <w:rPr>
          <w:rFonts w:ascii="Verdana" w:eastAsiaTheme="minorHAnsi" w:hAnsi="Verdana" w:cs="Times New Roman"/>
          <w:color w:val="000000" w:themeColor="text1"/>
          <w:sz w:val="20"/>
          <w:szCs w:val="20"/>
          <w:lang w:val="en-US"/>
        </w:rPr>
        <w:t>$2</w:t>
      </w:r>
      <w:r w:rsidRPr="00B75B12">
        <w:rPr>
          <w:rFonts w:ascii="Verdana" w:eastAsiaTheme="minorHAnsi" w:hAnsi="Verdana" w:cs="Times New Roman"/>
          <w:color w:val="000000" w:themeColor="text1"/>
          <w:sz w:val="20"/>
          <w:szCs w:val="20"/>
          <w:lang w:val="en-US"/>
        </w:rPr>
        <w:t>.1</w:t>
      </w:r>
      <w:r w:rsidR="00790B9D" w:rsidRPr="00B75B12">
        <w:rPr>
          <w:rFonts w:ascii="Verdana" w:eastAsiaTheme="minorHAnsi" w:hAnsi="Verdana" w:cs="Times New Roman"/>
          <w:color w:val="000000" w:themeColor="text1"/>
          <w:sz w:val="20"/>
          <w:szCs w:val="20"/>
          <w:lang w:val="en-US"/>
        </w:rPr>
        <w:t>57</w:t>
      </w:r>
      <w:r w:rsidRPr="00B75B12">
        <w:rPr>
          <w:rFonts w:ascii="Verdana" w:eastAsiaTheme="minorHAnsi" w:hAnsi="Verdana" w:cs="Times New Roman"/>
          <w:color w:val="000000" w:themeColor="text1"/>
          <w:sz w:val="20"/>
          <w:szCs w:val="20"/>
          <w:lang w:val="en-US"/>
        </w:rPr>
        <w:t xml:space="preserve"> trillion. </w:t>
      </w:r>
      <w:r w:rsidR="004938B5">
        <w:rPr>
          <w:rFonts w:ascii="Verdana" w:eastAsiaTheme="minorHAnsi" w:hAnsi="Verdana" w:cs="Times New Roman"/>
          <w:color w:val="000000" w:themeColor="text1"/>
          <w:sz w:val="20"/>
          <w:szCs w:val="20"/>
          <w:lang w:val="en-US"/>
        </w:rPr>
        <w:t xml:space="preserve">Total number of funds under administration was 16k of which </w:t>
      </w:r>
      <w:r w:rsidRPr="00B75B12">
        <w:rPr>
          <w:rFonts w:ascii="Verdana" w:eastAsiaTheme="minorHAnsi" w:hAnsi="Verdana" w:cs="Times New Roman"/>
          <w:color w:val="000000" w:themeColor="text1"/>
          <w:sz w:val="20"/>
          <w:szCs w:val="20"/>
          <w:lang w:val="en-US"/>
        </w:rPr>
        <w:t>62% were unregulated</w:t>
      </w:r>
      <w:r w:rsidR="004938B5">
        <w:rPr>
          <w:rFonts w:ascii="Verdana" w:eastAsiaTheme="minorHAnsi" w:hAnsi="Verdana" w:cs="Times New Roman"/>
          <w:color w:val="000000" w:themeColor="text1"/>
          <w:sz w:val="20"/>
          <w:szCs w:val="20"/>
          <w:lang w:val="en-US"/>
        </w:rPr>
        <w:t>.  The total number of investors reported was 169k</w:t>
      </w:r>
      <w:r w:rsidR="00B059FB">
        <w:rPr>
          <w:rFonts w:ascii="Verdana" w:eastAsiaTheme="minorHAnsi" w:hAnsi="Verdana" w:cs="Times New Roman"/>
          <w:color w:val="000000" w:themeColor="text1"/>
          <w:sz w:val="20"/>
          <w:szCs w:val="20"/>
          <w:lang w:val="en-US"/>
        </w:rPr>
        <w:t xml:space="preserve">.  </w:t>
      </w:r>
      <w:r w:rsidRPr="00B75B12">
        <w:rPr>
          <w:rFonts w:ascii="Verdana" w:eastAsiaTheme="minorHAnsi" w:hAnsi="Verdana" w:cs="Times New Roman"/>
          <w:color w:val="000000" w:themeColor="text1"/>
          <w:sz w:val="20"/>
          <w:szCs w:val="20"/>
          <w:lang w:val="en-US"/>
        </w:rPr>
        <w:t xml:space="preserve">54% of </w:t>
      </w:r>
      <w:r w:rsidR="00B059FB">
        <w:rPr>
          <w:rFonts w:ascii="Verdana" w:eastAsiaTheme="minorHAnsi" w:hAnsi="Verdana" w:cs="Times New Roman"/>
          <w:color w:val="000000" w:themeColor="text1"/>
          <w:sz w:val="20"/>
          <w:szCs w:val="20"/>
          <w:lang w:val="en-US"/>
        </w:rPr>
        <w:t>these</w:t>
      </w:r>
      <w:r w:rsidRPr="00B75B12">
        <w:rPr>
          <w:rFonts w:ascii="Verdana" w:eastAsiaTheme="minorHAnsi" w:hAnsi="Verdana" w:cs="Times New Roman"/>
          <w:color w:val="000000" w:themeColor="text1"/>
          <w:sz w:val="20"/>
          <w:szCs w:val="20"/>
          <w:lang w:val="en-US"/>
        </w:rPr>
        <w:t xml:space="preserve"> investors </w:t>
      </w:r>
      <w:r w:rsidR="00B059FB">
        <w:rPr>
          <w:rFonts w:ascii="Verdana" w:eastAsiaTheme="minorHAnsi" w:hAnsi="Verdana" w:cs="Times New Roman"/>
          <w:color w:val="000000" w:themeColor="text1"/>
          <w:sz w:val="20"/>
          <w:szCs w:val="20"/>
          <w:lang w:val="en-US"/>
        </w:rPr>
        <w:t>are</w:t>
      </w:r>
      <w:r w:rsidR="004938B5">
        <w:rPr>
          <w:rFonts w:ascii="Verdana" w:eastAsiaTheme="minorHAnsi" w:hAnsi="Verdana" w:cs="Times New Roman"/>
          <w:color w:val="000000" w:themeColor="text1"/>
          <w:sz w:val="20"/>
          <w:szCs w:val="20"/>
          <w:lang w:val="en-US"/>
        </w:rPr>
        <w:t xml:space="preserve"> </w:t>
      </w:r>
      <w:r w:rsidR="00017A17" w:rsidRPr="00B75B12">
        <w:rPr>
          <w:rFonts w:ascii="Verdana" w:eastAsiaTheme="minorHAnsi" w:hAnsi="Verdana" w:cs="Times New Roman"/>
          <w:color w:val="000000" w:themeColor="text1"/>
          <w:sz w:val="20"/>
          <w:szCs w:val="20"/>
          <w:lang w:val="en-US"/>
        </w:rPr>
        <w:t>associated with unregulated funds.</w:t>
      </w:r>
      <w:r w:rsidRPr="00B75B12">
        <w:rPr>
          <w:rFonts w:ascii="Verdana" w:eastAsiaTheme="minorHAnsi" w:hAnsi="Verdana" w:cs="Times New Roman"/>
          <w:color w:val="000000" w:themeColor="text1"/>
          <w:sz w:val="20"/>
          <w:szCs w:val="20"/>
          <w:lang w:val="en-US"/>
        </w:rPr>
        <w:t xml:space="preserve">   </w:t>
      </w:r>
    </w:p>
    <w:p w14:paraId="52D63A72" w14:textId="77777777" w:rsidR="00A12378" w:rsidRPr="00B75B12" w:rsidRDefault="00A12378" w:rsidP="00B75B12">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56470038" w14:textId="041B9A57" w:rsidR="007E6777" w:rsidRPr="00B75B12" w:rsidRDefault="00E562AB"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Pr>
          <w:rFonts w:ascii="Verdana" w:eastAsiaTheme="minorHAnsi" w:hAnsi="Verdana" w:cs="Times New Roman"/>
          <w:color w:val="000000" w:themeColor="text1"/>
          <w:sz w:val="20"/>
          <w:szCs w:val="20"/>
          <w:lang w:val="en-US"/>
        </w:rPr>
        <w:t>In respect of the</w:t>
      </w:r>
      <w:r w:rsidR="007E6777" w:rsidRPr="00B75B12">
        <w:rPr>
          <w:rFonts w:ascii="Verdana" w:eastAsiaTheme="minorHAnsi" w:hAnsi="Verdana" w:cs="Times New Roman"/>
          <w:color w:val="000000" w:themeColor="text1"/>
          <w:sz w:val="20"/>
          <w:szCs w:val="20"/>
          <w:lang w:val="en-US"/>
        </w:rPr>
        <w:t xml:space="preserve"> ownership and control </w:t>
      </w:r>
      <w:r>
        <w:rPr>
          <w:rFonts w:ascii="Verdana" w:eastAsiaTheme="minorHAnsi" w:hAnsi="Verdana" w:cs="Times New Roman"/>
          <w:color w:val="000000" w:themeColor="text1"/>
          <w:sz w:val="20"/>
          <w:szCs w:val="20"/>
          <w:lang w:val="en-US"/>
        </w:rPr>
        <w:t>structure for mutual fund administrators</w:t>
      </w:r>
      <w:r w:rsidR="007E6777" w:rsidRPr="00B75B12">
        <w:rPr>
          <w:rFonts w:ascii="Verdana" w:eastAsiaTheme="minorHAnsi" w:hAnsi="Verdana" w:cs="Times New Roman"/>
          <w:color w:val="000000" w:themeColor="text1"/>
          <w:sz w:val="20"/>
          <w:szCs w:val="20"/>
          <w:lang w:val="en-US"/>
        </w:rPr>
        <w:t xml:space="preserve">, 29% </w:t>
      </w:r>
      <w:r>
        <w:rPr>
          <w:rFonts w:ascii="Verdana" w:eastAsiaTheme="minorHAnsi" w:hAnsi="Verdana" w:cs="Times New Roman"/>
          <w:color w:val="000000" w:themeColor="text1"/>
          <w:sz w:val="20"/>
          <w:szCs w:val="20"/>
          <w:lang w:val="en-US"/>
        </w:rPr>
        <w:t>have</w:t>
      </w:r>
      <w:r w:rsidR="007E6777" w:rsidRPr="00B75B12">
        <w:rPr>
          <w:rFonts w:ascii="Verdana" w:eastAsiaTheme="minorHAnsi" w:hAnsi="Verdana" w:cs="Times New Roman"/>
          <w:color w:val="000000" w:themeColor="text1"/>
          <w:sz w:val="20"/>
          <w:szCs w:val="20"/>
          <w:lang w:val="en-US"/>
        </w:rPr>
        <w:t xml:space="preserve"> parent companies located in the Cayman Islands, 16% are in the United States, 9% are in the UK and Ireland, 6% in Japan</w:t>
      </w:r>
      <w:r w:rsidR="00107EA1">
        <w:rPr>
          <w:rFonts w:ascii="Verdana" w:eastAsiaTheme="minorHAnsi" w:hAnsi="Verdana" w:cs="Times New Roman"/>
          <w:color w:val="000000" w:themeColor="text1"/>
          <w:sz w:val="20"/>
          <w:szCs w:val="20"/>
          <w:lang w:val="en-US"/>
        </w:rPr>
        <w:t xml:space="preserve">, </w:t>
      </w:r>
      <w:r w:rsidR="007E6777" w:rsidRPr="00B75B12">
        <w:rPr>
          <w:rFonts w:ascii="Verdana" w:eastAsiaTheme="minorHAnsi" w:hAnsi="Verdana" w:cs="Times New Roman"/>
          <w:color w:val="000000" w:themeColor="text1"/>
          <w:sz w:val="20"/>
          <w:szCs w:val="20"/>
          <w:lang w:val="en-US"/>
        </w:rPr>
        <w:t xml:space="preserve">4% in Canada and </w:t>
      </w:r>
      <w:r w:rsidR="00107EA1">
        <w:rPr>
          <w:rFonts w:ascii="Verdana" w:eastAsiaTheme="minorHAnsi" w:hAnsi="Verdana" w:cs="Times New Roman"/>
          <w:color w:val="000000" w:themeColor="text1"/>
          <w:sz w:val="20"/>
          <w:szCs w:val="20"/>
          <w:lang w:val="en-US"/>
        </w:rPr>
        <w:t xml:space="preserve">4% in </w:t>
      </w:r>
      <w:r w:rsidR="007E6777" w:rsidRPr="00B75B12">
        <w:rPr>
          <w:rFonts w:ascii="Verdana" w:eastAsiaTheme="minorHAnsi" w:hAnsi="Verdana" w:cs="Times New Roman"/>
          <w:color w:val="000000" w:themeColor="text1"/>
          <w:sz w:val="20"/>
          <w:szCs w:val="20"/>
          <w:lang w:val="en-US"/>
        </w:rPr>
        <w:t xml:space="preserve">Luxembourg. </w:t>
      </w:r>
      <w:r w:rsidR="00A1127E">
        <w:rPr>
          <w:rFonts w:ascii="Verdana" w:eastAsiaTheme="minorHAnsi" w:hAnsi="Verdana" w:cs="Times New Roman"/>
          <w:color w:val="000000" w:themeColor="text1"/>
          <w:sz w:val="20"/>
          <w:szCs w:val="20"/>
          <w:lang w:val="en-US"/>
        </w:rPr>
        <w:t xml:space="preserve">While </w:t>
      </w:r>
      <w:r w:rsidR="00A1127E">
        <w:rPr>
          <w:rFonts w:ascii="Verdana" w:eastAsiaTheme="minorHAnsi" w:hAnsi="Verdana" w:cs="Times New Roman"/>
          <w:color w:val="000000" w:themeColor="text1"/>
          <w:sz w:val="20"/>
          <w:szCs w:val="20"/>
          <w:lang w:val="en-US"/>
        </w:rPr>
        <w:t>3</w:t>
      </w:r>
      <w:r w:rsidR="00A1127E" w:rsidRPr="00B75B12">
        <w:rPr>
          <w:rFonts w:ascii="Verdana" w:eastAsiaTheme="minorHAnsi" w:hAnsi="Verdana" w:cs="Times New Roman"/>
          <w:color w:val="000000" w:themeColor="text1"/>
          <w:sz w:val="20"/>
          <w:szCs w:val="20"/>
          <w:lang w:val="en-US"/>
        </w:rPr>
        <w:t xml:space="preserve">% of the </w:t>
      </w:r>
      <w:r w:rsidR="00A1127E">
        <w:rPr>
          <w:rFonts w:ascii="Verdana" w:eastAsiaTheme="minorHAnsi" w:hAnsi="Verdana" w:cs="Times New Roman"/>
          <w:color w:val="000000" w:themeColor="text1"/>
          <w:sz w:val="20"/>
          <w:szCs w:val="20"/>
          <w:lang w:val="en-US"/>
        </w:rPr>
        <w:t>parent companies</w:t>
      </w:r>
      <w:r w:rsidR="00A1127E" w:rsidRPr="00B75B12">
        <w:rPr>
          <w:rFonts w:ascii="Verdana" w:eastAsiaTheme="minorHAnsi" w:hAnsi="Verdana" w:cs="Times New Roman"/>
          <w:color w:val="000000" w:themeColor="text1"/>
          <w:sz w:val="20"/>
          <w:szCs w:val="20"/>
          <w:lang w:val="en-US"/>
        </w:rPr>
        <w:t xml:space="preserve"> are in high risk </w:t>
      </w:r>
      <w:r w:rsidR="00A1127E">
        <w:rPr>
          <w:rFonts w:ascii="Verdana" w:eastAsiaTheme="minorHAnsi" w:hAnsi="Verdana" w:cs="Times New Roman"/>
          <w:color w:val="000000" w:themeColor="text1"/>
          <w:sz w:val="20"/>
          <w:szCs w:val="20"/>
          <w:lang w:val="en-US"/>
        </w:rPr>
        <w:t xml:space="preserve">countries, the remaining </w:t>
      </w:r>
      <w:r w:rsidR="00A1127E">
        <w:rPr>
          <w:rFonts w:ascii="Verdana" w:eastAsiaTheme="minorHAnsi" w:hAnsi="Verdana" w:cs="Times New Roman"/>
          <w:color w:val="000000" w:themeColor="text1"/>
          <w:sz w:val="20"/>
          <w:szCs w:val="20"/>
          <w:lang w:val="en-US"/>
        </w:rPr>
        <w:t>29</w:t>
      </w:r>
      <w:r w:rsidR="00A1127E">
        <w:rPr>
          <w:rFonts w:ascii="Verdana" w:eastAsiaTheme="minorHAnsi" w:hAnsi="Verdana" w:cs="Times New Roman"/>
          <w:color w:val="000000" w:themeColor="text1"/>
          <w:sz w:val="20"/>
          <w:szCs w:val="20"/>
          <w:lang w:val="en-US"/>
        </w:rPr>
        <w:t>%, representing less than 2% are in other countries that are not considered high risk countries</w:t>
      </w:r>
      <w:r w:rsidR="00A1127E">
        <w:rPr>
          <w:rFonts w:ascii="Verdana" w:eastAsiaTheme="minorHAnsi" w:hAnsi="Verdana" w:cs="Times New Roman"/>
          <w:color w:val="000000" w:themeColor="text1"/>
          <w:sz w:val="20"/>
          <w:szCs w:val="20"/>
          <w:lang w:val="en-US"/>
        </w:rPr>
        <w:t>.</w:t>
      </w:r>
    </w:p>
    <w:p w14:paraId="2940091F" w14:textId="18AAAA8E" w:rsidR="00DB6368" w:rsidRPr="00B75B12" w:rsidRDefault="00DB6368" w:rsidP="00B75B12">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665DB737" w14:textId="7CA27C23" w:rsidR="00DB6368" w:rsidRPr="00B75B12" w:rsidRDefault="00E562AB"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Pr>
          <w:rFonts w:ascii="Verdana" w:eastAsiaTheme="minorHAnsi" w:hAnsi="Verdana" w:cs="Times New Roman"/>
          <w:color w:val="000000" w:themeColor="text1"/>
          <w:sz w:val="20"/>
          <w:szCs w:val="20"/>
          <w:lang w:val="en-US"/>
        </w:rPr>
        <w:t xml:space="preserve">The ownership structure of mutual fund administrators also indicated that </w:t>
      </w:r>
      <w:r w:rsidR="00DB6368" w:rsidRPr="00B75B12">
        <w:rPr>
          <w:rFonts w:ascii="Verdana" w:eastAsiaTheme="minorHAnsi" w:hAnsi="Verdana" w:cs="Times New Roman"/>
          <w:color w:val="000000" w:themeColor="text1"/>
          <w:sz w:val="20"/>
          <w:szCs w:val="20"/>
          <w:lang w:val="en-US"/>
        </w:rPr>
        <w:t>15% of the</w:t>
      </w:r>
      <w:r>
        <w:rPr>
          <w:rFonts w:ascii="Verdana" w:eastAsiaTheme="minorHAnsi" w:hAnsi="Verdana" w:cs="Times New Roman"/>
          <w:color w:val="000000" w:themeColor="text1"/>
          <w:sz w:val="20"/>
          <w:szCs w:val="20"/>
          <w:lang w:val="en-US"/>
        </w:rPr>
        <w:t>ir</w:t>
      </w:r>
      <w:r w:rsidR="00DB6368" w:rsidRPr="00B75B12">
        <w:rPr>
          <w:rFonts w:ascii="Verdana" w:eastAsiaTheme="minorHAnsi" w:hAnsi="Verdana" w:cs="Times New Roman"/>
          <w:color w:val="000000" w:themeColor="text1"/>
          <w:sz w:val="20"/>
          <w:szCs w:val="20"/>
          <w:lang w:val="en-US"/>
        </w:rPr>
        <w:t xml:space="preserve"> subsidiaries and affiliates are in Ireland, UK and the United States, 15% in Hong Kong, Jersey, Luxembourg and Singapore, </w:t>
      </w:r>
      <w:r w:rsidR="00CA1EF4" w:rsidRPr="00B75B12">
        <w:rPr>
          <w:rFonts w:ascii="Verdana" w:eastAsiaTheme="minorHAnsi" w:hAnsi="Verdana" w:cs="Times New Roman"/>
          <w:color w:val="000000" w:themeColor="text1"/>
          <w:sz w:val="20"/>
          <w:szCs w:val="20"/>
          <w:lang w:val="en-US"/>
        </w:rPr>
        <w:t>18</w:t>
      </w:r>
      <w:r w:rsidR="00A12378" w:rsidRPr="00B75B12">
        <w:rPr>
          <w:rFonts w:ascii="Verdana" w:eastAsiaTheme="minorHAnsi" w:hAnsi="Verdana" w:cs="Times New Roman"/>
          <w:color w:val="000000" w:themeColor="text1"/>
          <w:sz w:val="20"/>
          <w:szCs w:val="20"/>
          <w:lang w:val="en-US"/>
        </w:rPr>
        <w:t>%</w:t>
      </w:r>
      <w:r w:rsidR="00CA1EF4" w:rsidRPr="00B75B12">
        <w:rPr>
          <w:rFonts w:ascii="Verdana" w:eastAsiaTheme="minorHAnsi" w:hAnsi="Verdana" w:cs="Times New Roman"/>
          <w:color w:val="000000" w:themeColor="text1"/>
          <w:sz w:val="20"/>
          <w:szCs w:val="20"/>
          <w:lang w:val="en-US"/>
        </w:rPr>
        <w:t xml:space="preserve"> are in Guernsey, Bermuda, BVI, Bahamas, Canada and Switzerland and </w:t>
      </w:r>
      <w:r w:rsidR="00DB6368" w:rsidRPr="00B75B12">
        <w:rPr>
          <w:rFonts w:ascii="Verdana" w:eastAsiaTheme="minorHAnsi" w:hAnsi="Verdana" w:cs="Times New Roman"/>
          <w:color w:val="000000" w:themeColor="text1"/>
          <w:sz w:val="20"/>
          <w:szCs w:val="20"/>
          <w:lang w:val="en-US"/>
        </w:rPr>
        <w:t>8% in the Cayman Islands</w:t>
      </w:r>
      <w:r w:rsidR="00CA1EF4" w:rsidRPr="00B75B12">
        <w:rPr>
          <w:rFonts w:ascii="Verdana" w:eastAsiaTheme="minorHAnsi" w:hAnsi="Verdana" w:cs="Times New Roman"/>
          <w:color w:val="000000" w:themeColor="text1"/>
          <w:sz w:val="20"/>
          <w:szCs w:val="20"/>
          <w:lang w:val="en-US"/>
        </w:rPr>
        <w:t>.</w:t>
      </w:r>
      <w:r w:rsidR="003E302C" w:rsidRPr="00B75B12">
        <w:rPr>
          <w:rFonts w:ascii="Verdana" w:eastAsiaTheme="minorHAnsi" w:hAnsi="Verdana" w:cs="Times New Roman"/>
          <w:color w:val="000000" w:themeColor="text1"/>
          <w:sz w:val="20"/>
          <w:szCs w:val="20"/>
          <w:lang w:val="en-US"/>
        </w:rPr>
        <w:t xml:space="preserve"> </w:t>
      </w:r>
      <w:r w:rsidR="007D06D7">
        <w:rPr>
          <w:rFonts w:ascii="Verdana" w:eastAsiaTheme="minorHAnsi" w:hAnsi="Verdana" w:cs="Times New Roman"/>
          <w:color w:val="000000" w:themeColor="text1"/>
          <w:sz w:val="20"/>
          <w:szCs w:val="20"/>
          <w:lang w:val="en-US"/>
        </w:rPr>
        <w:t xml:space="preserve">While </w:t>
      </w:r>
      <w:r w:rsidR="00CA1EF4" w:rsidRPr="00B75B12">
        <w:rPr>
          <w:rFonts w:ascii="Verdana" w:eastAsiaTheme="minorHAnsi" w:hAnsi="Verdana" w:cs="Times New Roman"/>
          <w:color w:val="000000" w:themeColor="text1"/>
          <w:sz w:val="20"/>
          <w:szCs w:val="20"/>
          <w:lang w:val="en-US"/>
        </w:rPr>
        <w:t xml:space="preserve">15% of the </w:t>
      </w:r>
      <w:r w:rsidR="003E302C" w:rsidRPr="00B75B12">
        <w:rPr>
          <w:rFonts w:ascii="Verdana" w:eastAsiaTheme="minorHAnsi" w:hAnsi="Verdana" w:cs="Times New Roman"/>
          <w:color w:val="000000" w:themeColor="text1"/>
          <w:sz w:val="20"/>
          <w:szCs w:val="20"/>
          <w:lang w:val="en-US"/>
        </w:rPr>
        <w:t xml:space="preserve">subsidiaries and affiliates are in high risk </w:t>
      </w:r>
      <w:r w:rsidR="00EF6E7D">
        <w:rPr>
          <w:rFonts w:ascii="Verdana" w:eastAsiaTheme="minorHAnsi" w:hAnsi="Verdana" w:cs="Times New Roman"/>
          <w:color w:val="000000" w:themeColor="text1"/>
          <w:sz w:val="20"/>
          <w:szCs w:val="20"/>
          <w:lang w:val="en-US"/>
        </w:rPr>
        <w:t>countries</w:t>
      </w:r>
      <w:r w:rsidR="00915FF8">
        <w:rPr>
          <w:rFonts w:ascii="Verdana" w:eastAsiaTheme="minorHAnsi" w:hAnsi="Verdana" w:cs="Times New Roman"/>
          <w:color w:val="000000" w:themeColor="text1"/>
          <w:sz w:val="20"/>
          <w:szCs w:val="20"/>
          <w:lang w:val="en-US"/>
        </w:rPr>
        <w:t>, the remaining 25%, representing less than 2% are in other countries that are not considered high risk countries</w:t>
      </w:r>
      <w:r w:rsidR="003E302C" w:rsidRPr="00B75B12">
        <w:rPr>
          <w:rFonts w:ascii="Verdana" w:eastAsiaTheme="minorHAnsi" w:hAnsi="Verdana" w:cs="Times New Roman"/>
          <w:color w:val="000000" w:themeColor="text1"/>
          <w:sz w:val="20"/>
          <w:szCs w:val="20"/>
          <w:lang w:val="en-US"/>
        </w:rPr>
        <w:t>.</w:t>
      </w:r>
    </w:p>
    <w:p w14:paraId="46DBCF4F" w14:textId="79ACEBED" w:rsidR="00F87D62" w:rsidRPr="00B75B12" w:rsidRDefault="00F87D62" w:rsidP="00B75B12">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23006074" w14:textId="092B05D1" w:rsidR="0015070A" w:rsidRDefault="00031C4F"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Pr>
          <w:rFonts w:ascii="Verdana" w:eastAsiaTheme="minorHAnsi" w:hAnsi="Verdana" w:cs="Times New Roman"/>
          <w:color w:val="000000" w:themeColor="text1"/>
          <w:sz w:val="20"/>
          <w:szCs w:val="20"/>
          <w:lang w:val="en-US"/>
        </w:rPr>
        <w:t xml:space="preserve">A large percentage of mutual fund administrators, </w:t>
      </w:r>
      <w:r w:rsidR="00F87D62" w:rsidRPr="00B75B12">
        <w:rPr>
          <w:rFonts w:ascii="Verdana" w:eastAsiaTheme="minorHAnsi" w:hAnsi="Verdana" w:cs="Times New Roman"/>
          <w:color w:val="000000" w:themeColor="text1"/>
          <w:sz w:val="20"/>
          <w:szCs w:val="20"/>
          <w:lang w:val="en-US"/>
        </w:rPr>
        <w:t>53%</w:t>
      </w:r>
      <w:r>
        <w:rPr>
          <w:rFonts w:ascii="Verdana" w:eastAsiaTheme="minorHAnsi" w:hAnsi="Verdana" w:cs="Times New Roman"/>
          <w:color w:val="000000" w:themeColor="text1"/>
          <w:sz w:val="20"/>
          <w:szCs w:val="20"/>
          <w:lang w:val="en-US"/>
        </w:rPr>
        <w:t>, are 100% owned by their shareholders</w:t>
      </w:r>
      <w:r w:rsidR="002B5A22">
        <w:rPr>
          <w:rFonts w:ascii="Verdana" w:eastAsiaTheme="minorHAnsi" w:hAnsi="Verdana" w:cs="Times New Roman"/>
          <w:color w:val="000000" w:themeColor="text1"/>
          <w:sz w:val="20"/>
          <w:szCs w:val="20"/>
          <w:lang w:val="en-US"/>
        </w:rPr>
        <w:t xml:space="preserve">.  </w:t>
      </w:r>
      <w:r w:rsidR="0007082F" w:rsidRPr="00B75B12">
        <w:rPr>
          <w:rFonts w:ascii="Verdana" w:eastAsiaTheme="minorHAnsi" w:hAnsi="Verdana" w:cs="Times New Roman"/>
          <w:color w:val="000000" w:themeColor="text1"/>
          <w:sz w:val="20"/>
          <w:szCs w:val="20"/>
          <w:lang w:val="en-US"/>
        </w:rPr>
        <w:t xml:space="preserve">28% indicated a shareholding of less than 20%, </w:t>
      </w:r>
      <w:r w:rsidR="0007082F">
        <w:rPr>
          <w:rFonts w:ascii="Verdana" w:eastAsiaTheme="minorHAnsi" w:hAnsi="Verdana" w:cs="Times New Roman"/>
          <w:color w:val="000000" w:themeColor="text1"/>
          <w:sz w:val="20"/>
          <w:szCs w:val="20"/>
          <w:lang w:val="en-US"/>
        </w:rPr>
        <w:t xml:space="preserve">6% greater than 20% but less than 50% and </w:t>
      </w:r>
      <w:r w:rsidR="0007082F" w:rsidRPr="00B75B12">
        <w:rPr>
          <w:rFonts w:ascii="Verdana" w:eastAsiaTheme="minorHAnsi" w:hAnsi="Verdana" w:cs="Times New Roman"/>
          <w:color w:val="000000" w:themeColor="text1"/>
          <w:sz w:val="20"/>
          <w:szCs w:val="20"/>
          <w:lang w:val="en-US"/>
        </w:rPr>
        <w:t>with 13% held over 50% but less than 100%.</w:t>
      </w:r>
      <w:r w:rsidR="0007082F">
        <w:rPr>
          <w:rFonts w:ascii="Verdana" w:eastAsiaTheme="minorHAnsi" w:hAnsi="Verdana" w:cs="Times New Roman"/>
          <w:color w:val="000000" w:themeColor="text1"/>
          <w:sz w:val="20"/>
          <w:szCs w:val="20"/>
          <w:lang w:val="en-US"/>
        </w:rPr>
        <w:t xml:space="preserve">  </w:t>
      </w:r>
    </w:p>
    <w:p w14:paraId="528AE17D" w14:textId="77777777" w:rsidR="0015070A" w:rsidRPr="00125E84" w:rsidRDefault="0015070A" w:rsidP="00125E84">
      <w:pPr>
        <w:rPr>
          <w:rFonts w:eastAsiaTheme="minorHAnsi"/>
          <w:lang w:val="en-US"/>
        </w:rPr>
      </w:pPr>
    </w:p>
    <w:p w14:paraId="79E3E851" w14:textId="7A10A493" w:rsidR="00F87D62" w:rsidRPr="0010395C" w:rsidRDefault="00031C4F"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Pr>
          <w:rFonts w:ascii="Verdana" w:eastAsiaTheme="minorHAnsi" w:hAnsi="Verdana" w:cs="Times New Roman"/>
          <w:color w:val="000000" w:themeColor="text1"/>
          <w:sz w:val="20"/>
          <w:szCs w:val="20"/>
          <w:lang w:val="en-US"/>
        </w:rPr>
        <w:t>Shareholders are located,</w:t>
      </w:r>
      <w:r w:rsidR="00F87D62" w:rsidRPr="00B75B12">
        <w:rPr>
          <w:rFonts w:ascii="Verdana" w:eastAsiaTheme="minorHAnsi" w:hAnsi="Verdana" w:cs="Times New Roman"/>
          <w:color w:val="000000" w:themeColor="text1"/>
          <w:sz w:val="20"/>
          <w:szCs w:val="20"/>
          <w:lang w:val="en-US"/>
        </w:rPr>
        <w:t xml:space="preserve"> </w:t>
      </w:r>
      <w:r w:rsidR="0015070A">
        <w:rPr>
          <w:rFonts w:ascii="Verdana" w:eastAsiaTheme="minorHAnsi" w:hAnsi="Verdana" w:cs="Times New Roman"/>
          <w:color w:val="000000" w:themeColor="text1"/>
          <w:sz w:val="20"/>
          <w:szCs w:val="20"/>
          <w:lang w:val="en-US"/>
        </w:rPr>
        <w:t>24</w:t>
      </w:r>
      <w:r w:rsidR="00F87D62" w:rsidRPr="00B75B12">
        <w:rPr>
          <w:rFonts w:ascii="Verdana" w:eastAsiaTheme="minorHAnsi" w:hAnsi="Verdana" w:cs="Times New Roman"/>
          <w:color w:val="000000" w:themeColor="text1"/>
          <w:sz w:val="20"/>
          <w:szCs w:val="20"/>
          <w:lang w:val="en-US"/>
        </w:rPr>
        <w:t xml:space="preserve">% in the Cayman Islands, </w:t>
      </w:r>
      <w:r w:rsidR="005360D6">
        <w:rPr>
          <w:rFonts w:ascii="Verdana" w:eastAsiaTheme="minorHAnsi" w:hAnsi="Verdana" w:cs="Times New Roman"/>
          <w:color w:val="000000" w:themeColor="text1"/>
          <w:sz w:val="20"/>
          <w:szCs w:val="20"/>
          <w:lang w:val="en-US"/>
        </w:rPr>
        <w:t xml:space="preserve">14% in the </w:t>
      </w:r>
      <w:r w:rsidR="005360D6" w:rsidRPr="00B75B12">
        <w:rPr>
          <w:rFonts w:ascii="Verdana" w:eastAsiaTheme="minorHAnsi" w:hAnsi="Verdana" w:cs="Times New Roman"/>
          <w:color w:val="000000" w:themeColor="text1"/>
          <w:sz w:val="20"/>
          <w:szCs w:val="20"/>
          <w:lang w:val="en-US"/>
        </w:rPr>
        <w:t>UK and Ireland</w:t>
      </w:r>
      <w:r w:rsidR="005360D6">
        <w:rPr>
          <w:rFonts w:ascii="Verdana" w:eastAsiaTheme="minorHAnsi" w:hAnsi="Verdana" w:cs="Times New Roman"/>
          <w:color w:val="000000" w:themeColor="text1"/>
          <w:sz w:val="20"/>
          <w:szCs w:val="20"/>
          <w:lang w:val="en-US"/>
        </w:rPr>
        <w:t>, 12</w:t>
      </w:r>
      <w:r w:rsidR="005360D6" w:rsidRPr="00B75B12">
        <w:rPr>
          <w:rFonts w:ascii="Verdana" w:eastAsiaTheme="minorHAnsi" w:hAnsi="Verdana" w:cs="Times New Roman"/>
          <w:color w:val="000000" w:themeColor="text1"/>
          <w:sz w:val="20"/>
          <w:szCs w:val="20"/>
          <w:lang w:val="en-US"/>
        </w:rPr>
        <w:t>% in the United States</w:t>
      </w:r>
      <w:r w:rsidR="005360D6">
        <w:rPr>
          <w:rFonts w:ascii="Verdana" w:eastAsiaTheme="minorHAnsi" w:hAnsi="Verdana" w:cs="Times New Roman"/>
          <w:color w:val="000000" w:themeColor="text1"/>
          <w:sz w:val="20"/>
          <w:szCs w:val="20"/>
          <w:lang w:val="en-US"/>
        </w:rPr>
        <w:t xml:space="preserve">, 5% in Switzerland and </w:t>
      </w:r>
      <w:r w:rsidR="005360D6" w:rsidRPr="00B75B12">
        <w:rPr>
          <w:rFonts w:ascii="Verdana" w:eastAsiaTheme="minorHAnsi" w:hAnsi="Verdana" w:cs="Times New Roman"/>
          <w:color w:val="000000" w:themeColor="text1"/>
          <w:sz w:val="20"/>
          <w:szCs w:val="20"/>
          <w:lang w:val="en-US"/>
        </w:rPr>
        <w:t>Canada</w:t>
      </w:r>
      <w:r w:rsidR="005360D6">
        <w:rPr>
          <w:rFonts w:ascii="Verdana" w:eastAsiaTheme="minorHAnsi" w:hAnsi="Verdana" w:cs="Times New Roman"/>
          <w:color w:val="000000" w:themeColor="text1"/>
          <w:sz w:val="20"/>
          <w:szCs w:val="20"/>
          <w:lang w:val="en-US"/>
        </w:rPr>
        <w:t xml:space="preserve"> respectively, </w:t>
      </w:r>
      <w:r w:rsidR="005360D6" w:rsidRPr="00B75B12">
        <w:rPr>
          <w:rFonts w:ascii="Verdana" w:eastAsiaTheme="minorHAnsi" w:hAnsi="Verdana" w:cs="Times New Roman"/>
          <w:color w:val="000000" w:themeColor="text1"/>
          <w:sz w:val="20"/>
          <w:szCs w:val="20"/>
          <w:lang w:val="en-US"/>
        </w:rPr>
        <w:t>4% in Japan</w:t>
      </w:r>
      <w:r w:rsidR="005360D6">
        <w:rPr>
          <w:rFonts w:ascii="Verdana" w:eastAsiaTheme="minorHAnsi" w:hAnsi="Verdana" w:cs="Times New Roman"/>
          <w:color w:val="000000" w:themeColor="text1"/>
          <w:sz w:val="20"/>
          <w:szCs w:val="20"/>
          <w:lang w:val="en-US"/>
        </w:rPr>
        <w:t xml:space="preserve"> and </w:t>
      </w:r>
      <w:r w:rsidR="005360D6" w:rsidRPr="00B75B12">
        <w:rPr>
          <w:rFonts w:ascii="Verdana" w:eastAsiaTheme="minorHAnsi" w:hAnsi="Verdana" w:cs="Times New Roman"/>
          <w:color w:val="000000" w:themeColor="text1"/>
          <w:sz w:val="20"/>
          <w:szCs w:val="20"/>
          <w:lang w:val="en-US"/>
        </w:rPr>
        <w:t>Guernsey</w:t>
      </w:r>
      <w:r w:rsidR="005360D6">
        <w:rPr>
          <w:rFonts w:ascii="Verdana" w:eastAsiaTheme="minorHAnsi" w:hAnsi="Verdana" w:cs="Times New Roman"/>
          <w:color w:val="000000" w:themeColor="text1"/>
          <w:sz w:val="20"/>
          <w:szCs w:val="20"/>
          <w:lang w:val="en-US"/>
        </w:rPr>
        <w:t xml:space="preserve"> respectively, and 5% in </w:t>
      </w:r>
      <w:r w:rsidR="005360D6" w:rsidRPr="00B75B12">
        <w:rPr>
          <w:rFonts w:ascii="Verdana" w:eastAsiaTheme="minorHAnsi" w:hAnsi="Verdana" w:cs="Times New Roman"/>
          <w:color w:val="000000" w:themeColor="text1"/>
          <w:sz w:val="20"/>
          <w:szCs w:val="20"/>
          <w:lang w:val="en-US"/>
        </w:rPr>
        <w:t>Bahamas</w:t>
      </w:r>
      <w:r w:rsidR="005360D6">
        <w:rPr>
          <w:rFonts w:ascii="Verdana" w:eastAsiaTheme="minorHAnsi" w:hAnsi="Verdana" w:cs="Times New Roman"/>
          <w:color w:val="000000" w:themeColor="text1"/>
          <w:sz w:val="20"/>
          <w:szCs w:val="20"/>
          <w:lang w:val="en-US"/>
        </w:rPr>
        <w:t xml:space="preserve">, </w:t>
      </w:r>
      <w:r w:rsidR="0015070A" w:rsidRPr="00B75B12">
        <w:rPr>
          <w:rFonts w:ascii="Verdana" w:eastAsiaTheme="minorHAnsi" w:hAnsi="Verdana" w:cs="Times New Roman"/>
          <w:color w:val="000000" w:themeColor="text1"/>
          <w:sz w:val="20"/>
          <w:szCs w:val="20"/>
          <w:lang w:val="en-US"/>
        </w:rPr>
        <w:t>France,</w:t>
      </w:r>
      <w:r w:rsidR="005360D6">
        <w:rPr>
          <w:rFonts w:ascii="Verdana" w:eastAsiaTheme="minorHAnsi" w:hAnsi="Verdana" w:cs="Times New Roman"/>
          <w:color w:val="000000" w:themeColor="text1"/>
          <w:sz w:val="20"/>
          <w:szCs w:val="20"/>
          <w:lang w:val="en-US"/>
        </w:rPr>
        <w:t xml:space="preserve"> and </w:t>
      </w:r>
      <w:r w:rsidR="0015070A" w:rsidRPr="00B75B12">
        <w:rPr>
          <w:rFonts w:ascii="Verdana" w:eastAsiaTheme="minorHAnsi" w:hAnsi="Verdana" w:cs="Times New Roman"/>
          <w:color w:val="000000" w:themeColor="text1"/>
          <w:sz w:val="20"/>
          <w:szCs w:val="20"/>
          <w:lang w:val="en-US"/>
        </w:rPr>
        <w:t>Australia</w:t>
      </w:r>
      <w:r w:rsidR="005360D6">
        <w:rPr>
          <w:rFonts w:ascii="Verdana" w:eastAsiaTheme="minorHAnsi" w:hAnsi="Verdana" w:cs="Times New Roman"/>
          <w:color w:val="000000" w:themeColor="text1"/>
          <w:sz w:val="20"/>
          <w:szCs w:val="20"/>
          <w:lang w:val="en-US"/>
        </w:rPr>
        <w:t xml:space="preserve"> </w:t>
      </w:r>
      <w:r w:rsidR="0015070A" w:rsidRPr="00B75B12">
        <w:rPr>
          <w:rFonts w:ascii="Verdana" w:eastAsiaTheme="minorHAnsi" w:hAnsi="Verdana" w:cs="Times New Roman"/>
          <w:color w:val="000000" w:themeColor="text1"/>
          <w:sz w:val="20"/>
          <w:szCs w:val="20"/>
          <w:lang w:val="en-US"/>
        </w:rPr>
        <w:t>collectively</w:t>
      </w:r>
      <w:r w:rsidR="005360D6">
        <w:rPr>
          <w:rFonts w:ascii="Verdana" w:eastAsiaTheme="minorHAnsi" w:hAnsi="Verdana" w:cs="Times New Roman"/>
          <w:color w:val="000000" w:themeColor="text1"/>
          <w:sz w:val="20"/>
          <w:szCs w:val="20"/>
          <w:lang w:val="en-US"/>
        </w:rPr>
        <w:t xml:space="preserve">.  </w:t>
      </w:r>
      <w:r w:rsidR="0015070A">
        <w:rPr>
          <w:rFonts w:ascii="Verdana" w:eastAsiaTheme="minorHAnsi" w:hAnsi="Verdana" w:cs="Times New Roman"/>
          <w:color w:val="000000" w:themeColor="text1"/>
          <w:sz w:val="20"/>
          <w:szCs w:val="20"/>
          <w:lang w:val="en-US"/>
        </w:rPr>
        <w:t xml:space="preserve">19% </w:t>
      </w:r>
      <w:r w:rsidR="005360D6">
        <w:rPr>
          <w:rFonts w:ascii="Verdana" w:eastAsiaTheme="minorHAnsi" w:hAnsi="Verdana" w:cs="Times New Roman"/>
          <w:color w:val="000000" w:themeColor="text1"/>
          <w:sz w:val="20"/>
          <w:szCs w:val="20"/>
          <w:lang w:val="en-US"/>
        </w:rPr>
        <w:t xml:space="preserve">are </w:t>
      </w:r>
      <w:r w:rsidR="0015070A">
        <w:rPr>
          <w:rFonts w:ascii="Verdana" w:eastAsiaTheme="minorHAnsi" w:hAnsi="Verdana" w:cs="Times New Roman"/>
          <w:color w:val="000000" w:themeColor="text1"/>
          <w:sz w:val="20"/>
          <w:szCs w:val="20"/>
          <w:lang w:val="en-US"/>
        </w:rPr>
        <w:t xml:space="preserve">in </w:t>
      </w:r>
      <w:r w:rsidR="0015070A" w:rsidRPr="0010395C">
        <w:rPr>
          <w:rFonts w:ascii="Verdana" w:eastAsiaTheme="minorHAnsi" w:hAnsi="Verdana" w:cs="Times New Roman"/>
          <w:color w:val="000000" w:themeColor="text1"/>
          <w:sz w:val="20"/>
          <w:szCs w:val="20"/>
          <w:lang w:val="en-US"/>
        </w:rPr>
        <w:t>other non-</w:t>
      </w:r>
      <w:proofErr w:type="gramStart"/>
      <w:r w:rsidR="0015070A" w:rsidRPr="0010395C">
        <w:rPr>
          <w:rFonts w:ascii="Verdana" w:eastAsiaTheme="minorHAnsi" w:hAnsi="Verdana" w:cs="Times New Roman"/>
          <w:color w:val="000000" w:themeColor="text1"/>
          <w:sz w:val="20"/>
          <w:szCs w:val="20"/>
          <w:lang w:val="en-US"/>
        </w:rPr>
        <w:t>high risk</w:t>
      </w:r>
      <w:proofErr w:type="gramEnd"/>
      <w:r w:rsidR="0015070A" w:rsidRPr="0010395C">
        <w:rPr>
          <w:rFonts w:ascii="Verdana" w:eastAsiaTheme="minorHAnsi" w:hAnsi="Verdana" w:cs="Times New Roman"/>
          <w:color w:val="000000" w:themeColor="text1"/>
          <w:sz w:val="20"/>
          <w:szCs w:val="20"/>
          <w:lang w:val="en-US"/>
        </w:rPr>
        <w:t xml:space="preserve"> countries with the remaining 8% in high risk countries</w:t>
      </w:r>
      <w:r w:rsidR="00F87D62" w:rsidRPr="0010395C">
        <w:rPr>
          <w:rFonts w:ascii="Verdana" w:eastAsiaTheme="minorHAnsi" w:hAnsi="Verdana" w:cs="Times New Roman"/>
          <w:color w:val="000000" w:themeColor="text1"/>
          <w:sz w:val="20"/>
          <w:szCs w:val="20"/>
          <w:lang w:val="en-US"/>
        </w:rPr>
        <w:t>.</w:t>
      </w:r>
      <w:r w:rsidR="002C238E" w:rsidRPr="0010395C">
        <w:rPr>
          <w:rFonts w:ascii="Verdana" w:eastAsiaTheme="minorHAnsi" w:hAnsi="Verdana" w:cs="Times New Roman"/>
          <w:color w:val="000000" w:themeColor="text1"/>
          <w:sz w:val="20"/>
          <w:szCs w:val="20"/>
          <w:lang w:val="en-US"/>
        </w:rPr>
        <w:t xml:space="preserve">  </w:t>
      </w:r>
    </w:p>
    <w:p w14:paraId="0407DC55" w14:textId="77777777" w:rsidR="003A2B63" w:rsidRPr="0010395C" w:rsidRDefault="003A2B63" w:rsidP="00B75B12">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68D32848" w14:textId="00A40F10" w:rsidR="003A2B63" w:rsidRPr="0010395C" w:rsidRDefault="005C42F7"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10395C">
        <w:rPr>
          <w:rFonts w:ascii="Verdana" w:eastAsiaTheme="minorHAnsi" w:hAnsi="Verdana" w:cs="Times New Roman"/>
          <w:color w:val="000000" w:themeColor="text1"/>
          <w:sz w:val="20"/>
          <w:szCs w:val="20"/>
          <w:lang w:val="en-US"/>
        </w:rPr>
        <w:t>An analysis of the type of funds under administration by mutual fund administrators indicate that</w:t>
      </w:r>
      <w:r w:rsidR="003A2B63" w:rsidRPr="0010395C">
        <w:rPr>
          <w:rFonts w:ascii="Verdana" w:eastAsiaTheme="minorHAnsi" w:hAnsi="Verdana" w:cs="Times New Roman"/>
          <w:color w:val="000000" w:themeColor="text1"/>
          <w:sz w:val="20"/>
          <w:szCs w:val="20"/>
          <w:lang w:val="en-US"/>
        </w:rPr>
        <w:t xml:space="preserve"> less than 2% of the funds were either managed accounts/fund of one, sovereign wealth or crypto funds.</w:t>
      </w:r>
      <w:r w:rsidRPr="0010395C">
        <w:rPr>
          <w:rFonts w:ascii="Verdana" w:eastAsiaTheme="minorHAnsi" w:hAnsi="Verdana" w:cs="Times New Roman"/>
          <w:color w:val="000000" w:themeColor="text1"/>
          <w:sz w:val="20"/>
          <w:szCs w:val="20"/>
          <w:lang w:val="en-US"/>
        </w:rPr>
        <w:t xml:space="preserve">  </w:t>
      </w:r>
    </w:p>
    <w:p w14:paraId="01A66DE9" w14:textId="77777777" w:rsidR="003A2B63" w:rsidRDefault="003A2B63" w:rsidP="006918C9">
      <w:pPr>
        <w:jc w:val="both"/>
        <w:rPr>
          <w:rFonts w:ascii="Verdana" w:hAnsi="Verdana"/>
        </w:rPr>
      </w:pPr>
    </w:p>
    <w:p w14:paraId="7E9D6C52" w14:textId="0E23348D" w:rsidR="006918C9" w:rsidRDefault="006918C9" w:rsidP="006918C9">
      <w:pPr>
        <w:jc w:val="both"/>
        <w:rPr>
          <w:rFonts w:ascii="Verdana" w:hAnsi="Verdana"/>
        </w:rPr>
      </w:pPr>
    </w:p>
    <w:p w14:paraId="77A3AB35" w14:textId="5CEC13FA" w:rsidR="001A74FB" w:rsidRDefault="001A74FB" w:rsidP="006918C9">
      <w:pPr>
        <w:jc w:val="both"/>
        <w:rPr>
          <w:rFonts w:ascii="Verdana" w:hAnsi="Verdana"/>
        </w:rPr>
      </w:pPr>
    </w:p>
    <w:p w14:paraId="67C7443F" w14:textId="77777777" w:rsidR="001A74FB" w:rsidRDefault="001A74FB" w:rsidP="006918C9">
      <w:pPr>
        <w:jc w:val="both"/>
        <w:rPr>
          <w:rFonts w:ascii="Verdana" w:hAnsi="Verdana"/>
        </w:rPr>
      </w:pPr>
    </w:p>
    <w:p w14:paraId="1F707184" w14:textId="77777777" w:rsidR="003F6C49" w:rsidRDefault="003F6C49" w:rsidP="006918C9">
      <w:pPr>
        <w:jc w:val="both"/>
        <w:rPr>
          <w:rFonts w:ascii="Verdana" w:hAnsi="Verdana"/>
        </w:rPr>
      </w:pPr>
    </w:p>
    <w:p w14:paraId="6C4617ED" w14:textId="77777777" w:rsidR="00D83871" w:rsidRPr="00D83871" w:rsidRDefault="00D83871" w:rsidP="00D83871">
      <w:pPr>
        <w:rPr>
          <w:rFonts w:ascii="Verdana" w:eastAsiaTheme="majorEastAsia" w:hAnsi="Verdana" w:cstheme="majorBidi"/>
          <w:b/>
          <w:spacing w:val="5"/>
          <w:kern w:val="28"/>
        </w:rPr>
      </w:pPr>
      <w:r w:rsidRPr="00BE3D7E">
        <w:rPr>
          <w:rFonts w:ascii="Verdana" w:eastAsiaTheme="majorEastAsia" w:hAnsi="Verdana" w:cstheme="majorBidi"/>
          <w:b/>
          <w:spacing w:val="5"/>
          <w:kern w:val="28"/>
        </w:rPr>
        <w:t>Conclusion for Risk Category Nature and Size of the Sector</w:t>
      </w:r>
    </w:p>
    <w:p w14:paraId="4DE29DF3" w14:textId="77777777" w:rsidR="00701C47" w:rsidRDefault="00701C47" w:rsidP="00A12378">
      <w:pPr>
        <w:spacing w:line="276" w:lineRule="auto"/>
        <w:jc w:val="both"/>
        <w:rPr>
          <w:rFonts w:ascii="Verdana" w:hAnsi="Verdana"/>
        </w:rPr>
      </w:pPr>
    </w:p>
    <w:p w14:paraId="271EA4A1" w14:textId="02254EC9" w:rsidR="00A12378" w:rsidRPr="00B75B12" w:rsidRDefault="00A12378"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75B12">
        <w:rPr>
          <w:rFonts w:ascii="Verdana" w:eastAsiaTheme="minorHAnsi" w:hAnsi="Verdana" w:cs="Times New Roman"/>
          <w:color w:val="000000" w:themeColor="text1"/>
          <w:sz w:val="20"/>
          <w:szCs w:val="20"/>
          <w:lang w:val="en-US"/>
        </w:rPr>
        <w:t xml:space="preserve">Based on the high </w:t>
      </w:r>
      <w:r w:rsidR="00BE3D7E">
        <w:rPr>
          <w:rFonts w:ascii="Verdana" w:eastAsiaTheme="minorHAnsi" w:hAnsi="Verdana" w:cs="Times New Roman"/>
          <w:color w:val="000000" w:themeColor="text1"/>
          <w:sz w:val="20"/>
          <w:szCs w:val="20"/>
          <w:lang w:val="en-US"/>
        </w:rPr>
        <w:t xml:space="preserve">value of assets under administration, </w:t>
      </w:r>
      <w:r w:rsidRPr="00B75B12">
        <w:rPr>
          <w:rFonts w:ascii="Verdana" w:eastAsiaTheme="minorHAnsi" w:hAnsi="Verdana" w:cs="Times New Roman"/>
          <w:color w:val="000000" w:themeColor="text1"/>
          <w:sz w:val="20"/>
          <w:szCs w:val="20"/>
          <w:lang w:val="en-US"/>
        </w:rPr>
        <w:t xml:space="preserve">the higher percentage of unregulated funds and investors associated with </w:t>
      </w:r>
      <w:r w:rsidR="00BE3D7E">
        <w:rPr>
          <w:rFonts w:ascii="Verdana" w:eastAsiaTheme="minorHAnsi" w:hAnsi="Verdana" w:cs="Times New Roman"/>
          <w:color w:val="000000" w:themeColor="text1"/>
          <w:sz w:val="20"/>
          <w:szCs w:val="20"/>
          <w:lang w:val="en-US"/>
        </w:rPr>
        <w:t xml:space="preserve">these </w:t>
      </w:r>
      <w:r w:rsidRPr="00B75B12">
        <w:rPr>
          <w:rFonts w:ascii="Verdana" w:eastAsiaTheme="minorHAnsi" w:hAnsi="Verdana" w:cs="Times New Roman"/>
          <w:color w:val="000000" w:themeColor="text1"/>
          <w:sz w:val="20"/>
          <w:szCs w:val="20"/>
          <w:lang w:val="en-US"/>
        </w:rPr>
        <w:t xml:space="preserve">unregulated funds, </w:t>
      </w:r>
      <w:r w:rsidR="00BE3D7E">
        <w:rPr>
          <w:rFonts w:ascii="Verdana" w:eastAsiaTheme="minorHAnsi" w:hAnsi="Verdana" w:cs="Times New Roman"/>
          <w:color w:val="000000" w:themeColor="text1"/>
          <w:sz w:val="20"/>
          <w:szCs w:val="20"/>
          <w:lang w:val="en-US"/>
        </w:rPr>
        <w:t xml:space="preserve">it is likely that there </w:t>
      </w:r>
      <w:proofErr w:type="gramStart"/>
      <w:r w:rsidR="00BE3D7E">
        <w:rPr>
          <w:rFonts w:ascii="Verdana" w:eastAsiaTheme="minorHAnsi" w:hAnsi="Verdana" w:cs="Times New Roman"/>
          <w:color w:val="000000" w:themeColor="text1"/>
          <w:sz w:val="20"/>
          <w:szCs w:val="20"/>
          <w:lang w:val="en-US"/>
        </w:rPr>
        <w:t>is</w:t>
      </w:r>
      <w:proofErr w:type="gramEnd"/>
      <w:r w:rsidR="00BE3D7E">
        <w:rPr>
          <w:rFonts w:ascii="Verdana" w:eastAsiaTheme="minorHAnsi" w:hAnsi="Verdana" w:cs="Times New Roman"/>
          <w:color w:val="000000" w:themeColor="text1"/>
          <w:sz w:val="20"/>
          <w:szCs w:val="20"/>
          <w:lang w:val="en-US"/>
        </w:rPr>
        <w:t xml:space="preserve"> the risks of </w:t>
      </w:r>
      <w:r w:rsidRPr="00B75B12">
        <w:rPr>
          <w:rFonts w:ascii="Verdana" w:eastAsiaTheme="minorHAnsi" w:hAnsi="Verdana" w:cs="Times New Roman"/>
          <w:color w:val="000000" w:themeColor="text1"/>
          <w:sz w:val="20"/>
          <w:szCs w:val="20"/>
          <w:lang w:val="en-US"/>
        </w:rPr>
        <w:t xml:space="preserve">money laundering in this </w:t>
      </w:r>
      <w:r w:rsidR="00BE3D7E">
        <w:rPr>
          <w:rFonts w:ascii="Verdana" w:eastAsiaTheme="minorHAnsi" w:hAnsi="Verdana" w:cs="Times New Roman"/>
          <w:color w:val="000000" w:themeColor="text1"/>
          <w:sz w:val="20"/>
          <w:szCs w:val="20"/>
          <w:lang w:val="en-US"/>
        </w:rPr>
        <w:t xml:space="preserve">sub </w:t>
      </w:r>
      <w:r w:rsidRPr="00B75B12">
        <w:rPr>
          <w:rFonts w:ascii="Verdana" w:eastAsiaTheme="minorHAnsi" w:hAnsi="Verdana" w:cs="Times New Roman"/>
          <w:color w:val="000000" w:themeColor="text1"/>
          <w:sz w:val="20"/>
          <w:szCs w:val="20"/>
          <w:lang w:val="en-US"/>
        </w:rPr>
        <w:t xml:space="preserve">sector. </w:t>
      </w:r>
      <w:r w:rsidR="00585531">
        <w:rPr>
          <w:rFonts w:ascii="Verdana" w:eastAsiaTheme="minorHAnsi" w:hAnsi="Verdana" w:cs="Times New Roman"/>
          <w:color w:val="000000" w:themeColor="text1"/>
          <w:sz w:val="20"/>
          <w:szCs w:val="20"/>
          <w:lang w:val="en-US"/>
        </w:rPr>
        <w:t>Of note</w:t>
      </w:r>
      <w:r w:rsidR="00BE3D7E">
        <w:rPr>
          <w:rFonts w:ascii="Verdana" w:eastAsiaTheme="minorHAnsi" w:hAnsi="Verdana" w:cs="Times New Roman"/>
          <w:color w:val="000000" w:themeColor="text1"/>
          <w:sz w:val="20"/>
          <w:szCs w:val="20"/>
          <w:lang w:val="en-US"/>
        </w:rPr>
        <w:t>, f</w:t>
      </w:r>
      <w:r w:rsidRPr="00B75B12">
        <w:rPr>
          <w:rFonts w:ascii="Verdana" w:eastAsiaTheme="minorHAnsi" w:hAnsi="Verdana" w:cs="Times New Roman"/>
          <w:color w:val="000000" w:themeColor="text1"/>
          <w:sz w:val="20"/>
          <w:szCs w:val="20"/>
          <w:lang w:val="en-US"/>
        </w:rPr>
        <w:t>rom a control and ownership perspective</w:t>
      </w:r>
      <w:r w:rsidR="00BE3D7E">
        <w:rPr>
          <w:rFonts w:ascii="Verdana" w:eastAsiaTheme="minorHAnsi" w:hAnsi="Verdana" w:cs="Times New Roman"/>
          <w:color w:val="000000" w:themeColor="text1"/>
          <w:sz w:val="20"/>
          <w:szCs w:val="20"/>
          <w:lang w:val="en-US"/>
        </w:rPr>
        <w:t xml:space="preserve">, the parent companies, their subsidiaries and affiliates for majority of the mutual fund administrators </w:t>
      </w:r>
      <w:r w:rsidRPr="00B75B12">
        <w:rPr>
          <w:rFonts w:ascii="Verdana" w:eastAsiaTheme="minorHAnsi" w:hAnsi="Verdana" w:cs="Times New Roman"/>
          <w:color w:val="000000" w:themeColor="text1"/>
          <w:sz w:val="20"/>
          <w:szCs w:val="20"/>
          <w:lang w:val="en-US"/>
        </w:rPr>
        <w:t xml:space="preserve">are in </w:t>
      </w:r>
      <w:r w:rsidR="00EF6E7D">
        <w:rPr>
          <w:rFonts w:ascii="Verdana" w:eastAsiaTheme="minorHAnsi" w:hAnsi="Verdana" w:cs="Times New Roman"/>
          <w:color w:val="000000" w:themeColor="text1"/>
          <w:sz w:val="20"/>
          <w:szCs w:val="20"/>
          <w:lang w:val="en-US"/>
        </w:rPr>
        <w:t>countries</w:t>
      </w:r>
      <w:r w:rsidRPr="00B75B12">
        <w:rPr>
          <w:rFonts w:ascii="Verdana" w:eastAsiaTheme="minorHAnsi" w:hAnsi="Verdana" w:cs="Times New Roman"/>
          <w:color w:val="000000" w:themeColor="text1"/>
          <w:sz w:val="20"/>
          <w:szCs w:val="20"/>
          <w:lang w:val="en-US"/>
        </w:rPr>
        <w:t xml:space="preserve"> with equivalent AML/CFT frameworks. </w:t>
      </w:r>
      <w:r w:rsidR="00BE3D7E">
        <w:rPr>
          <w:rFonts w:ascii="Verdana" w:eastAsiaTheme="minorHAnsi" w:hAnsi="Verdana" w:cs="Times New Roman"/>
          <w:color w:val="000000" w:themeColor="text1"/>
          <w:sz w:val="20"/>
          <w:szCs w:val="20"/>
          <w:lang w:val="en-US"/>
        </w:rPr>
        <w:t>However approximately 15% of the subsidiaries and affiliate</w:t>
      </w:r>
      <w:r w:rsidR="00544D05">
        <w:rPr>
          <w:rFonts w:ascii="Verdana" w:eastAsiaTheme="minorHAnsi" w:hAnsi="Verdana" w:cs="Times New Roman"/>
          <w:color w:val="000000" w:themeColor="text1"/>
          <w:sz w:val="20"/>
          <w:szCs w:val="20"/>
          <w:lang w:val="en-US"/>
        </w:rPr>
        <w:t>s</w:t>
      </w:r>
      <w:r w:rsidR="00BE3D7E">
        <w:rPr>
          <w:rFonts w:ascii="Verdana" w:eastAsiaTheme="minorHAnsi" w:hAnsi="Verdana" w:cs="Times New Roman"/>
          <w:color w:val="000000" w:themeColor="text1"/>
          <w:sz w:val="20"/>
          <w:szCs w:val="20"/>
          <w:lang w:val="en-US"/>
        </w:rPr>
        <w:t xml:space="preserve"> are in high risk countries which increase</w:t>
      </w:r>
      <w:r w:rsidR="00544D05">
        <w:rPr>
          <w:rFonts w:ascii="Verdana" w:eastAsiaTheme="minorHAnsi" w:hAnsi="Verdana" w:cs="Times New Roman"/>
          <w:color w:val="000000" w:themeColor="text1"/>
          <w:sz w:val="20"/>
          <w:szCs w:val="20"/>
          <w:lang w:val="en-US"/>
        </w:rPr>
        <w:t>s</w:t>
      </w:r>
      <w:r w:rsidR="00BE3D7E">
        <w:rPr>
          <w:rFonts w:ascii="Verdana" w:eastAsiaTheme="minorHAnsi" w:hAnsi="Verdana" w:cs="Times New Roman"/>
          <w:color w:val="000000" w:themeColor="text1"/>
          <w:sz w:val="20"/>
          <w:szCs w:val="20"/>
          <w:lang w:val="en-US"/>
        </w:rPr>
        <w:t xml:space="preserve"> the </w:t>
      </w:r>
      <w:r w:rsidRPr="00B75B12">
        <w:rPr>
          <w:rFonts w:ascii="Verdana" w:eastAsiaTheme="minorHAnsi" w:hAnsi="Verdana" w:cs="Times New Roman"/>
          <w:color w:val="000000" w:themeColor="text1"/>
          <w:sz w:val="20"/>
          <w:szCs w:val="20"/>
          <w:lang w:val="en-US"/>
        </w:rPr>
        <w:t>risk of money laundering and terrorist financing</w:t>
      </w:r>
      <w:r w:rsidR="00544D05">
        <w:rPr>
          <w:rFonts w:ascii="Verdana" w:eastAsiaTheme="minorHAnsi" w:hAnsi="Verdana" w:cs="Times New Roman"/>
          <w:color w:val="000000" w:themeColor="text1"/>
          <w:sz w:val="20"/>
          <w:szCs w:val="20"/>
          <w:lang w:val="en-US"/>
        </w:rPr>
        <w:t xml:space="preserve">, and as a result the </w:t>
      </w:r>
      <w:r w:rsidR="005F5D2D" w:rsidRPr="00B75B12">
        <w:rPr>
          <w:rFonts w:ascii="Verdana" w:eastAsiaTheme="minorHAnsi" w:hAnsi="Verdana" w:cs="Times New Roman"/>
          <w:color w:val="000000" w:themeColor="text1"/>
          <w:sz w:val="20"/>
          <w:szCs w:val="20"/>
          <w:lang w:val="en-US"/>
        </w:rPr>
        <w:t>risk is assessed as Medium High.</w:t>
      </w:r>
    </w:p>
    <w:p w14:paraId="06EB53AD" w14:textId="012FF034" w:rsidR="00A12378" w:rsidRDefault="00A12378" w:rsidP="00A12378">
      <w:pPr>
        <w:spacing w:line="276" w:lineRule="auto"/>
        <w:jc w:val="both"/>
        <w:rPr>
          <w:rFonts w:ascii="Verdana" w:hAnsi="Verdana"/>
        </w:rPr>
      </w:pPr>
      <w:r>
        <w:rPr>
          <w:rFonts w:ascii="Verdana" w:hAnsi="Verdana"/>
        </w:rPr>
        <w:t xml:space="preserve"> </w:t>
      </w:r>
    </w:p>
    <w:p w14:paraId="78518444" w14:textId="28AF346A" w:rsidR="006918C9" w:rsidRPr="00246331" w:rsidRDefault="006918C9" w:rsidP="006918C9">
      <w:pPr>
        <w:rPr>
          <w:rFonts w:ascii="Verdana" w:hAnsi="Verdana"/>
          <w:i/>
        </w:rPr>
      </w:pPr>
      <w:r w:rsidRPr="00BE3D7E">
        <w:rPr>
          <w:rFonts w:ascii="Verdana" w:hAnsi="Verdana"/>
          <w:i/>
        </w:rPr>
        <w:t>Risk rating: Medium High</w:t>
      </w:r>
    </w:p>
    <w:p w14:paraId="6A4C15EB" w14:textId="77777777" w:rsidR="006918C9" w:rsidRPr="006918C9" w:rsidRDefault="006918C9" w:rsidP="006918C9">
      <w:pPr>
        <w:jc w:val="both"/>
        <w:rPr>
          <w:rFonts w:ascii="Verdana" w:hAnsi="Verdana"/>
        </w:rPr>
      </w:pPr>
    </w:p>
    <w:p w14:paraId="7EC4AAC9" w14:textId="77777777" w:rsidR="003A2B63" w:rsidRDefault="003A2B63" w:rsidP="00070621">
      <w:pPr>
        <w:rPr>
          <w:rFonts w:ascii="Verdana" w:eastAsiaTheme="majorEastAsia" w:hAnsi="Verdana" w:cstheme="majorBidi"/>
          <w:b/>
          <w:spacing w:val="5"/>
          <w:kern w:val="28"/>
        </w:rPr>
      </w:pPr>
    </w:p>
    <w:p w14:paraId="13BD7C9D" w14:textId="32D70AC3" w:rsidR="00070621" w:rsidRPr="006918C9" w:rsidRDefault="00070621" w:rsidP="00070621">
      <w:pPr>
        <w:rPr>
          <w:rFonts w:ascii="Verdana" w:eastAsiaTheme="majorEastAsia" w:hAnsi="Verdana" w:cstheme="majorBidi"/>
          <w:b/>
          <w:spacing w:val="5"/>
          <w:kern w:val="28"/>
        </w:rPr>
      </w:pPr>
      <w:r>
        <w:rPr>
          <w:rFonts w:ascii="Verdana" w:eastAsiaTheme="majorEastAsia" w:hAnsi="Verdana" w:cstheme="majorBidi"/>
          <w:b/>
          <w:spacing w:val="5"/>
          <w:kern w:val="28"/>
        </w:rPr>
        <w:t xml:space="preserve">Risk Category - </w:t>
      </w:r>
      <w:r w:rsidRPr="006918C9">
        <w:rPr>
          <w:rFonts w:ascii="Verdana" w:eastAsiaTheme="majorEastAsia" w:hAnsi="Verdana" w:cstheme="majorBidi"/>
          <w:b/>
          <w:spacing w:val="5"/>
          <w:kern w:val="28"/>
        </w:rPr>
        <w:t>Geographic Risk</w:t>
      </w:r>
    </w:p>
    <w:p w14:paraId="42A4C554" w14:textId="77777777" w:rsidR="00070621" w:rsidRDefault="00070621" w:rsidP="00070621">
      <w:pPr>
        <w:rPr>
          <w:rFonts w:ascii="Verdana" w:eastAsiaTheme="majorEastAsia" w:hAnsi="Verdana" w:cstheme="majorBidi"/>
          <w:color w:val="17365D" w:themeColor="text2" w:themeShade="BF"/>
          <w:spacing w:val="5"/>
          <w:kern w:val="28"/>
        </w:rPr>
      </w:pPr>
    </w:p>
    <w:p w14:paraId="4632F91D" w14:textId="68C5893C" w:rsidR="00070621" w:rsidRPr="00B75B12" w:rsidRDefault="004F4216"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proofErr w:type="gramStart"/>
      <w:r>
        <w:rPr>
          <w:rFonts w:ascii="Verdana" w:eastAsiaTheme="minorHAnsi" w:hAnsi="Verdana" w:cs="Times New Roman"/>
          <w:color w:val="000000" w:themeColor="text1"/>
          <w:sz w:val="20"/>
          <w:szCs w:val="20"/>
          <w:lang w:val="en-US"/>
        </w:rPr>
        <w:t>All of</w:t>
      </w:r>
      <w:proofErr w:type="gramEnd"/>
      <w:r>
        <w:rPr>
          <w:rFonts w:ascii="Verdana" w:eastAsiaTheme="minorHAnsi" w:hAnsi="Verdana" w:cs="Times New Roman"/>
          <w:color w:val="000000" w:themeColor="text1"/>
          <w:sz w:val="20"/>
          <w:szCs w:val="20"/>
          <w:lang w:val="en-US"/>
        </w:rPr>
        <w:t xml:space="preserve"> the regulated funds are Cayman Islands regulated funds.  </w:t>
      </w:r>
      <w:r w:rsidR="00943FDB">
        <w:rPr>
          <w:rFonts w:ascii="Verdana" w:eastAsiaTheme="minorHAnsi" w:hAnsi="Verdana" w:cs="Times New Roman"/>
          <w:color w:val="000000" w:themeColor="text1"/>
          <w:sz w:val="20"/>
          <w:szCs w:val="20"/>
          <w:lang w:val="en-US"/>
        </w:rPr>
        <w:t>77.9%</w:t>
      </w:r>
      <w:r w:rsidR="00070621" w:rsidRPr="00B75B12">
        <w:rPr>
          <w:rFonts w:ascii="Verdana" w:eastAsiaTheme="minorHAnsi" w:hAnsi="Verdana" w:cs="Times New Roman"/>
          <w:color w:val="000000" w:themeColor="text1"/>
          <w:sz w:val="20"/>
          <w:szCs w:val="20"/>
          <w:lang w:val="en-US"/>
        </w:rPr>
        <w:t xml:space="preserve"> of the unregulated funds are </w:t>
      </w:r>
      <w:r>
        <w:rPr>
          <w:rFonts w:ascii="Verdana" w:eastAsiaTheme="minorHAnsi" w:hAnsi="Verdana" w:cs="Times New Roman"/>
          <w:color w:val="000000" w:themeColor="text1"/>
          <w:sz w:val="20"/>
          <w:szCs w:val="20"/>
          <w:lang w:val="en-US"/>
        </w:rPr>
        <w:t xml:space="preserve">incorporated </w:t>
      </w:r>
      <w:r w:rsidR="00070621" w:rsidRPr="00B75B12">
        <w:rPr>
          <w:rFonts w:ascii="Verdana" w:eastAsiaTheme="minorHAnsi" w:hAnsi="Verdana" w:cs="Times New Roman"/>
          <w:color w:val="000000" w:themeColor="text1"/>
          <w:sz w:val="20"/>
          <w:szCs w:val="20"/>
          <w:lang w:val="en-US"/>
        </w:rPr>
        <w:t xml:space="preserve">in </w:t>
      </w:r>
      <w:r w:rsidR="00943FDB">
        <w:rPr>
          <w:rFonts w:ascii="Verdana" w:eastAsiaTheme="minorHAnsi" w:hAnsi="Verdana" w:cs="Times New Roman"/>
          <w:color w:val="000000" w:themeColor="text1"/>
          <w:sz w:val="20"/>
          <w:szCs w:val="20"/>
          <w:lang w:val="en-US"/>
        </w:rPr>
        <w:t xml:space="preserve">the Cayman Islands, 16.5% in the United States and </w:t>
      </w:r>
      <w:r w:rsidR="00BD016D">
        <w:rPr>
          <w:rFonts w:ascii="Verdana" w:eastAsiaTheme="minorHAnsi" w:hAnsi="Verdana" w:cs="Times New Roman"/>
          <w:color w:val="000000" w:themeColor="text1"/>
          <w:sz w:val="20"/>
          <w:szCs w:val="20"/>
          <w:lang w:val="en-US"/>
        </w:rPr>
        <w:t xml:space="preserve">5.4% are </w:t>
      </w:r>
      <w:r w:rsidR="00FC5CE6">
        <w:rPr>
          <w:rFonts w:ascii="Verdana" w:eastAsiaTheme="minorHAnsi" w:hAnsi="Verdana" w:cs="Times New Roman"/>
          <w:color w:val="000000" w:themeColor="text1"/>
          <w:sz w:val="20"/>
          <w:szCs w:val="20"/>
          <w:lang w:val="en-US"/>
        </w:rPr>
        <w:t xml:space="preserve">in </w:t>
      </w:r>
      <w:r w:rsidR="00BD016D">
        <w:rPr>
          <w:rFonts w:ascii="Verdana" w:eastAsiaTheme="minorHAnsi" w:hAnsi="Verdana" w:cs="Times New Roman"/>
          <w:color w:val="000000" w:themeColor="text1"/>
          <w:sz w:val="20"/>
          <w:szCs w:val="20"/>
          <w:lang w:val="en-US"/>
        </w:rPr>
        <w:t xml:space="preserve">other non-high risks countries </w:t>
      </w:r>
      <w:r w:rsidR="00070621" w:rsidRPr="00B75B12">
        <w:rPr>
          <w:rFonts w:ascii="Verdana" w:eastAsiaTheme="minorHAnsi" w:hAnsi="Verdana" w:cs="Times New Roman"/>
          <w:color w:val="000000" w:themeColor="text1"/>
          <w:sz w:val="20"/>
          <w:szCs w:val="20"/>
          <w:lang w:val="en-US"/>
        </w:rPr>
        <w:t>with equivalent AML/CFT legislation</w:t>
      </w:r>
      <w:r>
        <w:rPr>
          <w:rFonts w:ascii="Verdana" w:eastAsiaTheme="minorHAnsi" w:hAnsi="Verdana" w:cs="Times New Roman"/>
          <w:color w:val="000000" w:themeColor="text1"/>
          <w:sz w:val="20"/>
          <w:szCs w:val="20"/>
          <w:lang w:val="en-US"/>
        </w:rPr>
        <w:t xml:space="preserve">. </w:t>
      </w:r>
      <w:r w:rsidR="005A4C9F">
        <w:rPr>
          <w:rFonts w:ascii="Verdana" w:eastAsiaTheme="minorHAnsi" w:hAnsi="Verdana" w:cs="Times New Roman"/>
          <w:color w:val="000000" w:themeColor="text1"/>
          <w:sz w:val="20"/>
          <w:szCs w:val="20"/>
          <w:lang w:val="en-US"/>
        </w:rPr>
        <w:t xml:space="preserve"> </w:t>
      </w:r>
      <w:r w:rsidR="00070621" w:rsidRPr="00B75B12">
        <w:rPr>
          <w:rFonts w:ascii="Verdana" w:eastAsiaTheme="minorHAnsi" w:hAnsi="Verdana" w:cs="Times New Roman"/>
          <w:color w:val="000000" w:themeColor="text1"/>
          <w:sz w:val="20"/>
          <w:szCs w:val="20"/>
          <w:lang w:val="en-US"/>
        </w:rPr>
        <w:t xml:space="preserve"> </w:t>
      </w:r>
    </w:p>
    <w:p w14:paraId="614FFA28" w14:textId="2439B5D8" w:rsidR="00D83871" w:rsidRPr="00B75B12" w:rsidRDefault="00D83871" w:rsidP="00B75B12">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5501EDEB" w14:textId="355DFC9A" w:rsidR="00070621" w:rsidRPr="00B80904" w:rsidRDefault="00BD016D"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80904">
        <w:rPr>
          <w:rFonts w:ascii="Verdana" w:eastAsiaTheme="minorHAnsi" w:hAnsi="Verdana" w:cs="Times New Roman"/>
          <w:color w:val="000000" w:themeColor="text1"/>
          <w:sz w:val="20"/>
          <w:szCs w:val="20"/>
          <w:lang w:val="en-US"/>
        </w:rPr>
        <w:t xml:space="preserve">In relation to all investors into both the regulated and unregulated funds, </w:t>
      </w:r>
      <w:r w:rsidR="00070621" w:rsidRPr="00A01E19">
        <w:rPr>
          <w:rFonts w:ascii="Verdana" w:eastAsiaTheme="minorHAnsi" w:hAnsi="Verdana" w:cs="Times New Roman"/>
          <w:color w:val="000000" w:themeColor="text1"/>
          <w:sz w:val="20"/>
          <w:szCs w:val="20"/>
          <w:lang w:val="en-US"/>
        </w:rPr>
        <w:t>5</w:t>
      </w:r>
      <w:r w:rsidR="00F828AA" w:rsidRPr="00B017EB">
        <w:rPr>
          <w:rFonts w:ascii="Verdana" w:eastAsiaTheme="minorHAnsi" w:hAnsi="Verdana" w:cs="Times New Roman"/>
          <w:color w:val="000000" w:themeColor="text1"/>
          <w:sz w:val="20"/>
          <w:szCs w:val="20"/>
          <w:lang w:val="en-US"/>
        </w:rPr>
        <w:t>7</w:t>
      </w:r>
      <w:r w:rsidR="00070621" w:rsidRPr="00B017EB">
        <w:rPr>
          <w:rFonts w:ascii="Verdana" w:eastAsiaTheme="minorHAnsi" w:hAnsi="Verdana" w:cs="Times New Roman"/>
          <w:color w:val="000000" w:themeColor="text1"/>
          <w:sz w:val="20"/>
          <w:szCs w:val="20"/>
          <w:lang w:val="en-US"/>
        </w:rPr>
        <w:t xml:space="preserve">% </w:t>
      </w:r>
      <w:r w:rsidR="00E83D74" w:rsidRPr="00B017EB">
        <w:rPr>
          <w:rFonts w:ascii="Verdana" w:eastAsiaTheme="minorHAnsi" w:hAnsi="Verdana" w:cs="Times New Roman"/>
          <w:color w:val="000000" w:themeColor="text1"/>
          <w:sz w:val="20"/>
          <w:szCs w:val="20"/>
          <w:lang w:val="en-US"/>
        </w:rPr>
        <w:t>of</w:t>
      </w:r>
      <w:r w:rsidR="00E83D74" w:rsidRPr="00B80904">
        <w:rPr>
          <w:rFonts w:ascii="Verdana" w:eastAsiaTheme="minorHAnsi" w:hAnsi="Verdana" w:cs="Times New Roman"/>
          <w:color w:val="000000" w:themeColor="text1"/>
          <w:sz w:val="20"/>
          <w:szCs w:val="20"/>
          <w:lang w:val="en-US"/>
        </w:rPr>
        <w:t xml:space="preserve"> </w:t>
      </w:r>
      <w:r w:rsidRPr="00B80904">
        <w:rPr>
          <w:rFonts w:ascii="Verdana" w:eastAsiaTheme="minorHAnsi" w:hAnsi="Verdana" w:cs="Times New Roman"/>
          <w:color w:val="000000" w:themeColor="text1"/>
          <w:sz w:val="20"/>
          <w:szCs w:val="20"/>
          <w:lang w:val="en-US"/>
        </w:rPr>
        <w:t xml:space="preserve">the </w:t>
      </w:r>
      <w:r w:rsidR="00E83D74" w:rsidRPr="00A01E19">
        <w:rPr>
          <w:rFonts w:ascii="Verdana" w:eastAsiaTheme="minorHAnsi" w:hAnsi="Verdana" w:cs="Times New Roman"/>
          <w:color w:val="000000" w:themeColor="text1"/>
          <w:sz w:val="20"/>
          <w:szCs w:val="20"/>
          <w:lang w:val="en-US"/>
        </w:rPr>
        <w:t>investors</w:t>
      </w:r>
      <w:r w:rsidRPr="00B017EB">
        <w:rPr>
          <w:rFonts w:ascii="Verdana" w:eastAsiaTheme="minorHAnsi" w:hAnsi="Verdana" w:cs="Times New Roman"/>
          <w:color w:val="000000" w:themeColor="text1"/>
          <w:sz w:val="20"/>
          <w:szCs w:val="20"/>
          <w:lang w:val="en-US"/>
        </w:rPr>
        <w:t xml:space="preserve"> </w:t>
      </w:r>
      <w:r w:rsidR="00070621" w:rsidRPr="00B80904">
        <w:rPr>
          <w:rFonts w:ascii="Verdana" w:eastAsiaTheme="minorHAnsi" w:hAnsi="Verdana" w:cs="Times New Roman"/>
          <w:color w:val="000000" w:themeColor="text1"/>
          <w:sz w:val="20"/>
          <w:szCs w:val="20"/>
          <w:lang w:val="en-US"/>
        </w:rPr>
        <w:t xml:space="preserve">are from the United States with a further </w:t>
      </w:r>
      <w:r w:rsidR="00FC5CE6">
        <w:rPr>
          <w:rFonts w:ascii="Verdana" w:eastAsiaTheme="minorHAnsi" w:hAnsi="Verdana" w:cs="Times New Roman"/>
          <w:color w:val="000000" w:themeColor="text1"/>
          <w:sz w:val="20"/>
          <w:szCs w:val="20"/>
          <w:lang w:val="en-US"/>
        </w:rPr>
        <w:t>5</w:t>
      </w:r>
      <w:r w:rsidR="00070621" w:rsidRPr="00B80904">
        <w:rPr>
          <w:rFonts w:ascii="Verdana" w:eastAsiaTheme="minorHAnsi" w:hAnsi="Verdana" w:cs="Times New Roman"/>
          <w:color w:val="000000" w:themeColor="text1"/>
          <w:sz w:val="20"/>
          <w:szCs w:val="20"/>
          <w:lang w:val="en-US"/>
        </w:rPr>
        <w:t xml:space="preserve">% from the Cayman Islands, </w:t>
      </w:r>
      <w:r w:rsidR="00FC5CE6">
        <w:rPr>
          <w:rFonts w:ascii="Verdana" w:eastAsiaTheme="minorHAnsi" w:hAnsi="Verdana" w:cs="Times New Roman"/>
          <w:color w:val="000000" w:themeColor="text1"/>
          <w:sz w:val="20"/>
          <w:szCs w:val="20"/>
          <w:lang w:val="en-US"/>
        </w:rPr>
        <w:t xml:space="preserve">4% from </w:t>
      </w:r>
      <w:r w:rsidR="00070621" w:rsidRPr="00B80904">
        <w:rPr>
          <w:rFonts w:ascii="Verdana" w:eastAsiaTheme="minorHAnsi" w:hAnsi="Verdana" w:cs="Times New Roman"/>
          <w:color w:val="000000" w:themeColor="text1"/>
          <w:sz w:val="20"/>
          <w:szCs w:val="20"/>
          <w:lang w:val="en-US"/>
        </w:rPr>
        <w:t xml:space="preserve">Switzerland, </w:t>
      </w:r>
      <w:r w:rsidR="00FC5CE6">
        <w:rPr>
          <w:rFonts w:ascii="Verdana" w:eastAsiaTheme="minorHAnsi" w:hAnsi="Verdana" w:cs="Times New Roman"/>
          <w:color w:val="000000" w:themeColor="text1"/>
          <w:sz w:val="20"/>
          <w:szCs w:val="20"/>
          <w:lang w:val="en-US"/>
        </w:rPr>
        <w:t>3% from UK and Ireland</w:t>
      </w:r>
      <w:r w:rsidR="00F828AA" w:rsidRPr="00B80904">
        <w:rPr>
          <w:rFonts w:ascii="Verdana" w:eastAsiaTheme="minorHAnsi" w:hAnsi="Verdana" w:cs="Times New Roman"/>
          <w:color w:val="000000" w:themeColor="text1"/>
          <w:sz w:val="20"/>
          <w:szCs w:val="20"/>
          <w:lang w:val="en-US"/>
        </w:rPr>
        <w:t xml:space="preserve">, </w:t>
      </w:r>
      <w:r w:rsidR="00FC5CE6">
        <w:rPr>
          <w:rFonts w:ascii="Verdana" w:eastAsiaTheme="minorHAnsi" w:hAnsi="Verdana" w:cs="Times New Roman"/>
          <w:color w:val="000000" w:themeColor="text1"/>
          <w:sz w:val="20"/>
          <w:szCs w:val="20"/>
          <w:lang w:val="en-US"/>
        </w:rPr>
        <w:t xml:space="preserve">2% from </w:t>
      </w:r>
      <w:r w:rsidR="00F828AA" w:rsidRPr="00B80904">
        <w:rPr>
          <w:rFonts w:ascii="Verdana" w:eastAsiaTheme="minorHAnsi" w:hAnsi="Verdana" w:cs="Times New Roman"/>
          <w:color w:val="000000" w:themeColor="text1"/>
          <w:sz w:val="20"/>
          <w:szCs w:val="20"/>
          <w:lang w:val="en-US"/>
        </w:rPr>
        <w:t>Canada</w:t>
      </w:r>
      <w:r w:rsidR="00070621" w:rsidRPr="00B80904">
        <w:rPr>
          <w:rFonts w:ascii="Verdana" w:eastAsiaTheme="minorHAnsi" w:hAnsi="Verdana" w:cs="Times New Roman"/>
          <w:color w:val="000000" w:themeColor="text1"/>
          <w:sz w:val="20"/>
          <w:szCs w:val="20"/>
          <w:lang w:val="en-US"/>
        </w:rPr>
        <w:t xml:space="preserve"> and Luxembourg.  </w:t>
      </w:r>
      <w:r w:rsidR="00B80904">
        <w:rPr>
          <w:rFonts w:ascii="Verdana" w:eastAsiaTheme="minorHAnsi" w:hAnsi="Verdana" w:cs="Times New Roman"/>
          <w:color w:val="000000" w:themeColor="text1"/>
          <w:sz w:val="20"/>
          <w:szCs w:val="20"/>
          <w:lang w:val="en-US"/>
        </w:rPr>
        <w:t xml:space="preserve">In considering ownership and control by the investment managers, who are sometimes the promoter of funds, </w:t>
      </w:r>
      <w:r w:rsidR="008A0F5A">
        <w:rPr>
          <w:rFonts w:ascii="Verdana" w:eastAsiaTheme="minorHAnsi" w:hAnsi="Verdana" w:cs="Times New Roman"/>
          <w:color w:val="000000" w:themeColor="text1"/>
          <w:sz w:val="20"/>
          <w:szCs w:val="20"/>
          <w:lang w:val="en-US"/>
        </w:rPr>
        <w:t xml:space="preserve">1% of all investors are also investment managers of the funds.  </w:t>
      </w:r>
      <w:r w:rsidR="00070621" w:rsidRPr="00B80904">
        <w:rPr>
          <w:rFonts w:ascii="Verdana" w:eastAsiaTheme="minorHAnsi" w:hAnsi="Verdana" w:cs="Times New Roman"/>
          <w:color w:val="000000" w:themeColor="text1"/>
          <w:sz w:val="20"/>
          <w:szCs w:val="20"/>
          <w:lang w:val="en-US"/>
        </w:rPr>
        <w:t>53% of the</w:t>
      </w:r>
      <w:r w:rsidR="008A0F5A">
        <w:rPr>
          <w:rFonts w:ascii="Verdana" w:eastAsiaTheme="minorHAnsi" w:hAnsi="Verdana" w:cs="Times New Roman"/>
          <w:color w:val="000000" w:themeColor="text1"/>
          <w:sz w:val="20"/>
          <w:szCs w:val="20"/>
          <w:lang w:val="en-US"/>
        </w:rPr>
        <w:t>se</w:t>
      </w:r>
      <w:r w:rsidR="00070621" w:rsidRPr="00B80904">
        <w:rPr>
          <w:rFonts w:ascii="Verdana" w:eastAsiaTheme="minorHAnsi" w:hAnsi="Verdana" w:cs="Times New Roman"/>
          <w:color w:val="000000" w:themeColor="text1"/>
          <w:sz w:val="20"/>
          <w:szCs w:val="20"/>
          <w:lang w:val="en-US"/>
        </w:rPr>
        <w:t xml:space="preserve"> investment managers are regulated, </w:t>
      </w:r>
      <w:r w:rsidR="008A0F5A">
        <w:rPr>
          <w:rFonts w:ascii="Verdana" w:eastAsiaTheme="minorHAnsi" w:hAnsi="Verdana" w:cs="Times New Roman"/>
          <w:color w:val="000000" w:themeColor="text1"/>
          <w:sz w:val="20"/>
          <w:szCs w:val="20"/>
          <w:lang w:val="en-US"/>
        </w:rPr>
        <w:t>with the majority,</w:t>
      </w:r>
      <w:r w:rsidR="00070621" w:rsidRPr="00B80904">
        <w:rPr>
          <w:rFonts w:ascii="Verdana" w:eastAsiaTheme="minorHAnsi" w:hAnsi="Verdana" w:cs="Times New Roman"/>
          <w:color w:val="000000" w:themeColor="text1"/>
          <w:sz w:val="20"/>
          <w:szCs w:val="20"/>
          <w:lang w:val="en-US"/>
        </w:rPr>
        <w:t xml:space="preserve"> 43% in the United States.</w:t>
      </w:r>
    </w:p>
    <w:p w14:paraId="031F4BD7" w14:textId="77777777" w:rsidR="009E07D7" w:rsidRPr="00B75B12" w:rsidRDefault="009E07D7" w:rsidP="00B75B12">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1AA94C19" w14:textId="69474327" w:rsidR="0088202D" w:rsidRPr="00B75B12" w:rsidRDefault="009E07D7"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75B12">
        <w:rPr>
          <w:rFonts w:ascii="Verdana" w:eastAsiaTheme="minorHAnsi" w:hAnsi="Verdana" w:cs="Times New Roman"/>
          <w:color w:val="000000" w:themeColor="text1"/>
          <w:sz w:val="20"/>
          <w:szCs w:val="20"/>
          <w:lang w:val="en-US"/>
        </w:rPr>
        <w:t xml:space="preserve">The data showed that </w:t>
      </w:r>
      <w:r w:rsidR="00B017EB">
        <w:rPr>
          <w:rFonts w:ascii="Verdana" w:eastAsiaTheme="minorHAnsi" w:hAnsi="Verdana" w:cs="Times New Roman"/>
          <w:color w:val="000000" w:themeColor="text1"/>
          <w:sz w:val="20"/>
          <w:szCs w:val="20"/>
          <w:lang w:val="en-US"/>
        </w:rPr>
        <w:t>67</w:t>
      </w:r>
      <w:r w:rsidRPr="00B75B12">
        <w:rPr>
          <w:rFonts w:ascii="Verdana" w:eastAsiaTheme="minorHAnsi" w:hAnsi="Verdana" w:cs="Times New Roman"/>
          <w:color w:val="000000" w:themeColor="text1"/>
          <w:sz w:val="20"/>
          <w:szCs w:val="20"/>
          <w:lang w:val="en-US"/>
        </w:rPr>
        <w:t xml:space="preserve">% of the RTA, NAV and </w:t>
      </w:r>
      <w:r w:rsidR="00F97701">
        <w:rPr>
          <w:rFonts w:ascii="Verdana" w:eastAsiaTheme="minorHAnsi" w:hAnsi="Verdana" w:cs="Times New Roman"/>
          <w:color w:val="000000" w:themeColor="text1"/>
          <w:sz w:val="20"/>
          <w:szCs w:val="20"/>
          <w:lang w:val="en-US"/>
        </w:rPr>
        <w:t xml:space="preserve">AML </w:t>
      </w:r>
      <w:r w:rsidRPr="00B75B12">
        <w:rPr>
          <w:rFonts w:ascii="Verdana" w:eastAsiaTheme="minorHAnsi" w:hAnsi="Verdana" w:cs="Times New Roman"/>
          <w:color w:val="000000" w:themeColor="text1"/>
          <w:sz w:val="20"/>
          <w:szCs w:val="20"/>
          <w:lang w:val="en-US"/>
        </w:rPr>
        <w:t xml:space="preserve">compliance services </w:t>
      </w:r>
      <w:r w:rsidR="00087637">
        <w:rPr>
          <w:rFonts w:ascii="Verdana" w:eastAsiaTheme="minorHAnsi" w:hAnsi="Verdana" w:cs="Times New Roman"/>
          <w:color w:val="000000" w:themeColor="text1"/>
          <w:sz w:val="20"/>
          <w:szCs w:val="20"/>
          <w:lang w:val="en-US"/>
        </w:rPr>
        <w:t xml:space="preserve">provided by mutual fund administrators </w:t>
      </w:r>
      <w:r w:rsidRPr="00B75B12">
        <w:rPr>
          <w:rFonts w:ascii="Verdana" w:eastAsiaTheme="minorHAnsi" w:hAnsi="Verdana" w:cs="Times New Roman"/>
          <w:color w:val="000000" w:themeColor="text1"/>
          <w:sz w:val="20"/>
          <w:szCs w:val="20"/>
          <w:lang w:val="en-US"/>
        </w:rPr>
        <w:t>are outsourced</w:t>
      </w:r>
      <w:r w:rsidR="00087637">
        <w:rPr>
          <w:rFonts w:ascii="Verdana" w:eastAsiaTheme="minorHAnsi" w:hAnsi="Verdana" w:cs="Times New Roman"/>
          <w:color w:val="000000" w:themeColor="text1"/>
          <w:sz w:val="20"/>
          <w:szCs w:val="20"/>
          <w:lang w:val="en-US"/>
        </w:rPr>
        <w:t xml:space="preserve"> to other entities</w:t>
      </w:r>
      <w:r w:rsidR="00F639D4">
        <w:rPr>
          <w:rFonts w:ascii="Verdana" w:eastAsiaTheme="minorHAnsi" w:hAnsi="Verdana" w:cs="Times New Roman"/>
          <w:color w:val="000000" w:themeColor="text1"/>
          <w:sz w:val="20"/>
          <w:szCs w:val="20"/>
          <w:lang w:val="en-US"/>
        </w:rPr>
        <w:t>, with 33% relating to other administrative services</w:t>
      </w:r>
      <w:r w:rsidRPr="00B75B12">
        <w:rPr>
          <w:rFonts w:ascii="Verdana" w:eastAsiaTheme="minorHAnsi" w:hAnsi="Verdana" w:cs="Times New Roman"/>
          <w:color w:val="000000" w:themeColor="text1"/>
          <w:sz w:val="20"/>
          <w:szCs w:val="20"/>
          <w:lang w:val="en-US"/>
        </w:rPr>
        <w:t xml:space="preserve">.  </w:t>
      </w:r>
      <w:r w:rsidR="00087637">
        <w:rPr>
          <w:rFonts w:ascii="Verdana" w:eastAsiaTheme="minorHAnsi" w:hAnsi="Verdana" w:cs="Times New Roman"/>
          <w:color w:val="000000" w:themeColor="text1"/>
          <w:sz w:val="20"/>
          <w:szCs w:val="20"/>
          <w:lang w:val="en-US"/>
        </w:rPr>
        <w:t>Outsourcing arrangements are made</w:t>
      </w:r>
      <w:r w:rsidR="00F863D0">
        <w:rPr>
          <w:rFonts w:ascii="Verdana" w:eastAsiaTheme="minorHAnsi" w:hAnsi="Verdana" w:cs="Times New Roman"/>
          <w:color w:val="000000" w:themeColor="text1"/>
          <w:sz w:val="20"/>
          <w:szCs w:val="20"/>
          <w:lang w:val="en-US"/>
        </w:rPr>
        <w:t xml:space="preserve"> up of </w:t>
      </w:r>
      <w:r w:rsidRPr="00B75B12">
        <w:rPr>
          <w:rFonts w:ascii="Verdana" w:eastAsiaTheme="minorHAnsi" w:hAnsi="Verdana" w:cs="Times New Roman"/>
          <w:color w:val="000000" w:themeColor="text1"/>
          <w:sz w:val="20"/>
          <w:szCs w:val="20"/>
          <w:lang w:val="en-US"/>
        </w:rPr>
        <w:t>2</w:t>
      </w:r>
      <w:r w:rsidR="00B017EB">
        <w:rPr>
          <w:rFonts w:ascii="Verdana" w:eastAsiaTheme="minorHAnsi" w:hAnsi="Verdana" w:cs="Times New Roman"/>
          <w:color w:val="000000" w:themeColor="text1"/>
          <w:sz w:val="20"/>
          <w:szCs w:val="20"/>
          <w:lang w:val="en-US"/>
        </w:rPr>
        <w:t>2</w:t>
      </w:r>
      <w:r w:rsidRPr="00B75B12">
        <w:rPr>
          <w:rFonts w:ascii="Verdana" w:eastAsiaTheme="minorHAnsi" w:hAnsi="Verdana" w:cs="Times New Roman"/>
          <w:color w:val="000000" w:themeColor="text1"/>
          <w:sz w:val="20"/>
          <w:szCs w:val="20"/>
          <w:lang w:val="en-US"/>
        </w:rPr>
        <w:t>% to the United States, 1</w:t>
      </w:r>
      <w:r w:rsidR="00B017EB">
        <w:rPr>
          <w:rFonts w:ascii="Verdana" w:eastAsiaTheme="minorHAnsi" w:hAnsi="Verdana" w:cs="Times New Roman"/>
          <w:color w:val="000000" w:themeColor="text1"/>
          <w:sz w:val="20"/>
          <w:szCs w:val="20"/>
          <w:lang w:val="en-US"/>
        </w:rPr>
        <w:t>6</w:t>
      </w:r>
      <w:r w:rsidRPr="00B75B12">
        <w:rPr>
          <w:rFonts w:ascii="Verdana" w:eastAsiaTheme="minorHAnsi" w:hAnsi="Verdana" w:cs="Times New Roman"/>
          <w:color w:val="000000" w:themeColor="text1"/>
          <w:sz w:val="20"/>
          <w:szCs w:val="20"/>
          <w:lang w:val="en-US"/>
        </w:rPr>
        <w:t>% to Ireland and UK</w:t>
      </w:r>
      <w:r w:rsidR="00B017EB">
        <w:rPr>
          <w:rFonts w:ascii="Verdana" w:eastAsiaTheme="minorHAnsi" w:hAnsi="Verdana" w:cs="Times New Roman"/>
          <w:color w:val="000000" w:themeColor="text1"/>
          <w:sz w:val="20"/>
          <w:szCs w:val="20"/>
          <w:lang w:val="en-US"/>
        </w:rPr>
        <w:t xml:space="preserve">, </w:t>
      </w:r>
      <w:r w:rsidRPr="00B75B12">
        <w:rPr>
          <w:rFonts w:ascii="Verdana" w:eastAsiaTheme="minorHAnsi" w:hAnsi="Verdana" w:cs="Times New Roman"/>
          <w:color w:val="000000" w:themeColor="text1"/>
          <w:sz w:val="20"/>
          <w:szCs w:val="20"/>
          <w:lang w:val="en-US"/>
        </w:rPr>
        <w:t>1</w:t>
      </w:r>
      <w:r w:rsidR="00B017EB">
        <w:rPr>
          <w:rFonts w:ascii="Verdana" w:eastAsiaTheme="minorHAnsi" w:hAnsi="Verdana" w:cs="Times New Roman"/>
          <w:color w:val="000000" w:themeColor="text1"/>
          <w:sz w:val="20"/>
          <w:szCs w:val="20"/>
          <w:lang w:val="en-US"/>
        </w:rPr>
        <w:t>2</w:t>
      </w:r>
      <w:r w:rsidRPr="00B75B12">
        <w:rPr>
          <w:rFonts w:ascii="Verdana" w:eastAsiaTheme="minorHAnsi" w:hAnsi="Verdana" w:cs="Times New Roman"/>
          <w:color w:val="000000" w:themeColor="text1"/>
          <w:sz w:val="20"/>
          <w:szCs w:val="20"/>
          <w:lang w:val="en-US"/>
        </w:rPr>
        <w:t xml:space="preserve">% </w:t>
      </w:r>
      <w:r w:rsidR="00087637">
        <w:rPr>
          <w:rFonts w:ascii="Verdana" w:eastAsiaTheme="minorHAnsi" w:hAnsi="Verdana" w:cs="Times New Roman"/>
          <w:color w:val="000000" w:themeColor="text1"/>
          <w:sz w:val="20"/>
          <w:szCs w:val="20"/>
          <w:lang w:val="en-US"/>
        </w:rPr>
        <w:t xml:space="preserve">to </w:t>
      </w:r>
      <w:r w:rsidRPr="00B75B12">
        <w:rPr>
          <w:rFonts w:ascii="Verdana" w:eastAsiaTheme="minorHAnsi" w:hAnsi="Verdana" w:cs="Times New Roman"/>
          <w:color w:val="000000" w:themeColor="text1"/>
          <w:sz w:val="20"/>
          <w:szCs w:val="20"/>
          <w:lang w:val="en-US"/>
        </w:rPr>
        <w:t>the Cayman Islands</w:t>
      </w:r>
      <w:r w:rsidR="00B017EB">
        <w:rPr>
          <w:rFonts w:ascii="Verdana" w:eastAsiaTheme="minorHAnsi" w:hAnsi="Verdana" w:cs="Times New Roman"/>
          <w:color w:val="000000" w:themeColor="text1"/>
          <w:sz w:val="20"/>
          <w:szCs w:val="20"/>
          <w:lang w:val="en-US"/>
        </w:rPr>
        <w:t>, 7% to Canada, 5% to Hong Kong, 4% to Singapore, 3% to Luxembourg and 1</w:t>
      </w:r>
      <w:r w:rsidR="001978E9">
        <w:rPr>
          <w:rFonts w:ascii="Verdana" w:eastAsiaTheme="minorHAnsi" w:hAnsi="Verdana" w:cs="Times New Roman"/>
          <w:color w:val="000000" w:themeColor="text1"/>
          <w:sz w:val="20"/>
          <w:szCs w:val="20"/>
          <w:lang w:val="en-US"/>
        </w:rPr>
        <w:t>8</w:t>
      </w:r>
      <w:r w:rsidR="00B017EB">
        <w:rPr>
          <w:rFonts w:ascii="Verdana" w:eastAsiaTheme="minorHAnsi" w:hAnsi="Verdana" w:cs="Times New Roman"/>
          <w:color w:val="000000" w:themeColor="text1"/>
          <w:sz w:val="20"/>
          <w:szCs w:val="20"/>
          <w:lang w:val="en-US"/>
        </w:rPr>
        <w:t>% are in other non-high risks countries</w:t>
      </w:r>
      <w:r w:rsidRPr="00B75B12">
        <w:rPr>
          <w:rFonts w:ascii="Verdana" w:eastAsiaTheme="minorHAnsi" w:hAnsi="Verdana" w:cs="Times New Roman"/>
          <w:color w:val="000000" w:themeColor="text1"/>
          <w:sz w:val="20"/>
          <w:szCs w:val="20"/>
          <w:lang w:val="en-US"/>
        </w:rPr>
        <w:t>.  Of note, 1</w:t>
      </w:r>
      <w:r w:rsidR="00B017EB">
        <w:rPr>
          <w:rFonts w:ascii="Verdana" w:eastAsiaTheme="minorHAnsi" w:hAnsi="Verdana" w:cs="Times New Roman"/>
          <w:color w:val="000000" w:themeColor="text1"/>
          <w:sz w:val="20"/>
          <w:szCs w:val="20"/>
          <w:lang w:val="en-US"/>
        </w:rPr>
        <w:t>2</w:t>
      </w:r>
      <w:r w:rsidRPr="00B75B12">
        <w:rPr>
          <w:rFonts w:ascii="Verdana" w:eastAsiaTheme="minorHAnsi" w:hAnsi="Verdana" w:cs="Times New Roman"/>
          <w:color w:val="000000" w:themeColor="text1"/>
          <w:sz w:val="20"/>
          <w:szCs w:val="20"/>
          <w:lang w:val="en-US"/>
        </w:rPr>
        <w:t>% are outsourced to high risk countries.</w:t>
      </w:r>
    </w:p>
    <w:p w14:paraId="36294FB0" w14:textId="77777777" w:rsidR="009E07D7" w:rsidRPr="00B75B12" w:rsidRDefault="009E07D7" w:rsidP="00B75B12">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2CF63107" w14:textId="1C331C7E" w:rsidR="0088202D" w:rsidRPr="00B75B12" w:rsidRDefault="00F97701"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Pr>
          <w:rFonts w:ascii="Verdana" w:eastAsiaTheme="minorHAnsi" w:hAnsi="Verdana" w:cs="Times New Roman"/>
          <w:color w:val="000000" w:themeColor="text1"/>
          <w:sz w:val="20"/>
          <w:szCs w:val="20"/>
          <w:lang w:val="en-US"/>
        </w:rPr>
        <w:t>Specific to the outsourcing of AML compliance service</w:t>
      </w:r>
      <w:r w:rsidR="009E07D7" w:rsidRPr="00B75B12">
        <w:rPr>
          <w:rFonts w:ascii="Verdana" w:eastAsiaTheme="minorHAnsi" w:hAnsi="Verdana" w:cs="Times New Roman"/>
          <w:color w:val="000000" w:themeColor="text1"/>
          <w:sz w:val="20"/>
          <w:szCs w:val="20"/>
          <w:lang w:val="en-US"/>
        </w:rPr>
        <w:t xml:space="preserve">, </w:t>
      </w:r>
      <w:r w:rsidR="000B50DF">
        <w:rPr>
          <w:rFonts w:ascii="Verdana" w:eastAsiaTheme="minorHAnsi" w:hAnsi="Verdana" w:cs="Times New Roman"/>
          <w:color w:val="000000" w:themeColor="text1"/>
          <w:sz w:val="20"/>
          <w:szCs w:val="20"/>
          <w:lang w:val="en-US"/>
        </w:rPr>
        <w:t>34</w:t>
      </w:r>
      <w:r w:rsidR="009E07D7" w:rsidRPr="00B75B12">
        <w:rPr>
          <w:rFonts w:ascii="Verdana" w:eastAsiaTheme="minorHAnsi" w:hAnsi="Verdana" w:cs="Times New Roman"/>
          <w:color w:val="000000" w:themeColor="text1"/>
          <w:sz w:val="20"/>
          <w:szCs w:val="20"/>
          <w:lang w:val="en-US"/>
        </w:rPr>
        <w:t xml:space="preserve">% of the </w:t>
      </w:r>
      <w:r>
        <w:rPr>
          <w:rFonts w:ascii="Verdana" w:eastAsiaTheme="minorHAnsi" w:hAnsi="Verdana" w:cs="Times New Roman"/>
          <w:color w:val="000000" w:themeColor="text1"/>
          <w:sz w:val="20"/>
          <w:szCs w:val="20"/>
          <w:lang w:val="en-US"/>
        </w:rPr>
        <w:t xml:space="preserve">mutual fund administrators </w:t>
      </w:r>
      <w:r w:rsidR="009E07D7" w:rsidRPr="00B75B12">
        <w:rPr>
          <w:rFonts w:ascii="Verdana" w:eastAsiaTheme="minorHAnsi" w:hAnsi="Verdana" w:cs="Times New Roman"/>
          <w:color w:val="000000" w:themeColor="text1"/>
          <w:sz w:val="20"/>
          <w:szCs w:val="20"/>
          <w:lang w:val="en-US"/>
        </w:rPr>
        <w:t>outsourced their</w:t>
      </w:r>
      <w:r w:rsidR="007E202D" w:rsidRPr="00B75B12">
        <w:rPr>
          <w:rFonts w:ascii="Verdana" w:eastAsiaTheme="minorHAnsi" w:hAnsi="Verdana" w:cs="Times New Roman"/>
          <w:color w:val="000000" w:themeColor="text1"/>
          <w:sz w:val="20"/>
          <w:szCs w:val="20"/>
          <w:lang w:val="en-US"/>
        </w:rPr>
        <w:t xml:space="preserve"> AML</w:t>
      </w:r>
      <w:r w:rsidR="00AC7AFE">
        <w:rPr>
          <w:rFonts w:ascii="Verdana" w:eastAsiaTheme="minorHAnsi" w:hAnsi="Verdana" w:cs="Times New Roman"/>
          <w:color w:val="000000" w:themeColor="text1"/>
          <w:sz w:val="20"/>
          <w:szCs w:val="20"/>
          <w:lang w:val="en-US"/>
        </w:rPr>
        <w:t>/CFT</w:t>
      </w:r>
      <w:r w:rsidR="007E202D" w:rsidRPr="00B75B12">
        <w:rPr>
          <w:rFonts w:ascii="Verdana" w:eastAsiaTheme="minorHAnsi" w:hAnsi="Verdana" w:cs="Times New Roman"/>
          <w:color w:val="000000" w:themeColor="text1"/>
          <w:sz w:val="20"/>
          <w:szCs w:val="20"/>
          <w:lang w:val="en-US"/>
        </w:rPr>
        <w:t xml:space="preserve"> functions </w:t>
      </w:r>
      <w:r w:rsidR="0088202D" w:rsidRPr="00B75B12">
        <w:rPr>
          <w:rFonts w:ascii="Verdana" w:eastAsiaTheme="minorHAnsi" w:hAnsi="Verdana" w:cs="Times New Roman"/>
          <w:color w:val="000000" w:themeColor="text1"/>
          <w:sz w:val="20"/>
          <w:szCs w:val="20"/>
          <w:lang w:val="en-US"/>
        </w:rPr>
        <w:t>to the United States (</w:t>
      </w:r>
      <w:r w:rsidR="007E202D" w:rsidRPr="00B75B12">
        <w:rPr>
          <w:rFonts w:ascii="Verdana" w:eastAsiaTheme="minorHAnsi" w:hAnsi="Verdana" w:cs="Times New Roman"/>
          <w:color w:val="000000" w:themeColor="text1"/>
          <w:sz w:val="20"/>
          <w:szCs w:val="20"/>
          <w:lang w:val="en-US"/>
        </w:rPr>
        <w:t>13</w:t>
      </w:r>
      <w:r w:rsidR="0088202D" w:rsidRPr="00B75B12">
        <w:rPr>
          <w:rFonts w:ascii="Verdana" w:eastAsiaTheme="minorHAnsi" w:hAnsi="Verdana" w:cs="Times New Roman"/>
          <w:color w:val="000000" w:themeColor="text1"/>
          <w:sz w:val="20"/>
          <w:szCs w:val="20"/>
          <w:lang w:val="en-US"/>
        </w:rPr>
        <w:t xml:space="preserve">%) and </w:t>
      </w:r>
      <w:r w:rsidR="007E202D" w:rsidRPr="00B75B12">
        <w:rPr>
          <w:rFonts w:ascii="Verdana" w:eastAsiaTheme="minorHAnsi" w:hAnsi="Verdana" w:cs="Times New Roman"/>
          <w:color w:val="000000" w:themeColor="text1"/>
          <w:sz w:val="20"/>
          <w:szCs w:val="20"/>
          <w:lang w:val="en-US"/>
        </w:rPr>
        <w:t xml:space="preserve">UK </w:t>
      </w:r>
      <w:r w:rsidR="00363CD3">
        <w:rPr>
          <w:rFonts w:ascii="Verdana" w:eastAsiaTheme="minorHAnsi" w:hAnsi="Verdana" w:cs="Times New Roman"/>
          <w:color w:val="000000" w:themeColor="text1"/>
          <w:sz w:val="20"/>
          <w:szCs w:val="20"/>
          <w:lang w:val="en-US"/>
        </w:rPr>
        <w:t>and</w:t>
      </w:r>
      <w:r w:rsidR="00363CD3" w:rsidRPr="00B75B12">
        <w:rPr>
          <w:rFonts w:ascii="Verdana" w:eastAsiaTheme="minorHAnsi" w:hAnsi="Verdana" w:cs="Times New Roman"/>
          <w:color w:val="000000" w:themeColor="text1"/>
          <w:sz w:val="20"/>
          <w:szCs w:val="20"/>
          <w:lang w:val="en-US"/>
        </w:rPr>
        <w:t xml:space="preserve"> </w:t>
      </w:r>
      <w:r w:rsidR="0088202D" w:rsidRPr="00B75B12">
        <w:rPr>
          <w:rFonts w:ascii="Verdana" w:eastAsiaTheme="minorHAnsi" w:hAnsi="Verdana" w:cs="Times New Roman"/>
          <w:color w:val="000000" w:themeColor="text1"/>
          <w:sz w:val="20"/>
          <w:szCs w:val="20"/>
          <w:lang w:val="en-US"/>
        </w:rPr>
        <w:t>Ireland (21%)</w:t>
      </w:r>
      <w:r w:rsidR="00363CD3">
        <w:rPr>
          <w:rFonts w:ascii="Verdana" w:eastAsiaTheme="minorHAnsi" w:hAnsi="Verdana" w:cs="Times New Roman"/>
          <w:color w:val="000000" w:themeColor="text1"/>
          <w:sz w:val="20"/>
          <w:szCs w:val="20"/>
          <w:lang w:val="en-US"/>
        </w:rPr>
        <w:t>. The</w:t>
      </w:r>
      <w:r w:rsidR="007E202D" w:rsidRPr="00B75B12">
        <w:rPr>
          <w:rFonts w:ascii="Verdana" w:eastAsiaTheme="minorHAnsi" w:hAnsi="Verdana" w:cs="Times New Roman"/>
          <w:color w:val="000000" w:themeColor="text1"/>
          <w:sz w:val="20"/>
          <w:szCs w:val="20"/>
          <w:lang w:val="en-US"/>
        </w:rPr>
        <w:t xml:space="preserve"> Cayman Island</w:t>
      </w:r>
      <w:r w:rsidR="00363CD3">
        <w:rPr>
          <w:rFonts w:ascii="Verdana" w:eastAsiaTheme="minorHAnsi" w:hAnsi="Verdana" w:cs="Times New Roman"/>
          <w:color w:val="000000" w:themeColor="text1"/>
          <w:sz w:val="20"/>
          <w:szCs w:val="20"/>
          <w:lang w:val="en-US"/>
        </w:rPr>
        <w:t>s</w:t>
      </w:r>
      <w:r w:rsidR="007E202D" w:rsidRPr="00B75B12">
        <w:rPr>
          <w:rFonts w:ascii="Verdana" w:eastAsiaTheme="minorHAnsi" w:hAnsi="Verdana" w:cs="Times New Roman"/>
          <w:color w:val="000000" w:themeColor="text1"/>
          <w:sz w:val="20"/>
          <w:szCs w:val="20"/>
          <w:lang w:val="en-US"/>
        </w:rPr>
        <w:t xml:space="preserve"> and Hong Kong </w:t>
      </w:r>
      <w:r w:rsidR="00363CD3">
        <w:rPr>
          <w:rFonts w:ascii="Verdana" w:eastAsiaTheme="minorHAnsi" w:hAnsi="Verdana" w:cs="Times New Roman"/>
          <w:color w:val="000000" w:themeColor="text1"/>
          <w:sz w:val="20"/>
          <w:szCs w:val="20"/>
          <w:lang w:val="en-US"/>
        </w:rPr>
        <w:t>comprised</w:t>
      </w:r>
      <w:r w:rsidR="00363CD3" w:rsidRPr="00B75B12">
        <w:rPr>
          <w:rFonts w:ascii="Verdana" w:eastAsiaTheme="minorHAnsi" w:hAnsi="Verdana" w:cs="Times New Roman"/>
          <w:color w:val="000000" w:themeColor="text1"/>
          <w:sz w:val="20"/>
          <w:szCs w:val="20"/>
          <w:lang w:val="en-US"/>
        </w:rPr>
        <w:t xml:space="preserve"> </w:t>
      </w:r>
      <w:r w:rsidR="007E202D" w:rsidRPr="00B75B12">
        <w:rPr>
          <w:rFonts w:ascii="Verdana" w:eastAsiaTheme="minorHAnsi" w:hAnsi="Verdana" w:cs="Times New Roman"/>
          <w:color w:val="000000" w:themeColor="text1"/>
          <w:sz w:val="20"/>
          <w:szCs w:val="20"/>
          <w:lang w:val="en-US"/>
        </w:rPr>
        <w:t>9%</w:t>
      </w:r>
      <w:r w:rsidR="00363CD3">
        <w:rPr>
          <w:rFonts w:ascii="Verdana" w:eastAsiaTheme="minorHAnsi" w:hAnsi="Verdana" w:cs="Times New Roman"/>
          <w:color w:val="000000" w:themeColor="text1"/>
          <w:sz w:val="20"/>
          <w:szCs w:val="20"/>
          <w:lang w:val="en-US"/>
        </w:rPr>
        <w:t xml:space="preserve"> of such outsourcing arrangements with</w:t>
      </w:r>
      <w:r w:rsidR="007E202D" w:rsidRPr="00B75B12">
        <w:rPr>
          <w:rFonts w:ascii="Verdana" w:eastAsiaTheme="minorHAnsi" w:hAnsi="Verdana" w:cs="Times New Roman"/>
          <w:color w:val="000000" w:themeColor="text1"/>
          <w:sz w:val="20"/>
          <w:szCs w:val="20"/>
          <w:lang w:val="en-US"/>
        </w:rPr>
        <w:t xml:space="preserve"> Canada</w:t>
      </w:r>
      <w:r w:rsidR="000B50DF">
        <w:rPr>
          <w:rFonts w:ascii="Verdana" w:eastAsiaTheme="minorHAnsi" w:hAnsi="Verdana" w:cs="Times New Roman"/>
          <w:color w:val="000000" w:themeColor="text1"/>
          <w:sz w:val="20"/>
          <w:szCs w:val="20"/>
          <w:lang w:val="en-US"/>
        </w:rPr>
        <w:t xml:space="preserve">, </w:t>
      </w:r>
      <w:r w:rsidR="007E202D" w:rsidRPr="00B75B12">
        <w:rPr>
          <w:rFonts w:ascii="Verdana" w:eastAsiaTheme="minorHAnsi" w:hAnsi="Verdana" w:cs="Times New Roman"/>
          <w:color w:val="000000" w:themeColor="text1"/>
          <w:sz w:val="20"/>
          <w:szCs w:val="20"/>
          <w:lang w:val="en-US"/>
        </w:rPr>
        <w:t>Singapore</w:t>
      </w:r>
      <w:r w:rsidR="000B50DF">
        <w:rPr>
          <w:rFonts w:ascii="Verdana" w:eastAsiaTheme="minorHAnsi" w:hAnsi="Verdana" w:cs="Times New Roman"/>
          <w:color w:val="000000" w:themeColor="text1"/>
          <w:sz w:val="20"/>
          <w:szCs w:val="20"/>
          <w:lang w:val="en-US"/>
        </w:rPr>
        <w:t xml:space="preserve"> and India</w:t>
      </w:r>
      <w:r w:rsidR="00363CD3">
        <w:rPr>
          <w:rFonts w:ascii="Verdana" w:eastAsiaTheme="minorHAnsi" w:hAnsi="Verdana" w:cs="Times New Roman"/>
          <w:color w:val="000000" w:themeColor="text1"/>
          <w:sz w:val="20"/>
          <w:szCs w:val="20"/>
          <w:lang w:val="en-US"/>
        </w:rPr>
        <w:t xml:space="preserve"> at</w:t>
      </w:r>
      <w:r w:rsidR="007E202D" w:rsidRPr="00B75B12">
        <w:rPr>
          <w:rFonts w:ascii="Verdana" w:eastAsiaTheme="minorHAnsi" w:hAnsi="Verdana" w:cs="Times New Roman"/>
          <w:color w:val="000000" w:themeColor="text1"/>
          <w:sz w:val="20"/>
          <w:szCs w:val="20"/>
          <w:lang w:val="en-US"/>
        </w:rPr>
        <w:t xml:space="preserve"> 7%</w:t>
      </w:r>
      <w:r w:rsidR="000B50DF">
        <w:rPr>
          <w:rFonts w:ascii="Verdana" w:eastAsiaTheme="minorHAnsi" w:hAnsi="Verdana" w:cs="Times New Roman"/>
          <w:color w:val="000000" w:themeColor="text1"/>
          <w:sz w:val="20"/>
          <w:szCs w:val="20"/>
          <w:lang w:val="en-US"/>
        </w:rPr>
        <w:t xml:space="preserve"> and 10% in other non-high risks countries</w:t>
      </w:r>
      <w:r w:rsidR="00363CD3">
        <w:rPr>
          <w:rFonts w:ascii="Verdana" w:eastAsiaTheme="minorHAnsi" w:hAnsi="Verdana" w:cs="Times New Roman"/>
          <w:color w:val="000000" w:themeColor="text1"/>
          <w:sz w:val="20"/>
          <w:szCs w:val="20"/>
          <w:lang w:val="en-US"/>
        </w:rPr>
        <w:t xml:space="preserve">. </w:t>
      </w:r>
      <w:r w:rsidR="007E202D" w:rsidRPr="00B75B12">
        <w:rPr>
          <w:rFonts w:ascii="Verdana" w:eastAsiaTheme="minorHAnsi" w:hAnsi="Verdana" w:cs="Times New Roman"/>
          <w:color w:val="000000" w:themeColor="text1"/>
          <w:sz w:val="20"/>
          <w:szCs w:val="20"/>
          <w:lang w:val="en-US"/>
        </w:rPr>
        <w:t xml:space="preserve">However, 17% </w:t>
      </w:r>
      <w:r w:rsidR="00363CD3">
        <w:rPr>
          <w:rFonts w:ascii="Verdana" w:eastAsiaTheme="minorHAnsi" w:hAnsi="Verdana" w:cs="Times New Roman"/>
          <w:color w:val="000000" w:themeColor="text1"/>
          <w:sz w:val="20"/>
          <w:szCs w:val="20"/>
          <w:lang w:val="en-US"/>
        </w:rPr>
        <w:t xml:space="preserve">of such outsourcing was </w:t>
      </w:r>
      <w:r w:rsidR="007E202D" w:rsidRPr="00B75B12">
        <w:rPr>
          <w:rFonts w:ascii="Verdana" w:eastAsiaTheme="minorHAnsi" w:hAnsi="Verdana" w:cs="Times New Roman"/>
          <w:color w:val="000000" w:themeColor="text1"/>
          <w:sz w:val="20"/>
          <w:szCs w:val="20"/>
          <w:lang w:val="en-US"/>
        </w:rPr>
        <w:t xml:space="preserve">to high risk </w:t>
      </w:r>
      <w:r w:rsidR="00EF6E7D">
        <w:rPr>
          <w:rFonts w:ascii="Verdana" w:eastAsiaTheme="minorHAnsi" w:hAnsi="Verdana" w:cs="Times New Roman"/>
          <w:color w:val="000000" w:themeColor="text1"/>
          <w:sz w:val="20"/>
          <w:szCs w:val="20"/>
          <w:lang w:val="en-US"/>
        </w:rPr>
        <w:t>countries</w:t>
      </w:r>
      <w:r w:rsidR="007E202D" w:rsidRPr="00B75B12">
        <w:rPr>
          <w:rFonts w:ascii="Verdana" w:eastAsiaTheme="minorHAnsi" w:hAnsi="Verdana" w:cs="Times New Roman"/>
          <w:color w:val="000000" w:themeColor="text1"/>
          <w:sz w:val="20"/>
          <w:szCs w:val="20"/>
          <w:lang w:val="en-US"/>
        </w:rPr>
        <w:t>.</w:t>
      </w:r>
    </w:p>
    <w:p w14:paraId="758B3947" w14:textId="77777777" w:rsidR="009E07D7" w:rsidRPr="00B75B12" w:rsidRDefault="009E07D7" w:rsidP="00B75B12">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214A9B42" w14:textId="504C5212" w:rsidR="008E35AD" w:rsidRPr="00B75B12" w:rsidRDefault="008E35AD"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75B12">
        <w:rPr>
          <w:rFonts w:ascii="Verdana" w:eastAsiaTheme="minorHAnsi" w:hAnsi="Verdana" w:cs="Times New Roman"/>
          <w:color w:val="000000" w:themeColor="text1"/>
          <w:sz w:val="20"/>
          <w:szCs w:val="20"/>
          <w:lang w:val="en-US"/>
        </w:rPr>
        <w:t>Approximately 70% of the value and volume of transactions</w:t>
      </w:r>
      <w:r w:rsidR="00601247" w:rsidRPr="00B75B12">
        <w:rPr>
          <w:rFonts w:ascii="Verdana" w:eastAsiaTheme="minorHAnsi" w:hAnsi="Verdana" w:cs="Times New Roman"/>
          <w:color w:val="000000" w:themeColor="text1"/>
          <w:sz w:val="20"/>
          <w:szCs w:val="20"/>
          <w:lang w:val="en-US"/>
        </w:rPr>
        <w:t>, mainly subscriptions and redemptions</w:t>
      </w:r>
      <w:r w:rsidR="00363CD3">
        <w:rPr>
          <w:rFonts w:ascii="Verdana" w:eastAsiaTheme="minorHAnsi" w:hAnsi="Verdana" w:cs="Times New Roman"/>
          <w:color w:val="000000" w:themeColor="text1"/>
          <w:sz w:val="20"/>
          <w:szCs w:val="20"/>
          <w:lang w:val="en-US"/>
        </w:rPr>
        <w:t>,</w:t>
      </w:r>
      <w:r w:rsidRPr="00B75B12">
        <w:rPr>
          <w:rFonts w:ascii="Verdana" w:eastAsiaTheme="minorHAnsi" w:hAnsi="Verdana" w:cs="Times New Roman"/>
          <w:color w:val="000000" w:themeColor="text1"/>
          <w:sz w:val="20"/>
          <w:szCs w:val="20"/>
          <w:lang w:val="en-US"/>
        </w:rPr>
        <w:t xml:space="preserve"> are with the </w:t>
      </w:r>
      <w:r w:rsidR="00601247" w:rsidRPr="00B75B12">
        <w:rPr>
          <w:rFonts w:ascii="Verdana" w:eastAsiaTheme="minorHAnsi" w:hAnsi="Verdana" w:cs="Times New Roman"/>
          <w:color w:val="000000" w:themeColor="text1"/>
          <w:sz w:val="20"/>
          <w:szCs w:val="20"/>
          <w:lang w:val="en-US"/>
        </w:rPr>
        <w:t>Cayman Islands</w:t>
      </w:r>
      <w:r w:rsidRPr="00B75B12">
        <w:rPr>
          <w:rFonts w:ascii="Verdana" w:eastAsiaTheme="minorHAnsi" w:hAnsi="Verdana" w:cs="Times New Roman"/>
          <w:color w:val="000000" w:themeColor="text1"/>
          <w:sz w:val="20"/>
          <w:szCs w:val="20"/>
          <w:lang w:val="en-US"/>
        </w:rPr>
        <w:t xml:space="preserve"> (20%) United States (32%) and Japan (18%)</w:t>
      </w:r>
      <w:r w:rsidR="00601247" w:rsidRPr="00B75B12">
        <w:rPr>
          <w:rFonts w:ascii="Verdana" w:eastAsiaTheme="minorHAnsi" w:hAnsi="Verdana" w:cs="Times New Roman"/>
          <w:color w:val="000000" w:themeColor="text1"/>
          <w:sz w:val="20"/>
          <w:szCs w:val="20"/>
          <w:lang w:val="en-US"/>
        </w:rPr>
        <w:t>.</w:t>
      </w:r>
    </w:p>
    <w:p w14:paraId="44CA3353" w14:textId="77777777" w:rsidR="00070621" w:rsidRDefault="00070621" w:rsidP="00070621">
      <w:pPr>
        <w:jc w:val="both"/>
        <w:rPr>
          <w:rFonts w:ascii="Verdana" w:hAnsi="Verdana"/>
        </w:rPr>
      </w:pPr>
    </w:p>
    <w:p w14:paraId="5A3F8FFD" w14:textId="77777777" w:rsidR="00070621" w:rsidRPr="006918C9" w:rsidRDefault="00070621" w:rsidP="00070621">
      <w:pPr>
        <w:rPr>
          <w:rFonts w:ascii="Verdana" w:eastAsiaTheme="majorEastAsia" w:hAnsi="Verdana" w:cstheme="majorBidi"/>
          <w:b/>
          <w:spacing w:val="5"/>
          <w:kern w:val="28"/>
        </w:rPr>
      </w:pPr>
      <w:r w:rsidRPr="00D83871">
        <w:rPr>
          <w:rFonts w:ascii="Verdana" w:eastAsiaTheme="majorEastAsia" w:hAnsi="Verdana" w:cstheme="majorBidi"/>
          <w:b/>
          <w:spacing w:val="5"/>
          <w:kern w:val="28"/>
        </w:rPr>
        <w:t xml:space="preserve">Conclusion for Risk Category </w:t>
      </w:r>
      <w:r w:rsidRPr="006918C9">
        <w:rPr>
          <w:rFonts w:ascii="Verdana" w:eastAsiaTheme="majorEastAsia" w:hAnsi="Verdana" w:cstheme="majorBidi"/>
          <w:b/>
          <w:spacing w:val="5"/>
          <w:kern w:val="28"/>
        </w:rPr>
        <w:t>Geographic Risk</w:t>
      </w:r>
    </w:p>
    <w:p w14:paraId="66DF12C3" w14:textId="77777777" w:rsidR="00701C47" w:rsidRDefault="00701C47" w:rsidP="00751637">
      <w:pPr>
        <w:jc w:val="both"/>
        <w:rPr>
          <w:rFonts w:ascii="Verdana" w:hAnsi="Verdana"/>
        </w:rPr>
      </w:pPr>
    </w:p>
    <w:p w14:paraId="09400D5E" w14:textId="1D4A0B12" w:rsidR="00070621" w:rsidRPr="00B75B12" w:rsidRDefault="00F863D0"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Pr>
          <w:rFonts w:ascii="Verdana" w:eastAsiaTheme="minorHAnsi" w:hAnsi="Verdana" w:cs="Times New Roman"/>
          <w:color w:val="000000" w:themeColor="text1"/>
          <w:sz w:val="20"/>
          <w:szCs w:val="20"/>
          <w:lang w:val="en-US"/>
        </w:rPr>
        <w:t xml:space="preserve">Although the data shows </w:t>
      </w:r>
      <w:r w:rsidR="00F775BB">
        <w:rPr>
          <w:rFonts w:ascii="Verdana" w:eastAsiaTheme="minorHAnsi" w:hAnsi="Verdana" w:cs="Times New Roman"/>
          <w:color w:val="000000" w:themeColor="text1"/>
          <w:sz w:val="20"/>
          <w:szCs w:val="20"/>
          <w:lang w:val="en-US"/>
        </w:rPr>
        <w:t xml:space="preserve">that </w:t>
      </w:r>
      <w:r>
        <w:rPr>
          <w:rFonts w:ascii="Verdana" w:eastAsiaTheme="minorHAnsi" w:hAnsi="Verdana" w:cs="Times New Roman"/>
          <w:color w:val="000000" w:themeColor="text1"/>
          <w:sz w:val="20"/>
          <w:szCs w:val="20"/>
          <w:lang w:val="en-US"/>
        </w:rPr>
        <w:t>the mutual funds administrators provid</w:t>
      </w:r>
      <w:r w:rsidR="00F775BB">
        <w:rPr>
          <w:rFonts w:ascii="Verdana" w:eastAsiaTheme="minorHAnsi" w:hAnsi="Verdana" w:cs="Times New Roman"/>
          <w:color w:val="000000" w:themeColor="text1"/>
          <w:sz w:val="20"/>
          <w:szCs w:val="20"/>
          <w:lang w:val="en-US"/>
        </w:rPr>
        <w:t>e</w:t>
      </w:r>
      <w:r>
        <w:rPr>
          <w:rFonts w:ascii="Verdana" w:eastAsiaTheme="minorHAnsi" w:hAnsi="Verdana" w:cs="Times New Roman"/>
          <w:color w:val="000000" w:themeColor="text1"/>
          <w:sz w:val="20"/>
          <w:szCs w:val="20"/>
          <w:lang w:val="en-US"/>
        </w:rPr>
        <w:t xml:space="preserve"> services to a high percentage of unregulated funds, a significant portion of these unregulated funds are incorporated either in the Cayman Islands or in a country with </w:t>
      </w:r>
      <w:r w:rsidR="00F775BB">
        <w:rPr>
          <w:rFonts w:ascii="Verdana" w:eastAsiaTheme="minorHAnsi" w:hAnsi="Verdana" w:cs="Times New Roman"/>
          <w:color w:val="000000" w:themeColor="text1"/>
          <w:sz w:val="20"/>
          <w:szCs w:val="20"/>
          <w:lang w:val="en-US"/>
        </w:rPr>
        <w:t xml:space="preserve">an </w:t>
      </w:r>
      <w:r>
        <w:rPr>
          <w:rFonts w:ascii="Verdana" w:eastAsiaTheme="minorHAnsi" w:hAnsi="Verdana" w:cs="Times New Roman"/>
          <w:color w:val="000000" w:themeColor="text1"/>
          <w:sz w:val="20"/>
          <w:szCs w:val="20"/>
          <w:lang w:val="en-US"/>
        </w:rPr>
        <w:t xml:space="preserve">equivalent AML/CFT framework.  This is the same for the investors.  While majority of the core services of NAV, </w:t>
      </w:r>
      <w:r>
        <w:rPr>
          <w:rFonts w:ascii="Verdana" w:eastAsiaTheme="minorHAnsi" w:hAnsi="Verdana" w:cs="Times New Roman"/>
          <w:color w:val="000000" w:themeColor="text1"/>
          <w:sz w:val="20"/>
          <w:szCs w:val="20"/>
          <w:lang w:val="en-US"/>
        </w:rPr>
        <w:lastRenderedPageBreak/>
        <w:t xml:space="preserve">RTA and AML/CFT compliance services are also outsourced, it </w:t>
      </w:r>
      <w:r w:rsidR="00F775BB">
        <w:rPr>
          <w:rFonts w:ascii="Verdana" w:eastAsiaTheme="minorHAnsi" w:hAnsi="Verdana" w:cs="Times New Roman"/>
          <w:color w:val="000000" w:themeColor="text1"/>
          <w:sz w:val="20"/>
          <w:szCs w:val="20"/>
          <w:lang w:val="en-US"/>
        </w:rPr>
        <w:t xml:space="preserve">is </w:t>
      </w:r>
      <w:r>
        <w:rPr>
          <w:rFonts w:ascii="Verdana" w:eastAsiaTheme="minorHAnsi" w:hAnsi="Verdana" w:cs="Times New Roman"/>
          <w:color w:val="000000" w:themeColor="text1"/>
          <w:sz w:val="20"/>
          <w:szCs w:val="20"/>
          <w:lang w:val="en-US"/>
        </w:rPr>
        <w:t xml:space="preserve">mainly outsourced to countries with equivalent AML/CFT framework.  There is however 12-17% of the services that are outsourced to high risk countries making it possible for </w:t>
      </w:r>
      <w:r w:rsidR="00751637" w:rsidRPr="00B75B12">
        <w:rPr>
          <w:rFonts w:ascii="Verdana" w:eastAsiaTheme="minorHAnsi" w:hAnsi="Verdana" w:cs="Times New Roman"/>
          <w:color w:val="000000" w:themeColor="text1"/>
          <w:sz w:val="20"/>
          <w:szCs w:val="20"/>
          <w:lang w:val="en-US"/>
        </w:rPr>
        <w:t xml:space="preserve">the risk of money laundering and terrorist financing </w:t>
      </w:r>
      <w:r>
        <w:rPr>
          <w:rFonts w:ascii="Verdana" w:eastAsiaTheme="minorHAnsi" w:hAnsi="Verdana" w:cs="Times New Roman"/>
          <w:color w:val="000000" w:themeColor="text1"/>
          <w:sz w:val="20"/>
          <w:szCs w:val="20"/>
          <w:lang w:val="en-US"/>
        </w:rPr>
        <w:t>to materialize, and a</w:t>
      </w:r>
      <w:r w:rsidR="00751637" w:rsidRPr="00B75B12">
        <w:rPr>
          <w:rFonts w:ascii="Verdana" w:eastAsiaTheme="minorHAnsi" w:hAnsi="Verdana" w:cs="Times New Roman"/>
          <w:color w:val="000000" w:themeColor="text1"/>
          <w:sz w:val="20"/>
          <w:szCs w:val="20"/>
          <w:lang w:val="en-US"/>
        </w:rPr>
        <w:t>s such the overall risk is assessed as Medium-Low.</w:t>
      </w:r>
    </w:p>
    <w:p w14:paraId="17189832" w14:textId="77777777" w:rsidR="00751637" w:rsidRPr="00751637" w:rsidRDefault="00751637" w:rsidP="00070621">
      <w:pPr>
        <w:rPr>
          <w:rFonts w:ascii="Verdana" w:hAnsi="Verdana"/>
        </w:rPr>
      </w:pPr>
    </w:p>
    <w:p w14:paraId="794D797B" w14:textId="168279E9" w:rsidR="00070621" w:rsidRPr="00246331" w:rsidRDefault="00070621" w:rsidP="00070621">
      <w:pPr>
        <w:rPr>
          <w:rFonts w:ascii="Verdana" w:hAnsi="Verdana"/>
          <w:i/>
        </w:rPr>
      </w:pPr>
      <w:r w:rsidRPr="00246331">
        <w:rPr>
          <w:rFonts w:ascii="Verdana" w:hAnsi="Verdana"/>
          <w:i/>
        </w:rPr>
        <w:t xml:space="preserve">Risk rating: </w:t>
      </w:r>
      <w:r w:rsidR="00751637">
        <w:rPr>
          <w:rFonts w:ascii="Verdana" w:hAnsi="Verdana"/>
          <w:i/>
        </w:rPr>
        <w:t>Medium - Low</w:t>
      </w:r>
    </w:p>
    <w:p w14:paraId="1C92BF86" w14:textId="77777777" w:rsidR="00070621" w:rsidRDefault="00070621" w:rsidP="00D83871">
      <w:pPr>
        <w:rPr>
          <w:rFonts w:ascii="Verdana" w:eastAsiaTheme="majorEastAsia" w:hAnsi="Verdana" w:cstheme="majorBidi"/>
          <w:b/>
          <w:spacing w:val="5"/>
          <w:kern w:val="28"/>
        </w:rPr>
      </w:pPr>
    </w:p>
    <w:p w14:paraId="20664D7E" w14:textId="77777777" w:rsidR="0088202D" w:rsidRDefault="0088202D" w:rsidP="00D83871">
      <w:pPr>
        <w:rPr>
          <w:rFonts w:ascii="Verdana" w:eastAsiaTheme="majorEastAsia" w:hAnsi="Verdana" w:cstheme="majorBidi"/>
          <w:b/>
          <w:spacing w:val="5"/>
          <w:kern w:val="28"/>
        </w:rPr>
      </w:pPr>
    </w:p>
    <w:p w14:paraId="6122CFFD" w14:textId="0ABA1939" w:rsidR="00D83871" w:rsidRPr="006918C9" w:rsidRDefault="00D83871" w:rsidP="00D83871">
      <w:pPr>
        <w:rPr>
          <w:rFonts w:ascii="Verdana" w:eastAsiaTheme="majorEastAsia" w:hAnsi="Verdana" w:cstheme="majorBidi"/>
          <w:b/>
          <w:spacing w:val="5"/>
          <w:kern w:val="28"/>
        </w:rPr>
      </w:pPr>
      <w:r>
        <w:rPr>
          <w:rFonts w:ascii="Verdana" w:eastAsiaTheme="majorEastAsia" w:hAnsi="Verdana" w:cstheme="majorBidi"/>
          <w:b/>
          <w:spacing w:val="5"/>
          <w:kern w:val="28"/>
        </w:rPr>
        <w:t xml:space="preserve">Risk Category - </w:t>
      </w:r>
      <w:r w:rsidRPr="006918C9">
        <w:rPr>
          <w:rFonts w:ascii="Verdana" w:eastAsiaTheme="majorEastAsia" w:hAnsi="Verdana" w:cstheme="majorBidi"/>
          <w:b/>
          <w:spacing w:val="5"/>
          <w:kern w:val="28"/>
        </w:rPr>
        <w:t>Types of Customers</w:t>
      </w:r>
    </w:p>
    <w:p w14:paraId="0F91FB19" w14:textId="77777777" w:rsidR="00D83871" w:rsidRPr="006918C9" w:rsidRDefault="00D83871" w:rsidP="00D83871">
      <w:pPr>
        <w:rPr>
          <w:rFonts w:ascii="Verdana" w:eastAsiaTheme="majorEastAsia" w:hAnsi="Verdana" w:cstheme="majorBidi"/>
          <w:color w:val="17365D" w:themeColor="text2" w:themeShade="BF"/>
          <w:spacing w:val="5"/>
          <w:kern w:val="28"/>
        </w:rPr>
      </w:pPr>
    </w:p>
    <w:p w14:paraId="003C2994" w14:textId="5ECE2624" w:rsidR="00143C42" w:rsidRPr="00B75B12" w:rsidRDefault="00D83871"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75B12">
        <w:rPr>
          <w:rFonts w:ascii="Verdana" w:eastAsiaTheme="minorHAnsi" w:hAnsi="Verdana" w:cs="Times New Roman"/>
          <w:color w:val="000000" w:themeColor="text1"/>
          <w:sz w:val="20"/>
          <w:szCs w:val="20"/>
          <w:lang w:val="en-US"/>
        </w:rPr>
        <w:t xml:space="preserve">Customers </w:t>
      </w:r>
      <w:r w:rsidR="00824219" w:rsidRPr="00B75B12">
        <w:rPr>
          <w:rFonts w:ascii="Verdana" w:eastAsiaTheme="minorHAnsi" w:hAnsi="Verdana" w:cs="Times New Roman"/>
          <w:color w:val="000000" w:themeColor="text1"/>
          <w:sz w:val="20"/>
          <w:szCs w:val="20"/>
          <w:lang w:val="en-US"/>
        </w:rPr>
        <w:t>include both funds and investors. 55% and 12% of the fund structures are Cayman incorporated companies and partnerships respectively. A further 13% are U</w:t>
      </w:r>
      <w:r w:rsidR="004A5FA2">
        <w:rPr>
          <w:rFonts w:ascii="Verdana" w:eastAsiaTheme="minorHAnsi" w:hAnsi="Verdana" w:cs="Times New Roman"/>
          <w:color w:val="000000" w:themeColor="text1"/>
          <w:sz w:val="20"/>
          <w:szCs w:val="20"/>
          <w:lang w:val="en-US"/>
        </w:rPr>
        <w:t xml:space="preserve">nited </w:t>
      </w:r>
      <w:r w:rsidR="00824219" w:rsidRPr="00B75B12">
        <w:rPr>
          <w:rFonts w:ascii="Verdana" w:eastAsiaTheme="minorHAnsi" w:hAnsi="Verdana" w:cs="Times New Roman"/>
          <w:color w:val="000000" w:themeColor="text1"/>
          <w:sz w:val="20"/>
          <w:szCs w:val="20"/>
          <w:lang w:val="en-US"/>
        </w:rPr>
        <w:t>S</w:t>
      </w:r>
      <w:r w:rsidR="004A5FA2">
        <w:rPr>
          <w:rFonts w:ascii="Verdana" w:eastAsiaTheme="minorHAnsi" w:hAnsi="Verdana" w:cs="Times New Roman"/>
          <w:color w:val="000000" w:themeColor="text1"/>
          <w:sz w:val="20"/>
          <w:szCs w:val="20"/>
          <w:lang w:val="en-US"/>
        </w:rPr>
        <w:t>tates</w:t>
      </w:r>
      <w:r w:rsidR="00824219" w:rsidRPr="00B75B12">
        <w:rPr>
          <w:rFonts w:ascii="Verdana" w:eastAsiaTheme="minorHAnsi" w:hAnsi="Verdana" w:cs="Times New Roman"/>
          <w:color w:val="000000" w:themeColor="text1"/>
          <w:sz w:val="20"/>
          <w:szCs w:val="20"/>
          <w:lang w:val="en-US"/>
        </w:rPr>
        <w:t xml:space="preserve"> incorporated companies and partnerships.</w:t>
      </w:r>
      <w:r w:rsidR="00600D8F" w:rsidRPr="00B75B12">
        <w:rPr>
          <w:rFonts w:ascii="Verdana" w:eastAsiaTheme="minorHAnsi" w:hAnsi="Verdana" w:cs="Times New Roman"/>
          <w:color w:val="000000" w:themeColor="text1"/>
          <w:sz w:val="20"/>
          <w:szCs w:val="20"/>
          <w:lang w:val="en-US"/>
        </w:rPr>
        <w:t xml:space="preserve"> </w:t>
      </w:r>
      <w:r w:rsidR="00824219" w:rsidRPr="00B75B12">
        <w:rPr>
          <w:rFonts w:ascii="Verdana" w:eastAsiaTheme="minorHAnsi" w:hAnsi="Verdana" w:cs="Times New Roman"/>
          <w:color w:val="000000" w:themeColor="text1"/>
          <w:sz w:val="20"/>
          <w:szCs w:val="20"/>
          <w:lang w:val="en-US"/>
        </w:rPr>
        <w:t xml:space="preserve">In relation to the legal structures for investors into the funds, 72% of the investors are companies, representing 77% of </w:t>
      </w:r>
      <w:r w:rsidR="00E321CD" w:rsidRPr="00B75B12">
        <w:rPr>
          <w:rFonts w:ascii="Verdana" w:eastAsiaTheme="minorHAnsi" w:hAnsi="Verdana" w:cs="Times New Roman"/>
          <w:color w:val="000000" w:themeColor="text1"/>
          <w:sz w:val="20"/>
          <w:szCs w:val="20"/>
          <w:lang w:val="en-US"/>
        </w:rPr>
        <w:t>AU</w:t>
      </w:r>
      <w:r w:rsidR="00E321CD">
        <w:rPr>
          <w:rFonts w:ascii="Verdana" w:eastAsiaTheme="minorHAnsi" w:hAnsi="Verdana" w:cs="Times New Roman"/>
          <w:color w:val="000000" w:themeColor="text1"/>
          <w:sz w:val="20"/>
          <w:szCs w:val="20"/>
          <w:lang w:val="en-US"/>
        </w:rPr>
        <w:t>A</w:t>
      </w:r>
      <w:r w:rsidR="00824219" w:rsidRPr="00B75B12">
        <w:rPr>
          <w:rFonts w:ascii="Verdana" w:eastAsiaTheme="minorHAnsi" w:hAnsi="Verdana" w:cs="Times New Roman"/>
          <w:color w:val="000000" w:themeColor="text1"/>
          <w:sz w:val="20"/>
          <w:szCs w:val="20"/>
          <w:lang w:val="en-US"/>
        </w:rPr>
        <w:t xml:space="preserve">, while 22% are partnerships with 19% of </w:t>
      </w:r>
      <w:r w:rsidR="00E321CD" w:rsidRPr="00B75B12">
        <w:rPr>
          <w:rFonts w:ascii="Verdana" w:eastAsiaTheme="minorHAnsi" w:hAnsi="Verdana" w:cs="Times New Roman"/>
          <w:color w:val="000000" w:themeColor="text1"/>
          <w:sz w:val="20"/>
          <w:szCs w:val="20"/>
          <w:lang w:val="en-US"/>
        </w:rPr>
        <w:t>AU</w:t>
      </w:r>
      <w:r w:rsidR="00E321CD">
        <w:rPr>
          <w:rFonts w:ascii="Verdana" w:eastAsiaTheme="minorHAnsi" w:hAnsi="Verdana" w:cs="Times New Roman"/>
          <w:color w:val="000000" w:themeColor="text1"/>
          <w:sz w:val="20"/>
          <w:szCs w:val="20"/>
          <w:lang w:val="en-US"/>
        </w:rPr>
        <w:t>A</w:t>
      </w:r>
      <w:r w:rsidR="00824219" w:rsidRPr="00B75B12">
        <w:rPr>
          <w:rFonts w:ascii="Verdana" w:eastAsiaTheme="minorHAnsi" w:hAnsi="Verdana" w:cs="Times New Roman"/>
          <w:color w:val="000000" w:themeColor="text1"/>
          <w:sz w:val="20"/>
          <w:szCs w:val="20"/>
          <w:lang w:val="en-US"/>
        </w:rPr>
        <w:t xml:space="preserve">. </w:t>
      </w:r>
    </w:p>
    <w:p w14:paraId="55724125" w14:textId="77777777" w:rsidR="00143C42" w:rsidRPr="00B75B12" w:rsidRDefault="00143C42" w:rsidP="00B75B12">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0C981251" w14:textId="45866351" w:rsidR="00EB0DB0" w:rsidRDefault="00824219"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75B12">
        <w:rPr>
          <w:rFonts w:ascii="Verdana" w:eastAsiaTheme="minorHAnsi" w:hAnsi="Verdana" w:cs="Times New Roman"/>
          <w:color w:val="000000" w:themeColor="text1"/>
          <w:sz w:val="20"/>
          <w:szCs w:val="20"/>
          <w:lang w:val="en-US"/>
        </w:rPr>
        <w:t xml:space="preserve">44% of </w:t>
      </w:r>
      <w:r w:rsidR="00143C42" w:rsidRPr="00B75B12">
        <w:rPr>
          <w:rFonts w:ascii="Verdana" w:eastAsiaTheme="minorHAnsi" w:hAnsi="Verdana" w:cs="Times New Roman"/>
          <w:color w:val="000000" w:themeColor="text1"/>
          <w:sz w:val="20"/>
          <w:szCs w:val="20"/>
          <w:lang w:val="en-US"/>
        </w:rPr>
        <w:t xml:space="preserve">the </w:t>
      </w:r>
      <w:r w:rsidR="004A5FA2">
        <w:rPr>
          <w:rFonts w:ascii="Verdana" w:eastAsiaTheme="minorHAnsi" w:hAnsi="Verdana" w:cs="Times New Roman"/>
          <w:color w:val="000000" w:themeColor="text1"/>
          <w:sz w:val="20"/>
          <w:szCs w:val="20"/>
          <w:lang w:val="en-US"/>
        </w:rPr>
        <w:t xml:space="preserve">underlying </w:t>
      </w:r>
      <w:r w:rsidRPr="00B75B12">
        <w:rPr>
          <w:rFonts w:ascii="Verdana" w:eastAsiaTheme="minorHAnsi" w:hAnsi="Verdana" w:cs="Times New Roman"/>
          <w:color w:val="000000" w:themeColor="text1"/>
          <w:sz w:val="20"/>
          <w:szCs w:val="20"/>
          <w:lang w:val="en-US"/>
        </w:rPr>
        <w:t xml:space="preserve">investors in these structures </w:t>
      </w:r>
      <w:r w:rsidR="0045694C">
        <w:rPr>
          <w:rFonts w:ascii="Verdana" w:eastAsiaTheme="minorHAnsi" w:hAnsi="Verdana" w:cs="Times New Roman"/>
          <w:color w:val="000000" w:themeColor="text1"/>
          <w:sz w:val="20"/>
          <w:szCs w:val="20"/>
          <w:lang w:val="en-US"/>
        </w:rPr>
        <w:t>(</w:t>
      </w:r>
      <w:r w:rsidR="004A5FA2">
        <w:rPr>
          <w:rFonts w:ascii="Verdana" w:eastAsiaTheme="minorHAnsi" w:hAnsi="Verdana" w:cs="Times New Roman"/>
          <w:color w:val="000000" w:themeColor="text1"/>
          <w:sz w:val="20"/>
          <w:szCs w:val="20"/>
          <w:lang w:val="en-US"/>
        </w:rPr>
        <w:t>corporate</w:t>
      </w:r>
      <w:r w:rsidR="0045694C">
        <w:rPr>
          <w:rFonts w:ascii="Verdana" w:eastAsiaTheme="minorHAnsi" w:hAnsi="Verdana" w:cs="Times New Roman"/>
          <w:color w:val="000000" w:themeColor="text1"/>
          <w:sz w:val="20"/>
          <w:szCs w:val="20"/>
          <w:lang w:val="en-US"/>
        </w:rPr>
        <w:t>, partnerships, and trusts)</w:t>
      </w:r>
      <w:r w:rsidR="004A5FA2">
        <w:rPr>
          <w:rFonts w:ascii="Verdana" w:eastAsiaTheme="minorHAnsi" w:hAnsi="Verdana" w:cs="Times New Roman"/>
          <w:color w:val="000000" w:themeColor="text1"/>
          <w:sz w:val="20"/>
          <w:szCs w:val="20"/>
          <w:lang w:val="en-US"/>
        </w:rPr>
        <w:t xml:space="preserve"> </w:t>
      </w:r>
      <w:r w:rsidRPr="00B75B12">
        <w:rPr>
          <w:rFonts w:ascii="Verdana" w:eastAsiaTheme="minorHAnsi" w:hAnsi="Verdana" w:cs="Times New Roman"/>
          <w:color w:val="000000" w:themeColor="text1"/>
          <w:sz w:val="20"/>
          <w:szCs w:val="20"/>
          <w:lang w:val="en-US"/>
        </w:rPr>
        <w:t>are from the Unites States</w:t>
      </w:r>
      <w:r w:rsidR="00430DBF">
        <w:rPr>
          <w:rFonts w:ascii="Verdana" w:eastAsiaTheme="minorHAnsi" w:hAnsi="Verdana" w:cs="Times New Roman"/>
          <w:color w:val="000000" w:themeColor="text1"/>
          <w:sz w:val="20"/>
          <w:szCs w:val="20"/>
          <w:lang w:val="en-US"/>
        </w:rPr>
        <w:t xml:space="preserve"> </w:t>
      </w:r>
      <w:r w:rsidR="00143C42" w:rsidRPr="00B75B12">
        <w:rPr>
          <w:rFonts w:ascii="Verdana" w:eastAsiaTheme="minorHAnsi" w:hAnsi="Verdana" w:cs="Times New Roman"/>
          <w:color w:val="000000" w:themeColor="text1"/>
          <w:sz w:val="20"/>
          <w:szCs w:val="20"/>
          <w:lang w:val="en-US"/>
        </w:rPr>
        <w:t xml:space="preserve">representing </w:t>
      </w:r>
      <w:r w:rsidRPr="00B75B12">
        <w:rPr>
          <w:rFonts w:ascii="Verdana" w:eastAsiaTheme="minorHAnsi" w:hAnsi="Verdana" w:cs="Times New Roman"/>
          <w:color w:val="000000" w:themeColor="text1"/>
          <w:sz w:val="20"/>
          <w:szCs w:val="20"/>
          <w:lang w:val="en-US"/>
        </w:rPr>
        <w:t xml:space="preserve">35% </w:t>
      </w:r>
      <w:r w:rsidR="00143C42" w:rsidRPr="00B75B12">
        <w:rPr>
          <w:rFonts w:ascii="Verdana" w:eastAsiaTheme="minorHAnsi" w:hAnsi="Verdana" w:cs="Times New Roman"/>
          <w:color w:val="000000" w:themeColor="text1"/>
          <w:sz w:val="20"/>
          <w:szCs w:val="20"/>
          <w:lang w:val="en-US"/>
        </w:rPr>
        <w:t xml:space="preserve">of the </w:t>
      </w:r>
      <w:r w:rsidRPr="00B75B12">
        <w:rPr>
          <w:rFonts w:ascii="Verdana" w:eastAsiaTheme="minorHAnsi" w:hAnsi="Verdana" w:cs="Times New Roman"/>
          <w:color w:val="000000" w:themeColor="text1"/>
          <w:sz w:val="20"/>
          <w:szCs w:val="20"/>
          <w:lang w:val="en-US"/>
        </w:rPr>
        <w:t>AUM, while 8% and 20% of the investors and the</w:t>
      </w:r>
      <w:r w:rsidR="00143C42" w:rsidRPr="00B75B12">
        <w:rPr>
          <w:rFonts w:ascii="Verdana" w:eastAsiaTheme="minorHAnsi" w:hAnsi="Verdana" w:cs="Times New Roman"/>
          <w:color w:val="000000" w:themeColor="text1"/>
          <w:sz w:val="20"/>
          <w:szCs w:val="20"/>
          <w:lang w:val="en-US"/>
        </w:rPr>
        <w:t xml:space="preserve">ir </w:t>
      </w:r>
      <w:r w:rsidRPr="00B75B12">
        <w:rPr>
          <w:rFonts w:ascii="Verdana" w:eastAsiaTheme="minorHAnsi" w:hAnsi="Verdana" w:cs="Times New Roman"/>
          <w:color w:val="000000" w:themeColor="text1"/>
          <w:sz w:val="20"/>
          <w:szCs w:val="20"/>
          <w:lang w:val="en-US"/>
        </w:rPr>
        <w:t>AUM respectively are from the Cayman Islands.</w:t>
      </w:r>
      <w:r w:rsidR="00F54635" w:rsidRPr="00B75B12">
        <w:rPr>
          <w:rFonts w:ascii="Verdana" w:eastAsiaTheme="minorHAnsi" w:hAnsi="Verdana" w:cs="Times New Roman"/>
          <w:color w:val="000000" w:themeColor="text1"/>
          <w:sz w:val="20"/>
          <w:szCs w:val="20"/>
          <w:lang w:val="en-US"/>
        </w:rPr>
        <w:t xml:space="preserve"> </w:t>
      </w:r>
    </w:p>
    <w:p w14:paraId="376D4954" w14:textId="77777777" w:rsidR="00EB0DB0" w:rsidRDefault="00EB0DB0" w:rsidP="00125E84">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5298C4F3" w14:textId="1EFC3B19" w:rsidR="006E7680" w:rsidRDefault="00824219"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75B12">
        <w:rPr>
          <w:rFonts w:ascii="Verdana" w:eastAsiaTheme="minorHAnsi" w:hAnsi="Verdana" w:cs="Times New Roman"/>
          <w:color w:val="000000" w:themeColor="text1"/>
          <w:sz w:val="20"/>
          <w:szCs w:val="20"/>
          <w:lang w:val="en-US"/>
        </w:rPr>
        <w:t xml:space="preserve">Investors </w:t>
      </w:r>
      <w:r w:rsidR="00104B02" w:rsidRPr="00B75B12">
        <w:rPr>
          <w:rFonts w:ascii="Verdana" w:eastAsiaTheme="minorHAnsi" w:hAnsi="Verdana" w:cs="Times New Roman"/>
          <w:color w:val="000000" w:themeColor="text1"/>
          <w:sz w:val="20"/>
          <w:szCs w:val="20"/>
          <w:lang w:val="en-US"/>
        </w:rPr>
        <w:t xml:space="preserve">generally fall within the categories of </w:t>
      </w:r>
      <w:r w:rsidR="006E7680">
        <w:rPr>
          <w:rFonts w:ascii="Verdana" w:eastAsiaTheme="minorHAnsi" w:hAnsi="Verdana" w:cs="Times New Roman"/>
          <w:color w:val="000000" w:themeColor="text1"/>
          <w:sz w:val="20"/>
          <w:szCs w:val="20"/>
          <w:lang w:val="en-US"/>
        </w:rPr>
        <w:t xml:space="preserve">body </w:t>
      </w:r>
      <w:r w:rsidR="00D83871" w:rsidRPr="00B75B12">
        <w:rPr>
          <w:rFonts w:ascii="Verdana" w:eastAsiaTheme="minorHAnsi" w:hAnsi="Verdana" w:cs="Times New Roman"/>
          <w:color w:val="000000" w:themeColor="text1"/>
          <w:sz w:val="20"/>
          <w:szCs w:val="20"/>
          <w:lang w:val="en-US"/>
        </w:rPr>
        <w:t>corporate</w:t>
      </w:r>
      <w:r w:rsidR="006E7680">
        <w:rPr>
          <w:rFonts w:ascii="Verdana" w:eastAsiaTheme="minorHAnsi" w:hAnsi="Verdana" w:cs="Times New Roman"/>
          <w:color w:val="000000" w:themeColor="text1"/>
          <w:sz w:val="20"/>
          <w:szCs w:val="20"/>
          <w:lang w:val="en-US"/>
        </w:rPr>
        <w:t>s</w:t>
      </w:r>
      <w:r w:rsidR="00D83871" w:rsidRPr="00B75B12">
        <w:rPr>
          <w:rFonts w:ascii="Verdana" w:eastAsiaTheme="minorHAnsi" w:hAnsi="Verdana" w:cs="Times New Roman"/>
          <w:color w:val="000000" w:themeColor="text1"/>
          <w:sz w:val="20"/>
          <w:szCs w:val="20"/>
          <w:lang w:val="en-US"/>
        </w:rPr>
        <w:t xml:space="preserve">, </w:t>
      </w:r>
      <w:r w:rsidR="00104B02" w:rsidRPr="00B75B12">
        <w:rPr>
          <w:rFonts w:ascii="Verdana" w:eastAsiaTheme="minorHAnsi" w:hAnsi="Verdana" w:cs="Times New Roman"/>
          <w:color w:val="000000" w:themeColor="text1"/>
          <w:sz w:val="20"/>
          <w:szCs w:val="20"/>
          <w:lang w:val="en-US"/>
        </w:rPr>
        <w:t>individual</w:t>
      </w:r>
      <w:r w:rsidR="00143C42" w:rsidRPr="00B75B12">
        <w:rPr>
          <w:rFonts w:ascii="Verdana" w:eastAsiaTheme="minorHAnsi" w:hAnsi="Verdana" w:cs="Times New Roman"/>
          <w:color w:val="000000" w:themeColor="text1"/>
          <w:sz w:val="20"/>
          <w:szCs w:val="20"/>
          <w:lang w:val="en-US"/>
        </w:rPr>
        <w:t>s</w:t>
      </w:r>
      <w:r w:rsidR="006E7680">
        <w:rPr>
          <w:rFonts w:ascii="Verdana" w:eastAsiaTheme="minorHAnsi" w:hAnsi="Verdana" w:cs="Times New Roman"/>
          <w:color w:val="000000" w:themeColor="text1"/>
          <w:sz w:val="20"/>
          <w:szCs w:val="20"/>
          <w:lang w:val="en-US"/>
        </w:rPr>
        <w:t>, including</w:t>
      </w:r>
      <w:r w:rsidR="00104B02" w:rsidRPr="00B75B12">
        <w:rPr>
          <w:rFonts w:ascii="Verdana" w:eastAsiaTheme="minorHAnsi" w:hAnsi="Verdana" w:cs="Times New Roman"/>
          <w:color w:val="000000" w:themeColor="text1"/>
          <w:sz w:val="20"/>
          <w:szCs w:val="20"/>
          <w:lang w:val="en-US"/>
        </w:rPr>
        <w:t xml:space="preserve"> </w:t>
      </w:r>
      <w:r w:rsidR="00D83871" w:rsidRPr="00B75B12">
        <w:rPr>
          <w:rFonts w:ascii="Verdana" w:eastAsiaTheme="minorHAnsi" w:hAnsi="Verdana" w:cs="Times New Roman"/>
          <w:color w:val="000000" w:themeColor="text1"/>
          <w:sz w:val="20"/>
          <w:szCs w:val="20"/>
          <w:lang w:val="en-US"/>
        </w:rPr>
        <w:t>high net worth individuals</w:t>
      </w:r>
      <w:r w:rsidR="008B29AF">
        <w:rPr>
          <w:rFonts w:ascii="Verdana" w:eastAsiaTheme="minorHAnsi" w:hAnsi="Verdana" w:cs="Times New Roman"/>
          <w:color w:val="000000" w:themeColor="text1"/>
          <w:sz w:val="20"/>
          <w:szCs w:val="20"/>
          <w:lang w:val="en-US"/>
        </w:rPr>
        <w:t xml:space="preserve"> (HNWIs) and politically exposed persons (PEPs)</w:t>
      </w:r>
      <w:r w:rsidR="00D83871" w:rsidRPr="00B75B12">
        <w:rPr>
          <w:rFonts w:ascii="Verdana" w:eastAsiaTheme="minorHAnsi" w:hAnsi="Verdana" w:cs="Times New Roman"/>
          <w:color w:val="000000" w:themeColor="text1"/>
          <w:sz w:val="20"/>
          <w:szCs w:val="20"/>
          <w:lang w:val="en-US"/>
        </w:rPr>
        <w:t>, nominee shareholders and trusts.  The data shows that 2</w:t>
      </w:r>
      <w:r w:rsidR="00104B02" w:rsidRPr="00B75B12">
        <w:rPr>
          <w:rFonts w:ascii="Verdana" w:eastAsiaTheme="minorHAnsi" w:hAnsi="Verdana" w:cs="Times New Roman"/>
          <w:color w:val="000000" w:themeColor="text1"/>
          <w:sz w:val="20"/>
          <w:szCs w:val="20"/>
          <w:lang w:val="en-US"/>
        </w:rPr>
        <w:t>9</w:t>
      </w:r>
      <w:r w:rsidR="00D83871" w:rsidRPr="00B75B12">
        <w:rPr>
          <w:rFonts w:ascii="Verdana" w:eastAsiaTheme="minorHAnsi" w:hAnsi="Verdana" w:cs="Times New Roman"/>
          <w:color w:val="000000" w:themeColor="text1"/>
          <w:sz w:val="20"/>
          <w:szCs w:val="20"/>
          <w:lang w:val="en-US"/>
        </w:rPr>
        <w:t xml:space="preserve">% of the investors were </w:t>
      </w:r>
      <w:r w:rsidR="006E7680">
        <w:rPr>
          <w:rFonts w:ascii="Verdana" w:eastAsiaTheme="minorHAnsi" w:hAnsi="Verdana" w:cs="Times New Roman"/>
          <w:color w:val="000000" w:themeColor="text1"/>
          <w:sz w:val="20"/>
          <w:szCs w:val="20"/>
          <w:lang w:val="en-US"/>
        </w:rPr>
        <w:t xml:space="preserve">body </w:t>
      </w:r>
      <w:r w:rsidR="00D83871" w:rsidRPr="00B75B12">
        <w:rPr>
          <w:rFonts w:ascii="Verdana" w:eastAsiaTheme="minorHAnsi" w:hAnsi="Verdana" w:cs="Times New Roman"/>
          <w:color w:val="000000" w:themeColor="text1"/>
          <w:sz w:val="20"/>
          <w:szCs w:val="20"/>
          <w:lang w:val="en-US"/>
        </w:rPr>
        <w:t>corporate</w:t>
      </w:r>
      <w:r w:rsidR="006E7680">
        <w:rPr>
          <w:rFonts w:ascii="Verdana" w:eastAsiaTheme="minorHAnsi" w:hAnsi="Verdana" w:cs="Times New Roman"/>
          <w:color w:val="000000" w:themeColor="text1"/>
          <w:sz w:val="20"/>
          <w:szCs w:val="20"/>
          <w:lang w:val="en-US"/>
        </w:rPr>
        <w:t>s</w:t>
      </w:r>
      <w:r w:rsidR="00D83871" w:rsidRPr="00B75B12">
        <w:rPr>
          <w:rFonts w:ascii="Verdana" w:eastAsiaTheme="minorHAnsi" w:hAnsi="Verdana" w:cs="Times New Roman"/>
          <w:color w:val="000000" w:themeColor="text1"/>
          <w:sz w:val="20"/>
          <w:szCs w:val="20"/>
          <w:lang w:val="en-US"/>
        </w:rPr>
        <w:t xml:space="preserve">, </w:t>
      </w:r>
      <w:r w:rsidR="006E7680">
        <w:rPr>
          <w:rFonts w:ascii="Verdana" w:eastAsiaTheme="minorHAnsi" w:hAnsi="Verdana" w:cs="Times New Roman"/>
          <w:color w:val="000000" w:themeColor="text1"/>
          <w:sz w:val="20"/>
          <w:szCs w:val="20"/>
          <w:lang w:val="en-US"/>
        </w:rPr>
        <w:t xml:space="preserve">22% </w:t>
      </w:r>
      <w:r w:rsidR="00104B02" w:rsidRPr="00B75B12">
        <w:rPr>
          <w:rFonts w:ascii="Verdana" w:eastAsiaTheme="minorHAnsi" w:hAnsi="Verdana" w:cs="Times New Roman"/>
          <w:color w:val="000000" w:themeColor="text1"/>
          <w:sz w:val="20"/>
          <w:szCs w:val="20"/>
          <w:lang w:val="en-US"/>
        </w:rPr>
        <w:t>individuals</w:t>
      </w:r>
      <w:r w:rsidR="00EB0DB0">
        <w:rPr>
          <w:rFonts w:ascii="Verdana" w:eastAsiaTheme="minorHAnsi" w:hAnsi="Verdana" w:cs="Times New Roman"/>
          <w:color w:val="000000" w:themeColor="text1"/>
          <w:sz w:val="20"/>
          <w:szCs w:val="20"/>
          <w:lang w:val="en-US"/>
        </w:rPr>
        <w:t xml:space="preserve"> other than</w:t>
      </w:r>
      <w:r w:rsidR="00EB0DB0" w:rsidRPr="00EB0DB0">
        <w:rPr>
          <w:rFonts w:ascii="Verdana" w:eastAsiaTheme="minorHAnsi" w:hAnsi="Verdana" w:cs="Times New Roman"/>
          <w:color w:val="000000" w:themeColor="text1"/>
          <w:sz w:val="20"/>
          <w:szCs w:val="20"/>
          <w:lang w:val="en-US"/>
        </w:rPr>
        <w:t xml:space="preserve"> </w:t>
      </w:r>
      <w:r w:rsidR="00EB0DB0">
        <w:rPr>
          <w:rFonts w:ascii="Verdana" w:eastAsiaTheme="minorHAnsi" w:hAnsi="Verdana" w:cs="Times New Roman"/>
          <w:color w:val="000000" w:themeColor="text1"/>
          <w:sz w:val="20"/>
          <w:szCs w:val="20"/>
          <w:lang w:val="en-US"/>
        </w:rPr>
        <w:t xml:space="preserve">HNWIs, </w:t>
      </w:r>
      <w:r w:rsidR="006E7680">
        <w:rPr>
          <w:rFonts w:ascii="Verdana" w:eastAsiaTheme="minorHAnsi" w:hAnsi="Verdana" w:cs="Times New Roman"/>
          <w:color w:val="000000" w:themeColor="text1"/>
          <w:sz w:val="20"/>
          <w:szCs w:val="20"/>
          <w:lang w:val="en-US"/>
        </w:rPr>
        <w:t>12%</w:t>
      </w:r>
      <w:r w:rsidR="00104B02" w:rsidRPr="00B75B12">
        <w:rPr>
          <w:rFonts w:ascii="Verdana" w:eastAsiaTheme="minorHAnsi" w:hAnsi="Verdana" w:cs="Times New Roman"/>
          <w:color w:val="000000" w:themeColor="text1"/>
          <w:sz w:val="20"/>
          <w:szCs w:val="20"/>
          <w:lang w:val="en-US"/>
        </w:rPr>
        <w:t xml:space="preserve"> </w:t>
      </w:r>
      <w:r w:rsidR="00D83871" w:rsidRPr="00B75B12">
        <w:rPr>
          <w:rFonts w:ascii="Verdana" w:eastAsiaTheme="minorHAnsi" w:hAnsi="Verdana" w:cs="Times New Roman"/>
          <w:color w:val="000000" w:themeColor="text1"/>
          <w:sz w:val="20"/>
          <w:szCs w:val="20"/>
          <w:lang w:val="en-US"/>
        </w:rPr>
        <w:t xml:space="preserve">high net worth individuals, </w:t>
      </w:r>
      <w:r w:rsidR="006E7680">
        <w:rPr>
          <w:rFonts w:ascii="Verdana" w:eastAsiaTheme="minorHAnsi" w:hAnsi="Verdana" w:cs="Times New Roman"/>
          <w:color w:val="000000" w:themeColor="text1"/>
          <w:sz w:val="20"/>
          <w:szCs w:val="20"/>
          <w:lang w:val="en-US"/>
        </w:rPr>
        <w:t xml:space="preserve">9% </w:t>
      </w:r>
      <w:r w:rsidR="00D83871" w:rsidRPr="00B75B12">
        <w:rPr>
          <w:rFonts w:ascii="Verdana" w:eastAsiaTheme="minorHAnsi" w:hAnsi="Verdana" w:cs="Times New Roman"/>
          <w:color w:val="000000" w:themeColor="text1"/>
          <w:sz w:val="20"/>
          <w:szCs w:val="20"/>
          <w:lang w:val="en-US"/>
        </w:rPr>
        <w:t xml:space="preserve">nominee shareholders and </w:t>
      </w:r>
      <w:r w:rsidR="006E7680">
        <w:rPr>
          <w:rFonts w:ascii="Verdana" w:eastAsiaTheme="minorHAnsi" w:hAnsi="Verdana" w:cs="Times New Roman"/>
          <w:color w:val="000000" w:themeColor="text1"/>
          <w:sz w:val="20"/>
          <w:szCs w:val="20"/>
          <w:lang w:val="en-US"/>
        </w:rPr>
        <w:t xml:space="preserve">9% </w:t>
      </w:r>
      <w:r w:rsidR="00104B02" w:rsidRPr="00B75B12">
        <w:rPr>
          <w:rFonts w:ascii="Verdana" w:eastAsiaTheme="minorHAnsi" w:hAnsi="Verdana" w:cs="Times New Roman"/>
          <w:color w:val="000000" w:themeColor="text1"/>
          <w:sz w:val="20"/>
          <w:szCs w:val="20"/>
          <w:lang w:val="en-US"/>
        </w:rPr>
        <w:t>trusts</w:t>
      </w:r>
      <w:r w:rsidR="00D83871" w:rsidRPr="00B75B12">
        <w:rPr>
          <w:rFonts w:ascii="Verdana" w:eastAsiaTheme="minorHAnsi" w:hAnsi="Verdana" w:cs="Times New Roman"/>
          <w:color w:val="000000" w:themeColor="text1"/>
          <w:sz w:val="20"/>
          <w:szCs w:val="20"/>
          <w:lang w:val="en-US"/>
        </w:rPr>
        <w:t xml:space="preserve">. </w:t>
      </w:r>
    </w:p>
    <w:p w14:paraId="29E8D1C1" w14:textId="77777777" w:rsidR="006E7680" w:rsidRPr="00125E84" w:rsidRDefault="006E7680" w:rsidP="00125E84">
      <w:pPr>
        <w:rPr>
          <w:rFonts w:eastAsiaTheme="minorHAnsi"/>
          <w:lang w:val="en-US"/>
        </w:rPr>
      </w:pPr>
    </w:p>
    <w:p w14:paraId="3419856F" w14:textId="6CF85BD8" w:rsidR="007C25C8" w:rsidRPr="00B75B12" w:rsidRDefault="006E7680"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Pr>
          <w:rFonts w:ascii="Verdana" w:eastAsiaTheme="minorHAnsi" w:hAnsi="Verdana" w:cs="Times New Roman"/>
          <w:color w:val="000000" w:themeColor="text1"/>
          <w:sz w:val="20"/>
          <w:szCs w:val="20"/>
          <w:lang w:val="en-US"/>
        </w:rPr>
        <w:t>The mutual fund administrators rated their customers, on an overall basis, as follows:</w:t>
      </w:r>
      <w:r w:rsidR="00104B02" w:rsidRPr="00B75B12">
        <w:rPr>
          <w:rFonts w:ascii="Verdana" w:eastAsiaTheme="minorHAnsi" w:hAnsi="Verdana" w:cs="Times New Roman"/>
          <w:color w:val="000000" w:themeColor="text1"/>
          <w:sz w:val="20"/>
          <w:szCs w:val="20"/>
          <w:lang w:val="en-US"/>
        </w:rPr>
        <w:t xml:space="preserve"> 60% low risk, 36% medium risk and 4% high risk. </w:t>
      </w:r>
      <w:r w:rsidR="00CD7F64">
        <w:rPr>
          <w:rFonts w:ascii="Verdana" w:eastAsiaTheme="minorHAnsi" w:hAnsi="Verdana" w:cs="Times New Roman"/>
          <w:color w:val="000000" w:themeColor="text1"/>
          <w:sz w:val="20"/>
          <w:szCs w:val="20"/>
          <w:lang w:val="en-US"/>
        </w:rPr>
        <w:t>28</w:t>
      </w:r>
      <w:r w:rsidR="00D83871" w:rsidRPr="00B75B12">
        <w:rPr>
          <w:rFonts w:ascii="Verdana" w:eastAsiaTheme="minorHAnsi" w:hAnsi="Verdana" w:cs="Times New Roman"/>
          <w:color w:val="000000" w:themeColor="text1"/>
          <w:sz w:val="20"/>
          <w:szCs w:val="20"/>
          <w:lang w:val="en-US"/>
        </w:rPr>
        <w:t xml:space="preserve">% of the </w:t>
      </w:r>
      <w:r>
        <w:rPr>
          <w:rFonts w:ascii="Verdana" w:eastAsiaTheme="minorHAnsi" w:hAnsi="Verdana" w:cs="Times New Roman"/>
          <w:color w:val="000000" w:themeColor="text1"/>
          <w:sz w:val="20"/>
          <w:szCs w:val="20"/>
          <w:lang w:val="en-US"/>
        </w:rPr>
        <w:t xml:space="preserve">body </w:t>
      </w:r>
      <w:r w:rsidR="00D83871" w:rsidRPr="00B75B12">
        <w:rPr>
          <w:rFonts w:ascii="Verdana" w:eastAsiaTheme="minorHAnsi" w:hAnsi="Verdana" w:cs="Times New Roman"/>
          <w:color w:val="000000" w:themeColor="text1"/>
          <w:sz w:val="20"/>
          <w:szCs w:val="20"/>
          <w:lang w:val="en-US"/>
        </w:rPr>
        <w:t>corporate</w:t>
      </w:r>
      <w:r>
        <w:rPr>
          <w:rFonts w:ascii="Verdana" w:eastAsiaTheme="minorHAnsi" w:hAnsi="Verdana" w:cs="Times New Roman"/>
          <w:color w:val="000000" w:themeColor="text1"/>
          <w:sz w:val="20"/>
          <w:szCs w:val="20"/>
          <w:lang w:val="en-US"/>
        </w:rPr>
        <w:t>s</w:t>
      </w:r>
      <w:r w:rsidR="00D83871" w:rsidRPr="00B75B12">
        <w:rPr>
          <w:rFonts w:ascii="Verdana" w:eastAsiaTheme="minorHAnsi" w:hAnsi="Verdana" w:cs="Times New Roman"/>
          <w:color w:val="000000" w:themeColor="text1"/>
          <w:sz w:val="20"/>
          <w:szCs w:val="20"/>
          <w:lang w:val="en-US"/>
        </w:rPr>
        <w:t xml:space="preserve"> were rated as </w:t>
      </w:r>
      <w:r w:rsidR="00CD7F64">
        <w:rPr>
          <w:rFonts w:ascii="Verdana" w:eastAsiaTheme="minorHAnsi" w:hAnsi="Verdana" w:cs="Times New Roman"/>
          <w:color w:val="000000" w:themeColor="text1"/>
          <w:sz w:val="20"/>
          <w:szCs w:val="20"/>
          <w:lang w:val="en-US"/>
        </w:rPr>
        <w:t xml:space="preserve">low </w:t>
      </w:r>
      <w:r w:rsidR="00D83871" w:rsidRPr="00B75B12">
        <w:rPr>
          <w:rFonts w:ascii="Verdana" w:eastAsiaTheme="minorHAnsi" w:hAnsi="Verdana" w:cs="Times New Roman"/>
          <w:color w:val="000000" w:themeColor="text1"/>
          <w:sz w:val="20"/>
          <w:szCs w:val="20"/>
          <w:lang w:val="en-US"/>
        </w:rPr>
        <w:t>risk,</w:t>
      </w:r>
      <w:r w:rsidR="00CD7F64">
        <w:rPr>
          <w:rFonts w:ascii="Verdana" w:eastAsiaTheme="minorHAnsi" w:hAnsi="Verdana" w:cs="Times New Roman"/>
          <w:color w:val="000000" w:themeColor="text1"/>
          <w:sz w:val="20"/>
          <w:szCs w:val="20"/>
          <w:lang w:val="en-US"/>
        </w:rPr>
        <w:t xml:space="preserve"> 31% as medium and </w:t>
      </w:r>
      <w:r w:rsidR="00104B02" w:rsidRPr="00B75B12">
        <w:rPr>
          <w:rFonts w:ascii="Verdana" w:eastAsiaTheme="minorHAnsi" w:hAnsi="Verdana" w:cs="Times New Roman"/>
          <w:color w:val="000000" w:themeColor="text1"/>
          <w:sz w:val="20"/>
          <w:szCs w:val="20"/>
          <w:lang w:val="en-US"/>
        </w:rPr>
        <w:t>27</w:t>
      </w:r>
      <w:r w:rsidR="00D83871" w:rsidRPr="00B75B12">
        <w:rPr>
          <w:rFonts w:ascii="Verdana" w:eastAsiaTheme="minorHAnsi" w:hAnsi="Verdana" w:cs="Times New Roman"/>
          <w:color w:val="000000" w:themeColor="text1"/>
          <w:sz w:val="20"/>
          <w:szCs w:val="20"/>
          <w:lang w:val="en-US"/>
        </w:rPr>
        <w:t xml:space="preserve">% as </w:t>
      </w:r>
      <w:r w:rsidR="00104B02" w:rsidRPr="00B75B12">
        <w:rPr>
          <w:rFonts w:ascii="Verdana" w:eastAsiaTheme="minorHAnsi" w:hAnsi="Verdana" w:cs="Times New Roman"/>
          <w:color w:val="000000" w:themeColor="text1"/>
          <w:sz w:val="20"/>
          <w:szCs w:val="20"/>
          <w:lang w:val="en-US"/>
        </w:rPr>
        <w:t>high</w:t>
      </w:r>
      <w:r w:rsidR="00D83871" w:rsidRPr="00B75B12">
        <w:rPr>
          <w:rFonts w:ascii="Verdana" w:eastAsiaTheme="minorHAnsi" w:hAnsi="Verdana" w:cs="Times New Roman"/>
          <w:color w:val="000000" w:themeColor="text1"/>
          <w:sz w:val="20"/>
          <w:szCs w:val="20"/>
          <w:lang w:val="en-US"/>
        </w:rPr>
        <w:t xml:space="preserve"> risk.  </w:t>
      </w:r>
      <w:r w:rsidR="00104B02" w:rsidRPr="00B75B12">
        <w:rPr>
          <w:rFonts w:ascii="Verdana" w:eastAsiaTheme="minorHAnsi" w:hAnsi="Verdana" w:cs="Times New Roman"/>
          <w:color w:val="000000" w:themeColor="text1"/>
          <w:sz w:val="20"/>
          <w:szCs w:val="20"/>
          <w:lang w:val="en-US"/>
        </w:rPr>
        <w:t>Individuals</w:t>
      </w:r>
      <w:r w:rsidR="008B29AF">
        <w:rPr>
          <w:rFonts w:ascii="Verdana" w:eastAsiaTheme="minorHAnsi" w:hAnsi="Verdana" w:cs="Times New Roman"/>
          <w:color w:val="000000" w:themeColor="text1"/>
          <w:sz w:val="20"/>
          <w:szCs w:val="20"/>
          <w:lang w:val="en-US"/>
        </w:rPr>
        <w:t xml:space="preserve"> customers (other than HNWIs or PEPs)</w:t>
      </w:r>
      <w:r w:rsidR="00104B02" w:rsidRPr="00B75B12">
        <w:rPr>
          <w:rFonts w:ascii="Verdana" w:eastAsiaTheme="minorHAnsi" w:hAnsi="Verdana" w:cs="Times New Roman"/>
          <w:color w:val="000000" w:themeColor="text1"/>
          <w:sz w:val="20"/>
          <w:szCs w:val="20"/>
          <w:lang w:val="en-US"/>
        </w:rPr>
        <w:t xml:space="preserve"> were </w:t>
      </w:r>
      <w:r w:rsidR="008B29AF">
        <w:rPr>
          <w:rFonts w:ascii="Verdana" w:eastAsiaTheme="minorHAnsi" w:hAnsi="Verdana" w:cs="Times New Roman"/>
          <w:color w:val="000000" w:themeColor="text1"/>
          <w:sz w:val="20"/>
          <w:szCs w:val="20"/>
          <w:lang w:val="en-US"/>
        </w:rPr>
        <w:t xml:space="preserve">rated </w:t>
      </w:r>
      <w:r w:rsidR="00104B02" w:rsidRPr="00B75B12">
        <w:rPr>
          <w:rFonts w:ascii="Verdana" w:eastAsiaTheme="minorHAnsi" w:hAnsi="Verdana" w:cs="Times New Roman"/>
          <w:color w:val="000000" w:themeColor="text1"/>
          <w:sz w:val="20"/>
          <w:szCs w:val="20"/>
          <w:lang w:val="en-US"/>
        </w:rPr>
        <w:t>23% low risk, 2</w:t>
      </w:r>
      <w:r w:rsidR="00CD7F64">
        <w:rPr>
          <w:rFonts w:ascii="Verdana" w:eastAsiaTheme="minorHAnsi" w:hAnsi="Verdana" w:cs="Times New Roman"/>
          <w:color w:val="000000" w:themeColor="text1"/>
          <w:sz w:val="20"/>
          <w:szCs w:val="20"/>
          <w:lang w:val="en-US"/>
        </w:rPr>
        <w:t>0</w:t>
      </w:r>
      <w:r w:rsidR="00104B02" w:rsidRPr="00B75B12">
        <w:rPr>
          <w:rFonts w:ascii="Verdana" w:eastAsiaTheme="minorHAnsi" w:hAnsi="Verdana" w:cs="Times New Roman"/>
          <w:color w:val="000000" w:themeColor="text1"/>
          <w:sz w:val="20"/>
          <w:szCs w:val="20"/>
          <w:lang w:val="en-US"/>
        </w:rPr>
        <w:t xml:space="preserve">% </w:t>
      </w:r>
      <w:r w:rsidR="00CD7F64">
        <w:rPr>
          <w:rFonts w:ascii="Verdana" w:eastAsiaTheme="minorHAnsi" w:hAnsi="Verdana" w:cs="Times New Roman"/>
          <w:color w:val="000000" w:themeColor="text1"/>
          <w:sz w:val="20"/>
          <w:szCs w:val="20"/>
          <w:lang w:val="en-US"/>
        </w:rPr>
        <w:t xml:space="preserve">medium </w:t>
      </w:r>
      <w:r w:rsidR="00104B02" w:rsidRPr="00B75B12">
        <w:rPr>
          <w:rFonts w:ascii="Verdana" w:eastAsiaTheme="minorHAnsi" w:hAnsi="Verdana" w:cs="Times New Roman"/>
          <w:color w:val="000000" w:themeColor="text1"/>
          <w:sz w:val="20"/>
          <w:szCs w:val="20"/>
          <w:lang w:val="en-US"/>
        </w:rPr>
        <w:t>risk and 2</w:t>
      </w:r>
      <w:r w:rsidR="00CD7F64">
        <w:rPr>
          <w:rFonts w:ascii="Verdana" w:eastAsiaTheme="minorHAnsi" w:hAnsi="Verdana" w:cs="Times New Roman"/>
          <w:color w:val="000000" w:themeColor="text1"/>
          <w:sz w:val="20"/>
          <w:szCs w:val="20"/>
          <w:lang w:val="en-US"/>
        </w:rPr>
        <w:t>2</w:t>
      </w:r>
      <w:r w:rsidR="00104B02" w:rsidRPr="00B75B12">
        <w:rPr>
          <w:rFonts w:ascii="Verdana" w:eastAsiaTheme="minorHAnsi" w:hAnsi="Verdana" w:cs="Times New Roman"/>
          <w:color w:val="000000" w:themeColor="text1"/>
          <w:sz w:val="20"/>
          <w:szCs w:val="20"/>
          <w:lang w:val="en-US"/>
        </w:rPr>
        <w:t xml:space="preserve">% as </w:t>
      </w:r>
      <w:r w:rsidR="00CD7F64">
        <w:rPr>
          <w:rFonts w:ascii="Verdana" w:eastAsiaTheme="minorHAnsi" w:hAnsi="Verdana" w:cs="Times New Roman"/>
          <w:color w:val="000000" w:themeColor="text1"/>
          <w:sz w:val="20"/>
          <w:szCs w:val="20"/>
          <w:lang w:val="en-US"/>
        </w:rPr>
        <w:t>high</w:t>
      </w:r>
      <w:r w:rsidR="00CD7F64" w:rsidRPr="00B75B12">
        <w:rPr>
          <w:rFonts w:ascii="Verdana" w:eastAsiaTheme="minorHAnsi" w:hAnsi="Verdana" w:cs="Times New Roman"/>
          <w:color w:val="000000" w:themeColor="text1"/>
          <w:sz w:val="20"/>
          <w:szCs w:val="20"/>
          <w:lang w:val="en-US"/>
        </w:rPr>
        <w:t xml:space="preserve"> </w:t>
      </w:r>
      <w:r w:rsidR="00104B02" w:rsidRPr="00B75B12">
        <w:rPr>
          <w:rFonts w:ascii="Verdana" w:eastAsiaTheme="minorHAnsi" w:hAnsi="Verdana" w:cs="Times New Roman"/>
          <w:color w:val="000000" w:themeColor="text1"/>
          <w:sz w:val="20"/>
          <w:szCs w:val="20"/>
          <w:lang w:val="en-US"/>
        </w:rPr>
        <w:t>risk.   1</w:t>
      </w:r>
      <w:r w:rsidR="00CD7F64">
        <w:rPr>
          <w:rFonts w:ascii="Verdana" w:eastAsiaTheme="minorHAnsi" w:hAnsi="Verdana" w:cs="Times New Roman"/>
          <w:color w:val="000000" w:themeColor="text1"/>
          <w:sz w:val="20"/>
          <w:szCs w:val="20"/>
          <w:lang w:val="en-US"/>
        </w:rPr>
        <w:t>1</w:t>
      </w:r>
      <w:r w:rsidR="00104B02" w:rsidRPr="00B75B12">
        <w:rPr>
          <w:rFonts w:ascii="Verdana" w:eastAsiaTheme="minorHAnsi" w:hAnsi="Verdana" w:cs="Times New Roman"/>
          <w:color w:val="000000" w:themeColor="text1"/>
          <w:sz w:val="20"/>
          <w:szCs w:val="20"/>
          <w:lang w:val="en-US"/>
        </w:rPr>
        <w:t>% of the HNW</w:t>
      </w:r>
      <w:r w:rsidR="005313DB">
        <w:rPr>
          <w:rFonts w:ascii="Verdana" w:eastAsiaTheme="minorHAnsi" w:hAnsi="Verdana" w:cs="Times New Roman"/>
          <w:color w:val="000000" w:themeColor="text1"/>
          <w:sz w:val="20"/>
          <w:szCs w:val="20"/>
          <w:lang w:val="en-US"/>
        </w:rPr>
        <w:t>Is</w:t>
      </w:r>
      <w:r w:rsidR="00104B02" w:rsidRPr="00B75B12">
        <w:rPr>
          <w:rFonts w:ascii="Verdana" w:eastAsiaTheme="minorHAnsi" w:hAnsi="Verdana" w:cs="Times New Roman"/>
          <w:color w:val="000000" w:themeColor="text1"/>
          <w:sz w:val="20"/>
          <w:szCs w:val="20"/>
          <w:lang w:val="en-US"/>
        </w:rPr>
        <w:t xml:space="preserve"> were rated as </w:t>
      </w:r>
      <w:r w:rsidR="00CD7F64">
        <w:rPr>
          <w:rFonts w:ascii="Verdana" w:eastAsiaTheme="minorHAnsi" w:hAnsi="Verdana" w:cs="Times New Roman"/>
          <w:color w:val="000000" w:themeColor="text1"/>
          <w:sz w:val="20"/>
          <w:szCs w:val="20"/>
          <w:lang w:val="en-US"/>
        </w:rPr>
        <w:t xml:space="preserve">low </w:t>
      </w:r>
      <w:r w:rsidR="005313DB">
        <w:rPr>
          <w:rFonts w:ascii="Verdana" w:eastAsiaTheme="minorHAnsi" w:hAnsi="Verdana" w:cs="Times New Roman"/>
          <w:color w:val="000000" w:themeColor="text1"/>
          <w:sz w:val="20"/>
          <w:szCs w:val="20"/>
          <w:lang w:val="en-US"/>
        </w:rPr>
        <w:t>risk</w:t>
      </w:r>
      <w:r w:rsidR="00104B02" w:rsidRPr="00B75B12">
        <w:rPr>
          <w:rFonts w:ascii="Verdana" w:eastAsiaTheme="minorHAnsi" w:hAnsi="Verdana" w:cs="Times New Roman"/>
          <w:color w:val="000000" w:themeColor="text1"/>
          <w:sz w:val="20"/>
          <w:szCs w:val="20"/>
          <w:lang w:val="en-US"/>
        </w:rPr>
        <w:t>, 12% as medium</w:t>
      </w:r>
      <w:r w:rsidR="005313DB">
        <w:rPr>
          <w:rFonts w:ascii="Verdana" w:eastAsiaTheme="minorHAnsi" w:hAnsi="Verdana" w:cs="Times New Roman"/>
          <w:color w:val="000000" w:themeColor="text1"/>
          <w:sz w:val="20"/>
          <w:szCs w:val="20"/>
          <w:lang w:val="en-US"/>
        </w:rPr>
        <w:t xml:space="preserve"> risk</w:t>
      </w:r>
      <w:r w:rsidR="00104B02" w:rsidRPr="00B75B12">
        <w:rPr>
          <w:rFonts w:ascii="Verdana" w:eastAsiaTheme="minorHAnsi" w:hAnsi="Verdana" w:cs="Times New Roman"/>
          <w:color w:val="000000" w:themeColor="text1"/>
          <w:sz w:val="20"/>
          <w:szCs w:val="20"/>
          <w:lang w:val="en-US"/>
        </w:rPr>
        <w:t xml:space="preserve"> and 1</w:t>
      </w:r>
      <w:r w:rsidR="00CD7F64">
        <w:rPr>
          <w:rFonts w:ascii="Verdana" w:eastAsiaTheme="minorHAnsi" w:hAnsi="Verdana" w:cs="Times New Roman"/>
          <w:color w:val="000000" w:themeColor="text1"/>
          <w:sz w:val="20"/>
          <w:szCs w:val="20"/>
          <w:lang w:val="en-US"/>
        </w:rPr>
        <w:t>5</w:t>
      </w:r>
      <w:r w:rsidR="00104B02" w:rsidRPr="00B75B12">
        <w:rPr>
          <w:rFonts w:ascii="Verdana" w:eastAsiaTheme="minorHAnsi" w:hAnsi="Verdana" w:cs="Times New Roman"/>
          <w:color w:val="000000" w:themeColor="text1"/>
          <w:sz w:val="20"/>
          <w:szCs w:val="20"/>
          <w:lang w:val="en-US"/>
        </w:rPr>
        <w:t xml:space="preserve">% as </w:t>
      </w:r>
      <w:r w:rsidR="00A1127E">
        <w:rPr>
          <w:rFonts w:ascii="Verdana" w:eastAsiaTheme="minorHAnsi" w:hAnsi="Verdana" w:cs="Times New Roman"/>
          <w:color w:val="000000" w:themeColor="text1"/>
          <w:sz w:val="20"/>
          <w:szCs w:val="20"/>
          <w:lang w:val="en-US"/>
        </w:rPr>
        <w:t>high</w:t>
      </w:r>
      <w:r w:rsidR="00A1127E" w:rsidRPr="00B75B12">
        <w:rPr>
          <w:rFonts w:ascii="Verdana" w:eastAsiaTheme="minorHAnsi" w:hAnsi="Verdana" w:cs="Times New Roman"/>
          <w:color w:val="000000" w:themeColor="text1"/>
          <w:sz w:val="20"/>
          <w:szCs w:val="20"/>
          <w:lang w:val="en-US"/>
        </w:rPr>
        <w:t xml:space="preserve"> </w:t>
      </w:r>
      <w:r w:rsidR="00104B02" w:rsidRPr="00B75B12">
        <w:rPr>
          <w:rFonts w:ascii="Verdana" w:eastAsiaTheme="minorHAnsi" w:hAnsi="Verdana" w:cs="Times New Roman"/>
          <w:color w:val="000000" w:themeColor="text1"/>
          <w:sz w:val="20"/>
          <w:szCs w:val="20"/>
          <w:lang w:val="en-US"/>
        </w:rPr>
        <w:t xml:space="preserve">risk.  </w:t>
      </w:r>
      <w:r w:rsidR="00D83871" w:rsidRPr="00B75B12">
        <w:rPr>
          <w:rFonts w:ascii="Verdana" w:eastAsiaTheme="minorHAnsi" w:hAnsi="Verdana" w:cs="Times New Roman"/>
          <w:color w:val="000000" w:themeColor="text1"/>
          <w:sz w:val="20"/>
          <w:szCs w:val="20"/>
          <w:lang w:val="en-US"/>
        </w:rPr>
        <w:t xml:space="preserve">For nominee shareholders </w:t>
      </w:r>
      <w:r w:rsidR="00104B02" w:rsidRPr="00B75B12">
        <w:rPr>
          <w:rFonts w:ascii="Verdana" w:eastAsiaTheme="minorHAnsi" w:hAnsi="Verdana" w:cs="Times New Roman"/>
          <w:color w:val="000000" w:themeColor="text1"/>
          <w:sz w:val="20"/>
          <w:szCs w:val="20"/>
          <w:lang w:val="en-US"/>
        </w:rPr>
        <w:t>12</w:t>
      </w:r>
      <w:r w:rsidR="00D83871" w:rsidRPr="00B75B12">
        <w:rPr>
          <w:rFonts w:ascii="Verdana" w:eastAsiaTheme="minorHAnsi" w:hAnsi="Verdana" w:cs="Times New Roman"/>
          <w:color w:val="000000" w:themeColor="text1"/>
          <w:sz w:val="20"/>
          <w:szCs w:val="20"/>
          <w:lang w:val="en-US"/>
        </w:rPr>
        <w:t>% w</w:t>
      </w:r>
      <w:r w:rsidR="00104B02" w:rsidRPr="00B75B12">
        <w:rPr>
          <w:rFonts w:ascii="Verdana" w:eastAsiaTheme="minorHAnsi" w:hAnsi="Verdana" w:cs="Times New Roman"/>
          <w:color w:val="000000" w:themeColor="text1"/>
          <w:sz w:val="20"/>
          <w:szCs w:val="20"/>
          <w:lang w:val="en-US"/>
        </w:rPr>
        <w:t>ere</w:t>
      </w:r>
      <w:r w:rsidR="00D83871" w:rsidRPr="00B75B12">
        <w:rPr>
          <w:rFonts w:ascii="Verdana" w:eastAsiaTheme="minorHAnsi" w:hAnsi="Verdana" w:cs="Times New Roman"/>
          <w:color w:val="000000" w:themeColor="text1"/>
          <w:sz w:val="20"/>
          <w:szCs w:val="20"/>
          <w:lang w:val="en-US"/>
        </w:rPr>
        <w:t xml:space="preserve"> rated as low risk, </w:t>
      </w:r>
      <w:r w:rsidR="007C25C8" w:rsidRPr="00B75B12">
        <w:rPr>
          <w:rFonts w:ascii="Verdana" w:eastAsiaTheme="minorHAnsi" w:hAnsi="Verdana" w:cs="Times New Roman"/>
          <w:color w:val="000000" w:themeColor="text1"/>
          <w:sz w:val="20"/>
          <w:szCs w:val="20"/>
          <w:lang w:val="en-US"/>
        </w:rPr>
        <w:t>6</w:t>
      </w:r>
      <w:r w:rsidR="00D83871" w:rsidRPr="00B75B12">
        <w:rPr>
          <w:rFonts w:ascii="Verdana" w:eastAsiaTheme="minorHAnsi" w:hAnsi="Verdana" w:cs="Times New Roman"/>
          <w:color w:val="000000" w:themeColor="text1"/>
          <w:sz w:val="20"/>
          <w:szCs w:val="20"/>
          <w:lang w:val="en-US"/>
        </w:rPr>
        <w:t>% as medium</w:t>
      </w:r>
      <w:r w:rsidR="007C25C8" w:rsidRPr="00B75B12">
        <w:rPr>
          <w:rFonts w:ascii="Verdana" w:eastAsiaTheme="minorHAnsi" w:hAnsi="Verdana" w:cs="Times New Roman"/>
          <w:color w:val="000000" w:themeColor="text1"/>
          <w:sz w:val="20"/>
          <w:szCs w:val="20"/>
          <w:lang w:val="en-US"/>
        </w:rPr>
        <w:t xml:space="preserve"> and 3% as high risk</w:t>
      </w:r>
      <w:r w:rsidR="00CD7F64">
        <w:rPr>
          <w:rFonts w:ascii="Verdana" w:eastAsiaTheme="minorHAnsi" w:hAnsi="Verdana" w:cs="Times New Roman"/>
          <w:color w:val="000000" w:themeColor="text1"/>
          <w:sz w:val="20"/>
          <w:szCs w:val="20"/>
          <w:lang w:val="en-US"/>
        </w:rPr>
        <w:t xml:space="preserve"> and for trusts 7</w:t>
      </w:r>
      <w:r w:rsidR="00CD7F64" w:rsidRPr="00B75B12">
        <w:rPr>
          <w:rFonts w:ascii="Verdana" w:eastAsiaTheme="minorHAnsi" w:hAnsi="Verdana" w:cs="Times New Roman"/>
          <w:color w:val="000000" w:themeColor="text1"/>
          <w:sz w:val="20"/>
          <w:szCs w:val="20"/>
          <w:lang w:val="en-US"/>
        </w:rPr>
        <w:t xml:space="preserve">% were rated as low risk, </w:t>
      </w:r>
      <w:r w:rsidR="00CD7F64">
        <w:rPr>
          <w:rFonts w:ascii="Verdana" w:eastAsiaTheme="minorHAnsi" w:hAnsi="Verdana" w:cs="Times New Roman"/>
          <w:color w:val="000000" w:themeColor="text1"/>
          <w:sz w:val="20"/>
          <w:szCs w:val="20"/>
          <w:lang w:val="en-US"/>
        </w:rPr>
        <w:t>13</w:t>
      </w:r>
      <w:r w:rsidR="00CD7F64" w:rsidRPr="00B75B12">
        <w:rPr>
          <w:rFonts w:ascii="Verdana" w:eastAsiaTheme="minorHAnsi" w:hAnsi="Verdana" w:cs="Times New Roman"/>
          <w:color w:val="000000" w:themeColor="text1"/>
          <w:sz w:val="20"/>
          <w:szCs w:val="20"/>
          <w:lang w:val="en-US"/>
        </w:rPr>
        <w:t xml:space="preserve">% as medium and </w:t>
      </w:r>
      <w:r w:rsidR="00CD7F64">
        <w:rPr>
          <w:rFonts w:ascii="Verdana" w:eastAsiaTheme="minorHAnsi" w:hAnsi="Verdana" w:cs="Times New Roman"/>
          <w:color w:val="000000" w:themeColor="text1"/>
          <w:sz w:val="20"/>
          <w:szCs w:val="20"/>
          <w:lang w:val="en-US"/>
        </w:rPr>
        <w:t>4</w:t>
      </w:r>
      <w:r w:rsidR="00CD7F64" w:rsidRPr="00B75B12">
        <w:rPr>
          <w:rFonts w:ascii="Verdana" w:eastAsiaTheme="minorHAnsi" w:hAnsi="Verdana" w:cs="Times New Roman"/>
          <w:color w:val="000000" w:themeColor="text1"/>
          <w:sz w:val="20"/>
          <w:szCs w:val="20"/>
          <w:lang w:val="en-US"/>
        </w:rPr>
        <w:t>% as high risk</w:t>
      </w:r>
      <w:r w:rsidR="00D83871" w:rsidRPr="00B75B12">
        <w:rPr>
          <w:rFonts w:ascii="Verdana" w:eastAsiaTheme="minorHAnsi" w:hAnsi="Verdana" w:cs="Times New Roman"/>
          <w:color w:val="000000" w:themeColor="text1"/>
          <w:sz w:val="20"/>
          <w:szCs w:val="20"/>
          <w:lang w:val="en-US"/>
        </w:rPr>
        <w:t xml:space="preserve">. </w:t>
      </w:r>
    </w:p>
    <w:p w14:paraId="4F041A96" w14:textId="77777777" w:rsidR="007C25C8" w:rsidRDefault="007C25C8" w:rsidP="00D83871">
      <w:pPr>
        <w:jc w:val="both"/>
        <w:rPr>
          <w:rFonts w:ascii="Verdana" w:hAnsi="Verdana"/>
          <w:highlight w:val="yellow"/>
        </w:rPr>
      </w:pPr>
    </w:p>
    <w:p w14:paraId="01533255" w14:textId="2EF630EA" w:rsidR="00D83871" w:rsidRDefault="00D83871" w:rsidP="00D83871">
      <w:pPr>
        <w:rPr>
          <w:rFonts w:ascii="Verdana" w:eastAsiaTheme="majorEastAsia" w:hAnsi="Verdana" w:cstheme="majorBidi"/>
          <w:b/>
          <w:spacing w:val="5"/>
          <w:kern w:val="28"/>
        </w:rPr>
      </w:pPr>
      <w:r w:rsidRPr="002721B3">
        <w:rPr>
          <w:rFonts w:ascii="Verdana" w:eastAsiaTheme="majorEastAsia" w:hAnsi="Verdana" w:cstheme="majorBidi"/>
          <w:b/>
          <w:spacing w:val="5"/>
          <w:kern w:val="28"/>
        </w:rPr>
        <w:t>Conclusion for Risk Category Customers</w:t>
      </w:r>
    </w:p>
    <w:p w14:paraId="38CC82EF" w14:textId="77777777" w:rsidR="00824219" w:rsidRDefault="00824219" w:rsidP="00824219">
      <w:pPr>
        <w:jc w:val="both"/>
        <w:rPr>
          <w:rFonts w:ascii="Verdana" w:hAnsi="Verdana"/>
          <w:highlight w:val="yellow"/>
        </w:rPr>
      </w:pPr>
    </w:p>
    <w:p w14:paraId="68473206" w14:textId="73B834AA" w:rsidR="00824219" w:rsidRPr="00B75B12" w:rsidRDefault="002721B3"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Pr>
          <w:rFonts w:ascii="Verdana" w:eastAsiaTheme="minorHAnsi" w:hAnsi="Verdana" w:cs="Times New Roman"/>
          <w:color w:val="000000" w:themeColor="text1"/>
          <w:sz w:val="20"/>
          <w:szCs w:val="20"/>
          <w:lang w:val="en-US"/>
        </w:rPr>
        <w:t xml:space="preserve">Except for the high net worth individuals, where a higher percentage of these customers are rated as high risk, the mutual fund administrators have mostly rated their customers as either medium or low risk.   Of note however, is that majority of the investors are either individuals including high net worth individuals, nominees and trusts which makes it likely for the risk of money laundering and terrorist financing to occur. This is however somewhat mitigated by the fact that </w:t>
      </w:r>
      <w:r w:rsidR="00D0018A" w:rsidRPr="00B75B12">
        <w:rPr>
          <w:rFonts w:ascii="Verdana" w:eastAsiaTheme="minorHAnsi" w:hAnsi="Verdana" w:cs="Times New Roman"/>
          <w:color w:val="000000" w:themeColor="text1"/>
          <w:sz w:val="20"/>
          <w:szCs w:val="20"/>
          <w:lang w:val="en-US"/>
        </w:rPr>
        <w:t>major</w:t>
      </w:r>
      <w:r>
        <w:rPr>
          <w:rFonts w:ascii="Verdana" w:eastAsiaTheme="minorHAnsi" w:hAnsi="Verdana" w:cs="Times New Roman"/>
          <w:color w:val="000000" w:themeColor="text1"/>
          <w:sz w:val="20"/>
          <w:szCs w:val="20"/>
          <w:lang w:val="en-US"/>
        </w:rPr>
        <w:t>ity of the fund</w:t>
      </w:r>
      <w:r w:rsidR="00D0018A" w:rsidRPr="00B75B12">
        <w:rPr>
          <w:rFonts w:ascii="Verdana" w:eastAsiaTheme="minorHAnsi" w:hAnsi="Verdana" w:cs="Times New Roman"/>
          <w:color w:val="000000" w:themeColor="text1"/>
          <w:sz w:val="20"/>
          <w:szCs w:val="20"/>
          <w:lang w:val="en-US"/>
        </w:rPr>
        <w:t xml:space="preserve"> structures and </w:t>
      </w:r>
      <w:r>
        <w:rPr>
          <w:rFonts w:ascii="Verdana" w:eastAsiaTheme="minorHAnsi" w:hAnsi="Verdana" w:cs="Times New Roman"/>
          <w:color w:val="000000" w:themeColor="text1"/>
          <w:sz w:val="20"/>
          <w:szCs w:val="20"/>
          <w:lang w:val="en-US"/>
        </w:rPr>
        <w:t xml:space="preserve">the </w:t>
      </w:r>
      <w:r w:rsidR="00D0018A" w:rsidRPr="00B75B12">
        <w:rPr>
          <w:rFonts w:ascii="Verdana" w:eastAsiaTheme="minorHAnsi" w:hAnsi="Verdana" w:cs="Times New Roman"/>
          <w:color w:val="000000" w:themeColor="text1"/>
          <w:sz w:val="20"/>
          <w:szCs w:val="20"/>
          <w:lang w:val="en-US"/>
        </w:rPr>
        <w:t xml:space="preserve">investors </w:t>
      </w:r>
      <w:proofErr w:type="gramStart"/>
      <w:r>
        <w:rPr>
          <w:rFonts w:ascii="Verdana" w:eastAsiaTheme="minorHAnsi" w:hAnsi="Verdana" w:cs="Times New Roman"/>
          <w:color w:val="000000" w:themeColor="text1"/>
          <w:sz w:val="20"/>
          <w:szCs w:val="20"/>
          <w:lang w:val="en-US"/>
        </w:rPr>
        <w:t>are located in</w:t>
      </w:r>
      <w:proofErr w:type="gramEnd"/>
      <w:r>
        <w:rPr>
          <w:rFonts w:ascii="Verdana" w:eastAsiaTheme="minorHAnsi" w:hAnsi="Verdana" w:cs="Times New Roman"/>
          <w:color w:val="000000" w:themeColor="text1"/>
          <w:sz w:val="20"/>
          <w:szCs w:val="20"/>
          <w:lang w:val="en-US"/>
        </w:rPr>
        <w:t xml:space="preserve"> the Cayman Islands or the United States.   T</w:t>
      </w:r>
      <w:r w:rsidR="00D0018A" w:rsidRPr="00B75B12">
        <w:rPr>
          <w:rFonts w:ascii="Verdana" w:eastAsiaTheme="minorHAnsi" w:hAnsi="Verdana" w:cs="Times New Roman"/>
          <w:color w:val="000000" w:themeColor="text1"/>
          <w:sz w:val="20"/>
          <w:szCs w:val="20"/>
          <w:lang w:val="en-US"/>
        </w:rPr>
        <w:t xml:space="preserve">he customer risk is </w:t>
      </w:r>
      <w:r>
        <w:rPr>
          <w:rFonts w:ascii="Verdana" w:eastAsiaTheme="minorHAnsi" w:hAnsi="Verdana" w:cs="Times New Roman"/>
          <w:color w:val="000000" w:themeColor="text1"/>
          <w:sz w:val="20"/>
          <w:szCs w:val="20"/>
          <w:lang w:val="en-US"/>
        </w:rPr>
        <w:t xml:space="preserve">therefore </w:t>
      </w:r>
      <w:r w:rsidR="00D0018A" w:rsidRPr="00B75B12">
        <w:rPr>
          <w:rFonts w:ascii="Verdana" w:eastAsiaTheme="minorHAnsi" w:hAnsi="Verdana" w:cs="Times New Roman"/>
          <w:color w:val="000000" w:themeColor="text1"/>
          <w:sz w:val="20"/>
          <w:szCs w:val="20"/>
          <w:lang w:val="en-US"/>
        </w:rPr>
        <w:t xml:space="preserve">assessed as Medium Low. </w:t>
      </w:r>
    </w:p>
    <w:p w14:paraId="35BF3E13" w14:textId="77777777" w:rsidR="00D83871" w:rsidRDefault="00D83871" w:rsidP="00D83871">
      <w:pPr>
        <w:rPr>
          <w:rFonts w:ascii="Verdana" w:eastAsiaTheme="majorEastAsia" w:hAnsi="Verdana" w:cstheme="majorBidi"/>
          <w:b/>
          <w:spacing w:val="5"/>
          <w:kern w:val="28"/>
        </w:rPr>
      </w:pPr>
    </w:p>
    <w:p w14:paraId="4C57392F" w14:textId="012F24AA" w:rsidR="00D83871" w:rsidRPr="00246331" w:rsidRDefault="00D83871" w:rsidP="00D83871">
      <w:pPr>
        <w:rPr>
          <w:rFonts w:ascii="Verdana" w:hAnsi="Verdana"/>
          <w:i/>
        </w:rPr>
      </w:pPr>
      <w:r w:rsidRPr="002721B3">
        <w:rPr>
          <w:rFonts w:ascii="Verdana" w:hAnsi="Verdana"/>
          <w:i/>
        </w:rPr>
        <w:t xml:space="preserve">Risk rating: Medium </w:t>
      </w:r>
      <w:r w:rsidR="00D0018A" w:rsidRPr="002721B3">
        <w:rPr>
          <w:rFonts w:ascii="Verdana" w:hAnsi="Verdana"/>
          <w:i/>
        </w:rPr>
        <w:t>Low</w:t>
      </w:r>
    </w:p>
    <w:p w14:paraId="4939ACB8" w14:textId="77777777" w:rsidR="00D83871" w:rsidRPr="006918C9" w:rsidRDefault="00D83871" w:rsidP="00D83871">
      <w:pPr>
        <w:jc w:val="both"/>
        <w:rPr>
          <w:rFonts w:ascii="Verdana" w:hAnsi="Verdana"/>
        </w:rPr>
      </w:pPr>
    </w:p>
    <w:p w14:paraId="03F1C3E6" w14:textId="77777777" w:rsidR="006918C9" w:rsidRPr="006918C9" w:rsidRDefault="006918C9" w:rsidP="006918C9">
      <w:pPr>
        <w:rPr>
          <w:rFonts w:ascii="Verdana" w:eastAsiaTheme="majorEastAsia" w:hAnsi="Verdana" w:cstheme="majorBidi"/>
          <w:b/>
          <w:spacing w:val="5"/>
          <w:kern w:val="28"/>
        </w:rPr>
      </w:pPr>
    </w:p>
    <w:p w14:paraId="6CF4F4C4" w14:textId="19F2D575" w:rsidR="006918C9" w:rsidRPr="006918C9" w:rsidRDefault="00D83871" w:rsidP="006918C9">
      <w:pPr>
        <w:rPr>
          <w:rFonts w:ascii="Verdana" w:eastAsiaTheme="majorEastAsia" w:hAnsi="Verdana" w:cstheme="majorBidi"/>
          <w:b/>
          <w:spacing w:val="5"/>
          <w:kern w:val="28"/>
        </w:rPr>
      </w:pPr>
      <w:r>
        <w:rPr>
          <w:rFonts w:ascii="Verdana" w:eastAsiaTheme="majorEastAsia" w:hAnsi="Verdana" w:cstheme="majorBidi"/>
          <w:b/>
          <w:spacing w:val="5"/>
          <w:kern w:val="28"/>
        </w:rPr>
        <w:t xml:space="preserve">Risk Category </w:t>
      </w:r>
      <w:r w:rsidR="00432009">
        <w:rPr>
          <w:rFonts w:ascii="Verdana" w:eastAsiaTheme="majorEastAsia" w:hAnsi="Verdana" w:cstheme="majorBidi"/>
          <w:b/>
          <w:spacing w:val="5"/>
          <w:kern w:val="28"/>
        </w:rPr>
        <w:t>–</w:t>
      </w:r>
      <w:r>
        <w:rPr>
          <w:rFonts w:ascii="Verdana" w:eastAsiaTheme="majorEastAsia" w:hAnsi="Verdana" w:cstheme="majorBidi"/>
          <w:b/>
          <w:spacing w:val="5"/>
          <w:kern w:val="28"/>
        </w:rPr>
        <w:t xml:space="preserve"> </w:t>
      </w:r>
      <w:r w:rsidR="00432009">
        <w:rPr>
          <w:rFonts w:ascii="Verdana" w:eastAsiaTheme="majorEastAsia" w:hAnsi="Verdana" w:cstheme="majorBidi"/>
          <w:b/>
          <w:spacing w:val="5"/>
          <w:kern w:val="28"/>
        </w:rPr>
        <w:t xml:space="preserve">Transactions, </w:t>
      </w:r>
      <w:r w:rsidR="006918C9" w:rsidRPr="006918C9">
        <w:rPr>
          <w:rFonts w:ascii="Verdana" w:eastAsiaTheme="majorEastAsia" w:hAnsi="Verdana" w:cstheme="majorBidi"/>
          <w:b/>
          <w:spacing w:val="5"/>
          <w:kern w:val="28"/>
        </w:rPr>
        <w:t xml:space="preserve">Products and Services </w:t>
      </w:r>
    </w:p>
    <w:p w14:paraId="0C5EF579" w14:textId="77777777" w:rsidR="006918C9" w:rsidRPr="006918C9" w:rsidRDefault="006918C9" w:rsidP="006918C9">
      <w:pPr>
        <w:jc w:val="both"/>
        <w:rPr>
          <w:rFonts w:ascii="Verdana" w:hAnsi="Verdana"/>
        </w:rPr>
      </w:pPr>
    </w:p>
    <w:p w14:paraId="31FBD695" w14:textId="0EE868CE" w:rsidR="006918C9" w:rsidRPr="00B75B12" w:rsidRDefault="006918C9"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75B12">
        <w:rPr>
          <w:rFonts w:ascii="Verdana" w:eastAsiaTheme="minorHAnsi" w:hAnsi="Verdana" w:cs="Times New Roman"/>
          <w:color w:val="000000" w:themeColor="text1"/>
          <w:sz w:val="20"/>
          <w:szCs w:val="20"/>
          <w:lang w:val="en-US"/>
        </w:rPr>
        <w:t xml:space="preserve">The services that are </w:t>
      </w:r>
      <w:r w:rsidR="00C721A4" w:rsidRPr="00B75B12">
        <w:rPr>
          <w:rFonts w:ascii="Verdana" w:eastAsiaTheme="minorHAnsi" w:hAnsi="Verdana" w:cs="Times New Roman"/>
          <w:color w:val="000000" w:themeColor="text1"/>
          <w:sz w:val="20"/>
          <w:szCs w:val="20"/>
          <w:lang w:val="en-US"/>
        </w:rPr>
        <w:t xml:space="preserve">provided </w:t>
      </w:r>
      <w:r w:rsidR="003702F5">
        <w:rPr>
          <w:rFonts w:ascii="Verdana" w:eastAsiaTheme="minorHAnsi" w:hAnsi="Verdana" w:cs="Times New Roman"/>
          <w:color w:val="000000" w:themeColor="text1"/>
          <w:sz w:val="20"/>
          <w:szCs w:val="20"/>
          <w:lang w:val="en-US"/>
        </w:rPr>
        <w:t>by mutual fund administrators</w:t>
      </w:r>
      <w:r w:rsidR="00C721A4" w:rsidRPr="00B75B12">
        <w:rPr>
          <w:rFonts w:ascii="Verdana" w:eastAsiaTheme="minorHAnsi" w:hAnsi="Verdana" w:cs="Times New Roman"/>
          <w:color w:val="000000" w:themeColor="text1"/>
          <w:sz w:val="20"/>
          <w:szCs w:val="20"/>
          <w:lang w:val="en-US"/>
        </w:rPr>
        <w:t xml:space="preserve"> include</w:t>
      </w:r>
      <w:r w:rsidRPr="00B75B12">
        <w:rPr>
          <w:rFonts w:ascii="Verdana" w:eastAsiaTheme="minorHAnsi" w:hAnsi="Verdana" w:cs="Times New Roman"/>
          <w:color w:val="000000" w:themeColor="text1"/>
          <w:sz w:val="20"/>
          <w:szCs w:val="20"/>
          <w:lang w:val="en-US"/>
        </w:rPr>
        <w:t xml:space="preserve"> registrar and transfer agent services, net asset value calculation, directorship services, </w:t>
      </w:r>
      <w:r w:rsidR="003702F5">
        <w:rPr>
          <w:rFonts w:ascii="Verdana" w:eastAsiaTheme="minorHAnsi" w:hAnsi="Verdana" w:cs="Times New Roman"/>
          <w:color w:val="000000" w:themeColor="text1"/>
          <w:sz w:val="20"/>
          <w:szCs w:val="20"/>
          <w:lang w:val="en-US"/>
        </w:rPr>
        <w:t>R</w:t>
      </w:r>
      <w:r w:rsidR="003702F5" w:rsidRPr="00B75B12">
        <w:rPr>
          <w:rFonts w:ascii="Verdana" w:eastAsiaTheme="minorHAnsi" w:hAnsi="Verdana" w:cs="Times New Roman"/>
          <w:color w:val="000000" w:themeColor="text1"/>
          <w:sz w:val="20"/>
          <w:szCs w:val="20"/>
          <w:lang w:val="en-US"/>
        </w:rPr>
        <w:t xml:space="preserve">egistered </w:t>
      </w:r>
      <w:r w:rsidR="003702F5">
        <w:rPr>
          <w:rFonts w:ascii="Verdana" w:eastAsiaTheme="minorHAnsi" w:hAnsi="Verdana" w:cs="Times New Roman"/>
          <w:color w:val="000000" w:themeColor="text1"/>
          <w:sz w:val="20"/>
          <w:szCs w:val="20"/>
          <w:lang w:val="en-US"/>
        </w:rPr>
        <w:t>O</w:t>
      </w:r>
      <w:r w:rsidR="003702F5" w:rsidRPr="00B75B12">
        <w:rPr>
          <w:rFonts w:ascii="Verdana" w:eastAsiaTheme="minorHAnsi" w:hAnsi="Verdana" w:cs="Times New Roman"/>
          <w:color w:val="000000" w:themeColor="text1"/>
          <w:sz w:val="20"/>
          <w:szCs w:val="20"/>
          <w:lang w:val="en-US"/>
        </w:rPr>
        <w:t>ffice</w:t>
      </w:r>
      <w:r w:rsidR="009665EA" w:rsidRPr="00B75B12">
        <w:rPr>
          <w:rFonts w:ascii="Verdana" w:eastAsiaTheme="minorHAnsi" w:hAnsi="Verdana" w:cs="Times New Roman"/>
          <w:color w:val="000000" w:themeColor="text1"/>
          <w:sz w:val="20"/>
          <w:szCs w:val="20"/>
          <w:lang w:val="en-US"/>
        </w:rPr>
        <w:t xml:space="preserve">, </w:t>
      </w:r>
      <w:r w:rsidR="003702F5">
        <w:rPr>
          <w:rFonts w:ascii="Verdana" w:eastAsiaTheme="minorHAnsi" w:hAnsi="Verdana" w:cs="Times New Roman"/>
          <w:color w:val="000000" w:themeColor="text1"/>
          <w:sz w:val="20"/>
          <w:szCs w:val="20"/>
          <w:lang w:val="en-US"/>
        </w:rPr>
        <w:lastRenderedPageBreak/>
        <w:t>P</w:t>
      </w:r>
      <w:r w:rsidR="009665EA" w:rsidRPr="00B75B12">
        <w:rPr>
          <w:rFonts w:ascii="Verdana" w:eastAsiaTheme="minorHAnsi" w:hAnsi="Verdana" w:cs="Times New Roman"/>
          <w:color w:val="000000" w:themeColor="text1"/>
          <w:sz w:val="20"/>
          <w:szCs w:val="20"/>
          <w:lang w:val="en-US"/>
        </w:rPr>
        <w:t xml:space="preserve">rincipal </w:t>
      </w:r>
      <w:r w:rsidR="003702F5">
        <w:rPr>
          <w:rFonts w:ascii="Verdana" w:eastAsiaTheme="minorHAnsi" w:hAnsi="Verdana" w:cs="Times New Roman"/>
          <w:color w:val="000000" w:themeColor="text1"/>
          <w:sz w:val="20"/>
          <w:szCs w:val="20"/>
          <w:lang w:val="en-US"/>
        </w:rPr>
        <w:t>O</w:t>
      </w:r>
      <w:r w:rsidR="009665EA" w:rsidRPr="00B75B12">
        <w:rPr>
          <w:rFonts w:ascii="Verdana" w:eastAsiaTheme="minorHAnsi" w:hAnsi="Verdana" w:cs="Times New Roman"/>
          <w:color w:val="000000" w:themeColor="text1"/>
          <w:sz w:val="20"/>
          <w:szCs w:val="20"/>
          <w:lang w:val="en-US"/>
        </w:rPr>
        <w:t xml:space="preserve">ffice and </w:t>
      </w:r>
      <w:r w:rsidRPr="00B75B12">
        <w:rPr>
          <w:rFonts w:ascii="Verdana" w:eastAsiaTheme="minorHAnsi" w:hAnsi="Verdana" w:cs="Times New Roman"/>
          <w:color w:val="000000" w:themeColor="text1"/>
          <w:sz w:val="20"/>
          <w:szCs w:val="20"/>
          <w:lang w:val="en-US"/>
        </w:rPr>
        <w:t>tax reporting</w:t>
      </w:r>
      <w:r w:rsidR="009665EA" w:rsidRPr="00B75B12">
        <w:rPr>
          <w:rFonts w:ascii="Verdana" w:eastAsiaTheme="minorHAnsi" w:hAnsi="Verdana" w:cs="Times New Roman"/>
          <w:color w:val="000000" w:themeColor="text1"/>
          <w:sz w:val="20"/>
          <w:szCs w:val="20"/>
          <w:lang w:val="en-US"/>
        </w:rPr>
        <w:t xml:space="preserve"> and </w:t>
      </w:r>
      <w:r w:rsidR="003702F5">
        <w:rPr>
          <w:rFonts w:ascii="Verdana" w:eastAsiaTheme="minorHAnsi" w:hAnsi="Verdana" w:cs="Times New Roman"/>
          <w:color w:val="000000" w:themeColor="text1"/>
          <w:sz w:val="20"/>
          <w:szCs w:val="20"/>
          <w:lang w:val="en-US"/>
        </w:rPr>
        <w:t>O</w:t>
      </w:r>
      <w:r w:rsidR="009665EA" w:rsidRPr="00B75B12">
        <w:rPr>
          <w:rFonts w:ascii="Verdana" w:eastAsiaTheme="minorHAnsi" w:hAnsi="Verdana" w:cs="Times New Roman"/>
          <w:color w:val="000000" w:themeColor="text1"/>
          <w:sz w:val="20"/>
          <w:szCs w:val="20"/>
          <w:lang w:val="en-US"/>
        </w:rPr>
        <w:t xml:space="preserve">ther </w:t>
      </w:r>
      <w:r w:rsidR="003702F5">
        <w:rPr>
          <w:rFonts w:ascii="Verdana" w:eastAsiaTheme="minorHAnsi" w:hAnsi="Verdana" w:cs="Times New Roman"/>
          <w:color w:val="000000" w:themeColor="text1"/>
          <w:sz w:val="20"/>
          <w:szCs w:val="20"/>
          <w:lang w:val="en-US"/>
        </w:rPr>
        <w:t>S</w:t>
      </w:r>
      <w:r w:rsidR="009665EA" w:rsidRPr="00B75B12">
        <w:rPr>
          <w:rFonts w:ascii="Verdana" w:eastAsiaTheme="minorHAnsi" w:hAnsi="Verdana" w:cs="Times New Roman"/>
          <w:color w:val="000000" w:themeColor="text1"/>
          <w:sz w:val="20"/>
          <w:szCs w:val="20"/>
          <w:lang w:val="en-US"/>
        </w:rPr>
        <w:t>ervices</w:t>
      </w:r>
      <w:r w:rsidRPr="00B75B12">
        <w:rPr>
          <w:rFonts w:ascii="Verdana" w:eastAsiaTheme="minorHAnsi" w:hAnsi="Verdana" w:cs="Times New Roman"/>
          <w:color w:val="000000" w:themeColor="text1"/>
          <w:sz w:val="20"/>
          <w:szCs w:val="20"/>
          <w:lang w:val="en-US"/>
        </w:rPr>
        <w:t xml:space="preserve"> (FATCA/CRS).  The </w:t>
      </w:r>
      <w:r w:rsidR="003702F5">
        <w:rPr>
          <w:rFonts w:ascii="Verdana" w:eastAsiaTheme="minorHAnsi" w:hAnsi="Verdana" w:cs="Times New Roman"/>
          <w:color w:val="000000" w:themeColor="text1"/>
          <w:sz w:val="20"/>
          <w:szCs w:val="20"/>
          <w:lang w:val="en-US"/>
        </w:rPr>
        <w:t xml:space="preserve">core </w:t>
      </w:r>
      <w:r w:rsidRPr="00B75B12">
        <w:rPr>
          <w:rFonts w:ascii="Verdana" w:eastAsiaTheme="minorHAnsi" w:hAnsi="Verdana" w:cs="Times New Roman"/>
          <w:color w:val="000000" w:themeColor="text1"/>
          <w:sz w:val="20"/>
          <w:szCs w:val="20"/>
          <w:lang w:val="en-US"/>
        </w:rPr>
        <w:t xml:space="preserve">services </w:t>
      </w:r>
      <w:r w:rsidR="009665EA" w:rsidRPr="00B75B12">
        <w:rPr>
          <w:rFonts w:ascii="Verdana" w:eastAsiaTheme="minorHAnsi" w:hAnsi="Verdana" w:cs="Times New Roman"/>
          <w:color w:val="000000" w:themeColor="text1"/>
          <w:sz w:val="20"/>
          <w:szCs w:val="20"/>
          <w:lang w:val="en-US"/>
        </w:rPr>
        <w:t>of</w:t>
      </w:r>
      <w:r w:rsidRPr="00B75B12">
        <w:rPr>
          <w:rFonts w:ascii="Verdana" w:eastAsiaTheme="minorHAnsi" w:hAnsi="Verdana" w:cs="Times New Roman"/>
          <w:color w:val="000000" w:themeColor="text1"/>
          <w:sz w:val="20"/>
          <w:szCs w:val="20"/>
          <w:lang w:val="en-US"/>
        </w:rPr>
        <w:t xml:space="preserve"> registrar and transfer agent exposes </w:t>
      </w:r>
      <w:r w:rsidR="003702F5">
        <w:rPr>
          <w:rFonts w:ascii="Verdana" w:eastAsiaTheme="minorHAnsi" w:hAnsi="Verdana" w:cs="Times New Roman"/>
          <w:color w:val="000000" w:themeColor="text1"/>
          <w:sz w:val="20"/>
          <w:szCs w:val="20"/>
          <w:lang w:val="en-US"/>
        </w:rPr>
        <w:t>mutual fund administrators</w:t>
      </w:r>
      <w:r w:rsidRPr="00B75B12">
        <w:rPr>
          <w:rFonts w:ascii="Verdana" w:eastAsiaTheme="minorHAnsi" w:hAnsi="Verdana" w:cs="Times New Roman"/>
          <w:color w:val="000000" w:themeColor="text1"/>
          <w:sz w:val="20"/>
          <w:szCs w:val="20"/>
          <w:lang w:val="en-US"/>
        </w:rPr>
        <w:t xml:space="preserve"> to </w:t>
      </w:r>
      <w:r w:rsidR="008C6C92" w:rsidRPr="00B75B12">
        <w:rPr>
          <w:rFonts w:ascii="Verdana" w:eastAsiaTheme="minorHAnsi" w:hAnsi="Verdana" w:cs="Times New Roman"/>
          <w:color w:val="000000" w:themeColor="text1"/>
          <w:sz w:val="20"/>
          <w:szCs w:val="20"/>
          <w:lang w:val="en-US"/>
        </w:rPr>
        <w:t>higher</w:t>
      </w:r>
      <w:r w:rsidRPr="00B75B12">
        <w:rPr>
          <w:rFonts w:ascii="Verdana" w:eastAsiaTheme="minorHAnsi" w:hAnsi="Verdana" w:cs="Times New Roman"/>
          <w:color w:val="000000" w:themeColor="text1"/>
          <w:sz w:val="20"/>
          <w:szCs w:val="20"/>
          <w:lang w:val="en-US"/>
        </w:rPr>
        <w:t xml:space="preserve"> </w:t>
      </w:r>
      <w:r w:rsidR="003702F5">
        <w:rPr>
          <w:rFonts w:ascii="Verdana" w:eastAsiaTheme="minorHAnsi" w:hAnsi="Verdana" w:cs="Times New Roman"/>
          <w:color w:val="000000" w:themeColor="text1"/>
          <w:sz w:val="20"/>
          <w:szCs w:val="20"/>
          <w:lang w:val="en-US"/>
        </w:rPr>
        <w:t xml:space="preserve">ML/TF </w:t>
      </w:r>
      <w:r w:rsidRPr="00B75B12">
        <w:rPr>
          <w:rFonts w:ascii="Verdana" w:eastAsiaTheme="minorHAnsi" w:hAnsi="Verdana" w:cs="Times New Roman"/>
          <w:color w:val="000000" w:themeColor="text1"/>
          <w:sz w:val="20"/>
          <w:szCs w:val="20"/>
          <w:lang w:val="en-US"/>
        </w:rPr>
        <w:t>risk</w:t>
      </w:r>
      <w:r w:rsidR="003702F5">
        <w:rPr>
          <w:rFonts w:ascii="Verdana" w:eastAsiaTheme="minorHAnsi" w:hAnsi="Verdana" w:cs="Times New Roman"/>
          <w:color w:val="000000" w:themeColor="text1"/>
          <w:sz w:val="20"/>
          <w:szCs w:val="20"/>
          <w:lang w:val="en-US"/>
        </w:rPr>
        <w:t>s</w:t>
      </w:r>
      <w:r w:rsidRPr="00B75B12">
        <w:rPr>
          <w:rFonts w:ascii="Verdana" w:eastAsiaTheme="minorHAnsi" w:hAnsi="Verdana" w:cs="Times New Roman"/>
          <w:color w:val="000000" w:themeColor="text1"/>
          <w:sz w:val="20"/>
          <w:szCs w:val="20"/>
          <w:lang w:val="en-US"/>
        </w:rPr>
        <w:t xml:space="preserve">. </w:t>
      </w:r>
      <w:r w:rsidR="003702F5">
        <w:rPr>
          <w:rFonts w:ascii="Verdana" w:eastAsiaTheme="minorHAnsi" w:hAnsi="Verdana" w:cs="Times New Roman"/>
          <w:color w:val="000000" w:themeColor="text1"/>
          <w:sz w:val="20"/>
          <w:szCs w:val="20"/>
          <w:lang w:val="en-US"/>
        </w:rPr>
        <w:t>The data indicate</w:t>
      </w:r>
      <w:r w:rsidR="00FC7226">
        <w:rPr>
          <w:rFonts w:ascii="Verdana" w:eastAsiaTheme="minorHAnsi" w:hAnsi="Verdana" w:cs="Times New Roman"/>
          <w:color w:val="000000" w:themeColor="text1"/>
          <w:sz w:val="20"/>
          <w:szCs w:val="20"/>
          <w:lang w:val="en-US"/>
        </w:rPr>
        <w:t>s</w:t>
      </w:r>
      <w:r w:rsidR="003702F5">
        <w:rPr>
          <w:rFonts w:ascii="Verdana" w:eastAsiaTheme="minorHAnsi" w:hAnsi="Verdana" w:cs="Times New Roman"/>
          <w:color w:val="000000" w:themeColor="text1"/>
          <w:sz w:val="20"/>
          <w:szCs w:val="20"/>
          <w:lang w:val="en-US"/>
        </w:rPr>
        <w:t xml:space="preserve"> that</w:t>
      </w:r>
      <w:r w:rsidRPr="00B75B12">
        <w:rPr>
          <w:rFonts w:ascii="Verdana" w:eastAsiaTheme="minorHAnsi" w:hAnsi="Verdana" w:cs="Times New Roman"/>
          <w:color w:val="000000" w:themeColor="text1"/>
          <w:sz w:val="20"/>
          <w:szCs w:val="20"/>
          <w:lang w:val="en-US"/>
        </w:rPr>
        <w:t xml:space="preserve"> </w:t>
      </w:r>
      <w:r w:rsidR="009665EA" w:rsidRPr="00B75B12">
        <w:rPr>
          <w:rFonts w:ascii="Verdana" w:eastAsiaTheme="minorHAnsi" w:hAnsi="Verdana" w:cs="Times New Roman"/>
          <w:color w:val="000000" w:themeColor="text1"/>
          <w:sz w:val="20"/>
          <w:szCs w:val="20"/>
          <w:lang w:val="en-US"/>
        </w:rPr>
        <w:t>7</w:t>
      </w:r>
      <w:r w:rsidR="002413A4">
        <w:rPr>
          <w:rFonts w:ascii="Verdana" w:eastAsiaTheme="minorHAnsi" w:hAnsi="Verdana" w:cs="Times New Roman"/>
          <w:color w:val="000000" w:themeColor="text1"/>
          <w:sz w:val="20"/>
          <w:szCs w:val="20"/>
          <w:lang w:val="en-US"/>
        </w:rPr>
        <w:t>4</w:t>
      </w:r>
      <w:r w:rsidRPr="00B75B12">
        <w:rPr>
          <w:rFonts w:ascii="Verdana" w:eastAsiaTheme="minorHAnsi" w:hAnsi="Verdana" w:cs="Times New Roman"/>
          <w:color w:val="000000" w:themeColor="text1"/>
          <w:sz w:val="20"/>
          <w:szCs w:val="20"/>
          <w:lang w:val="en-US"/>
        </w:rPr>
        <w:t xml:space="preserve">% </w:t>
      </w:r>
      <w:r w:rsidR="002413A4">
        <w:rPr>
          <w:rFonts w:ascii="Verdana" w:eastAsiaTheme="minorHAnsi" w:hAnsi="Verdana" w:cs="Times New Roman"/>
          <w:color w:val="000000" w:themeColor="text1"/>
          <w:sz w:val="20"/>
          <w:szCs w:val="20"/>
          <w:lang w:val="en-US"/>
        </w:rPr>
        <w:t xml:space="preserve">and 71% </w:t>
      </w:r>
      <w:r w:rsidRPr="00B75B12">
        <w:rPr>
          <w:rFonts w:ascii="Verdana" w:eastAsiaTheme="minorHAnsi" w:hAnsi="Verdana" w:cs="Times New Roman"/>
          <w:color w:val="000000" w:themeColor="text1"/>
          <w:sz w:val="20"/>
          <w:szCs w:val="20"/>
          <w:lang w:val="en-US"/>
        </w:rPr>
        <w:t xml:space="preserve">of the </w:t>
      </w:r>
      <w:r w:rsidR="003702F5">
        <w:rPr>
          <w:rFonts w:ascii="Verdana" w:eastAsiaTheme="minorHAnsi" w:hAnsi="Verdana" w:cs="Times New Roman"/>
          <w:color w:val="000000" w:themeColor="text1"/>
          <w:sz w:val="20"/>
          <w:szCs w:val="20"/>
          <w:lang w:val="en-US"/>
        </w:rPr>
        <w:t xml:space="preserve">mutual fund administrators </w:t>
      </w:r>
      <w:r w:rsidRPr="00B75B12">
        <w:rPr>
          <w:rFonts w:ascii="Verdana" w:eastAsiaTheme="minorHAnsi" w:hAnsi="Verdana" w:cs="Times New Roman"/>
          <w:color w:val="000000" w:themeColor="text1"/>
          <w:sz w:val="20"/>
          <w:szCs w:val="20"/>
          <w:lang w:val="en-US"/>
        </w:rPr>
        <w:t xml:space="preserve">provide RTA </w:t>
      </w:r>
      <w:r w:rsidR="003D01C4">
        <w:rPr>
          <w:rFonts w:ascii="Verdana" w:eastAsiaTheme="minorHAnsi" w:hAnsi="Verdana" w:cs="Times New Roman"/>
          <w:color w:val="000000" w:themeColor="text1"/>
          <w:sz w:val="20"/>
          <w:szCs w:val="20"/>
          <w:lang w:val="en-US"/>
        </w:rPr>
        <w:t xml:space="preserve">and NAV </w:t>
      </w:r>
      <w:r w:rsidRPr="00B75B12">
        <w:rPr>
          <w:rFonts w:ascii="Verdana" w:eastAsiaTheme="minorHAnsi" w:hAnsi="Verdana" w:cs="Times New Roman"/>
          <w:color w:val="000000" w:themeColor="text1"/>
          <w:sz w:val="20"/>
          <w:szCs w:val="20"/>
          <w:lang w:val="en-US"/>
        </w:rPr>
        <w:t>services</w:t>
      </w:r>
      <w:r w:rsidR="002413A4">
        <w:rPr>
          <w:rFonts w:ascii="Verdana" w:eastAsiaTheme="minorHAnsi" w:hAnsi="Verdana" w:cs="Times New Roman"/>
          <w:color w:val="000000" w:themeColor="text1"/>
          <w:sz w:val="20"/>
          <w:szCs w:val="20"/>
          <w:lang w:val="en-US"/>
        </w:rPr>
        <w:t xml:space="preserve"> respectively and 30</w:t>
      </w:r>
      <w:r w:rsidRPr="00B75B12">
        <w:rPr>
          <w:rFonts w:ascii="Verdana" w:eastAsiaTheme="minorHAnsi" w:hAnsi="Verdana" w:cs="Times New Roman"/>
          <w:color w:val="000000" w:themeColor="text1"/>
          <w:sz w:val="20"/>
          <w:szCs w:val="20"/>
          <w:lang w:val="en-US"/>
        </w:rPr>
        <w:t>% directorships</w:t>
      </w:r>
      <w:r w:rsidR="003702F5">
        <w:rPr>
          <w:rFonts w:ascii="Verdana" w:eastAsiaTheme="minorHAnsi" w:hAnsi="Verdana" w:cs="Times New Roman"/>
          <w:color w:val="000000" w:themeColor="text1"/>
          <w:sz w:val="20"/>
          <w:szCs w:val="20"/>
          <w:lang w:val="en-US"/>
        </w:rPr>
        <w:t xml:space="preserve">. </w:t>
      </w:r>
      <w:r w:rsidR="002413A4">
        <w:rPr>
          <w:rFonts w:ascii="Verdana" w:eastAsiaTheme="minorHAnsi" w:hAnsi="Verdana" w:cs="Times New Roman"/>
          <w:color w:val="000000" w:themeColor="text1"/>
          <w:sz w:val="20"/>
          <w:szCs w:val="20"/>
          <w:lang w:val="en-US"/>
        </w:rPr>
        <w:t>73%</w:t>
      </w:r>
      <w:r w:rsidR="003702F5">
        <w:rPr>
          <w:rFonts w:ascii="Verdana" w:eastAsiaTheme="minorHAnsi" w:hAnsi="Verdana" w:cs="Times New Roman"/>
          <w:color w:val="000000" w:themeColor="text1"/>
          <w:sz w:val="20"/>
          <w:szCs w:val="20"/>
          <w:lang w:val="en-US"/>
        </w:rPr>
        <w:t xml:space="preserve"> provide a combination of </w:t>
      </w:r>
      <w:r w:rsidR="00A1127E">
        <w:rPr>
          <w:rFonts w:ascii="Verdana" w:eastAsiaTheme="minorHAnsi" w:hAnsi="Verdana" w:cs="Times New Roman"/>
          <w:color w:val="000000" w:themeColor="text1"/>
          <w:sz w:val="20"/>
          <w:szCs w:val="20"/>
          <w:lang w:val="en-US"/>
        </w:rPr>
        <w:t xml:space="preserve">RTA and </w:t>
      </w:r>
      <w:proofErr w:type="spellStart"/>
      <w:r w:rsidR="00A1127E">
        <w:rPr>
          <w:rFonts w:ascii="Verdana" w:eastAsiaTheme="minorHAnsi" w:hAnsi="Verdana" w:cs="Times New Roman"/>
          <w:color w:val="000000" w:themeColor="text1"/>
          <w:sz w:val="20"/>
          <w:szCs w:val="20"/>
          <w:lang w:val="en-US"/>
        </w:rPr>
        <w:t>NAV</w:t>
      </w:r>
      <w:r w:rsidR="003702F5">
        <w:rPr>
          <w:rFonts w:ascii="Verdana" w:eastAsiaTheme="minorHAnsi" w:hAnsi="Verdana" w:cs="Times New Roman"/>
          <w:color w:val="000000" w:themeColor="text1"/>
          <w:sz w:val="20"/>
          <w:szCs w:val="20"/>
          <w:lang w:val="en-US"/>
        </w:rPr>
        <w:t>o</w:t>
      </w:r>
      <w:proofErr w:type="spellEnd"/>
      <w:r w:rsidR="003702F5">
        <w:rPr>
          <w:rFonts w:ascii="Verdana" w:eastAsiaTheme="minorHAnsi" w:hAnsi="Verdana" w:cs="Times New Roman"/>
          <w:color w:val="000000" w:themeColor="text1"/>
          <w:sz w:val="20"/>
          <w:szCs w:val="20"/>
          <w:lang w:val="en-US"/>
        </w:rPr>
        <w:t xml:space="preserve"> services,</w:t>
      </w:r>
      <w:r w:rsidR="008C6C92" w:rsidRPr="00B75B12">
        <w:rPr>
          <w:rFonts w:ascii="Verdana" w:eastAsiaTheme="minorHAnsi" w:hAnsi="Verdana" w:cs="Times New Roman"/>
          <w:color w:val="000000" w:themeColor="text1"/>
          <w:sz w:val="20"/>
          <w:szCs w:val="20"/>
          <w:lang w:val="en-US"/>
        </w:rPr>
        <w:t xml:space="preserve"> while </w:t>
      </w:r>
      <w:r w:rsidR="009F3808">
        <w:rPr>
          <w:rFonts w:ascii="Verdana" w:eastAsiaTheme="minorHAnsi" w:hAnsi="Verdana" w:cs="Times New Roman"/>
          <w:color w:val="000000" w:themeColor="text1"/>
          <w:sz w:val="20"/>
          <w:szCs w:val="20"/>
          <w:lang w:val="en-US"/>
        </w:rPr>
        <w:t>79</w:t>
      </w:r>
      <w:r w:rsidR="008C6C92" w:rsidRPr="00B75B12">
        <w:rPr>
          <w:rFonts w:ascii="Verdana" w:eastAsiaTheme="minorHAnsi" w:hAnsi="Verdana" w:cs="Times New Roman"/>
          <w:color w:val="000000" w:themeColor="text1"/>
          <w:sz w:val="20"/>
          <w:szCs w:val="20"/>
          <w:lang w:val="en-US"/>
        </w:rPr>
        <w:t>%</w:t>
      </w:r>
      <w:r w:rsidR="003702F5">
        <w:rPr>
          <w:rFonts w:ascii="Verdana" w:eastAsiaTheme="minorHAnsi" w:hAnsi="Verdana" w:cs="Times New Roman"/>
          <w:color w:val="000000" w:themeColor="text1"/>
          <w:sz w:val="20"/>
          <w:szCs w:val="20"/>
          <w:lang w:val="en-US"/>
        </w:rPr>
        <w:t xml:space="preserve"> of the mutual fund administrators</w:t>
      </w:r>
      <w:r w:rsidR="008C6C92" w:rsidRPr="00B75B12">
        <w:rPr>
          <w:rFonts w:ascii="Verdana" w:eastAsiaTheme="minorHAnsi" w:hAnsi="Verdana" w:cs="Times New Roman"/>
          <w:color w:val="000000" w:themeColor="text1"/>
          <w:sz w:val="20"/>
          <w:szCs w:val="20"/>
          <w:lang w:val="en-US"/>
        </w:rPr>
        <w:t xml:space="preserve"> </w:t>
      </w:r>
      <w:r w:rsidR="003702F5">
        <w:rPr>
          <w:rFonts w:ascii="Verdana" w:eastAsiaTheme="minorHAnsi" w:hAnsi="Verdana" w:cs="Times New Roman"/>
          <w:color w:val="000000" w:themeColor="text1"/>
          <w:sz w:val="20"/>
          <w:szCs w:val="20"/>
          <w:lang w:val="en-US"/>
        </w:rPr>
        <w:t>survey</w:t>
      </w:r>
      <w:r w:rsidR="00766CAE">
        <w:rPr>
          <w:rFonts w:ascii="Verdana" w:eastAsiaTheme="minorHAnsi" w:hAnsi="Verdana" w:cs="Times New Roman"/>
          <w:color w:val="000000" w:themeColor="text1"/>
          <w:sz w:val="20"/>
          <w:szCs w:val="20"/>
          <w:lang w:val="en-US"/>
        </w:rPr>
        <w:t>ed</w:t>
      </w:r>
      <w:r w:rsidR="003702F5">
        <w:rPr>
          <w:rFonts w:ascii="Verdana" w:eastAsiaTheme="minorHAnsi" w:hAnsi="Verdana" w:cs="Times New Roman"/>
          <w:color w:val="000000" w:themeColor="text1"/>
          <w:sz w:val="20"/>
          <w:szCs w:val="20"/>
          <w:lang w:val="en-US"/>
        </w:rPr>
        <w:t xml:space="preserve"> </w:t>
      </w:r>
      <w:r w:rsidR="008C6C92" w:rsidRPr="00B75B12">
        <w:rPr>
          <w:rFonts w:ascii="Verdana" w:eastAsiaTheme="minorHAnsi" w:hAnsi="Verdana" w:cs="Times New Roman"/>
          <w:color w:val="000000" w:themeColor="text1"/>
          <w:sz w:val="20"/>
          <w:szCs w:val="20"/>
          <w:lang w:val="en-US"/>
        </w:rPr>
        <w:t xml:space="preserve">provide </w:t>
      </w:r>
      <w:r w:rsidR="003702F5">
        <w:rPr>
          <w:rFonts w:ascii="Verdana" w:eastAsiaTheme="minorHAnsi" w:hAnsi="Verdana" w:cs="Times New Roman"/>
          <w:color w:val="000000" w:themeColor="text1"/>
          <w:sz w:val="20"/>
          <w:szCs w:val="20"/>
          <w:lang w:val="en-US"/>
        </w:rPr>
        <w:t>O</w:t>
      </w:r>
      <w:r w:rsidR="008C6C92" w:rsidRPr="00B75B12">
        <w:rPr>
          <w:rFonts w:ascii="Verdana" w:eastAsiaTheme="minorHAnsi" w:hAnsi="Verdana" w:cs="Times New Roman"/>
          <w:color w:val="000000" w:themeColor="text1"/>
          <w:sz w:val="20"/>
          <w:szCs w:val="20"/>
          <w:lang w:val="en-US"/>
        </w:rPr>
        <w:t xml:space="preserve">ther </w:t>
      </w:r>
      <w:r w:rsidR="003702F5">
        <w:rPr>
          <w:rFonts w:ascii="Verdana" w:eastAsiaTheme="minorHAnsi" w:hAnsi="Verdana" w:cs="Times New Roman"/>
          <w:color w:val="000000" w:themeColor="text1"/>
          <w:sz w:val="20"/>
          <w:szCs w:val="20"/>
          <w:lang w:val="en-US"/>
        </w:rPr>
        <w:t>S</w:t>
      </w:r>
      <w:r w:rsidR="008C6C92" w:rsidRPr="00B75B12">
        <w:rPr>
          <w:rFonts w:ascii="Verdana" w:eastAsiaTheme="minorHAnsi" w:hAnsi="Verdana" w:cs="Times New Roman"/>
          <w:color w:val="000000" w:themeColor="text1"/>
          <w:sz w:val="20"/>
          <w:szCs w:val="20"/>
          <w:lang w:val="en-US"/>
        </w:rPr>
        <w:t>ervices</w:t>
      </w:r>
      <w:r w:rsidR="003702F5">
        <w:rPr>
          <w:rFonts w:ascii="Verdana" w:eastAsiaTheme="minorHAnsi" w:hAnsi="Verdana" w:cs="Times New Roman"/>
          <w:color w:val="000000" w:themeColor="text1"/>
          <w:sz w:val="20"/>
          <w:szCs w:val="20"/>
          <w:lang w:val="en-US"/>
        </w:rPr>
        <w:t xml:space="preserve"> in addition to the two core services</w:t>
      </w:r>
      <w:r w:rsidR="008C6C92" w:rsidRPr="00B75B12">
        <w:rPr>
          <w:rFonts w:ascii="Verdana" w:eastAsiaTheme="minorHAnsi" w:hAnsi="Verdana" w:cs="Times New Roman"/>
          <w:color w:val="000000" w:themeColor="text1"/>
          <w:sz w:val="20"/>
          <w:szCs w:val="20"/>
          <w:lang w:val="en-US"/>
        </w:rPr>
        <w:t>.</w:t>
      </w:r>
    </w:p>
    <w:p w14:paraId="53241278" w14:textId="16F606CD" w:rsidR="001203E5" w:rsidRDefault="001203E5" w:rsidP="00B75B12">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3C0C805A" w14:textId="77777777" w:rsidR="00762E49" w:rsidRPr="00125E84" w:rsidRDefault="00762E49" w:rsidP="00125E84">
      <w:pPr>
        <w:rPr>
          <w:rFonts w:eastAsiaTheme="minorHAnsi"/>
          <w:lang w:val="en-US"/>
        </w:rPr>
      </w:pPr>
    </w:p>
    <w:p w14:paraId="6322CD9C" w14:textId="050959B7" w:rsidR="001203E5" w:rsidRPr="007E2878" w:rsidRDefault="001203E5"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75B12">
        <w:rPr>
          <w:rFonts w:ascii="Verdana" w:eastAsiaTheme="minorHAnsi" w:hAnsi="Verdana" w:cs="Times New Roman"/>
          <w:color w:val="000000" w:themeColor="text1"/>
          <w:sz w:val="20"/>
          <w:szCs w:val="20"/>
          <w:lang w:val="en-US"/>
        </w:rPr>
        <w:t xml:space="preserve">Further analysis of the data reveals that of those </w:t>
      </w:r>
      <w:r w:rsidR="009A11C1">
        <w:rPr>
          <w:rFonts w:ascii="Verdana" w:eastAsiaTheme="minorHAnsi" w:hAnsi="Verdana" w:cs="Times New Roman"/>
          <w:color w:val="000000" w:themeColor="text1"/>
          <w:sz w:val="20"/>
          <w:szCs w:val="20"/>
          <w:lang w:val="en-US"/>
        </w:rPr>
        <w:t>mutual fund administrators</w:t>
      </w:r>
      <w:r w:rsidR="009A11C1" w:rsidRPr="00B75B12">
        <w:rPr>
          <w:rFonts w:ascii="Verdana" w:eastAsiaTheme="minorHAnsi" w:hAnsi="Verdana" w:cs="Times New Roman"/>
          <w:color w:val="000000" w:themeColor="text1"/>
          <w:sz w:val="20"/>
          <w:szCs w:val="20"/>
          <w:lang w:val="en-US"/>
        </w:rPr>
        <w:t xml:space="preserve"> </w:t>
      </w:r>
      <w:r w:rsidRPr="00B75B12">
        <w:rPr>
          <w:rFonts w:ascii="Verdana" w:eastAsiaTheme="minorHAnsi" w:hAnsi="Verdana" w:cs="Times New Roman"/>
          <w:color w:val="000000" w:themeColor="text1"/>
          <w:sz w:val="20"/>
          <w:szCs w:val="20"/>
          <w:lang w:val="en-US"/>
        </w:rPr>
        <w:t xml:space="preserve">who provide the above services, 70% of the RTA services, 68% of the NAV, 61% of the directorships and 87% of </w:t>
      </w:r>
      <w:r w:rsidRPr="00374218">
        <w:rPr>
          <w:rFonts w:ascii="Verdana" w:eastAsiaTheme="minorHAnsi" w:hAnsi="Verdana" w:cs="Times New Roman"/>
          <w:color w:val="000000" w:themeColor="text1"/>
          <w:sz w:val="20"/>
          <w:szCs w:val="20"/>
          <w:lang w:val="en-US"/>
        </w:rPr>
        <w:t xml:space="preserve">the </w:t>
      </w:r>
      <w:r w:rsidR="00A1127E" w:rsidRPr="00374218">
        <w:rPr>
          <w:rFonts w:ascii="Verdana" w:eastAsiaTheme="minorHAnsi" w:hAnsi="Verdana" w:cs="Times New Roman"/>
          <w:color w:val="000000" w:themeColor="text1"/>
          <w:sz w:val="20"/>
          <w:szCs w:val="20"/>
          <w:lang w:val="en-US"/>
        </w:rPr>
        <w:t>registered office</w:t>
      </w:r>
      <w:r w:rsidRPr="00374218">
        <w:rPr>
          <w:rFonts w:ascii="Verdana" w:eastAsiaTheme="minorHAnsi" w:hAnsi="Verdana" w:cs="Times New Roman"/>
          <w:color w:val="000000" w:themeColor="text1"/>
          <w:sz w:val="20"/>
          <w:szCs w:val="20"/>
          <w:lang w:val="en-US"/>
        </w:rPr>
        <w:t xml:space="preserve"> services are offered to unregulated entities</w:t>
      </w:r>
      <w:r w:rsidR="00CF1C66" w:rsidRPr="00B75B12">
        <w:rPr>
          <w:rFonts w:ascii="Verdana" w:eastAsiaTheme="minorHAnsi" w:hAnsi="Verdana" w:cs="Times New Roman"/>
          <w:color w:val="000000" w:themeColor="text1"/>
          <w:sz w:val="20"/>
          <w:szCs w:val="20"/>
          <w:lang w:val="en-US"/>
        </w:rPr>
        <w:t xml:space="preserve">, </w:t>
      </w:r>
      <w:r w:rsidR="00CF1C66" w:rsidRPr="007E2878">
        <w:rPr>
          <w:rFonts w:ascii="Verdana" w:eastAsiaTheme="minorHAnsi" w:hAnsi="Verdana" w:cs="Times New Roman"/>
          <w:color w:val="000000" w:themeColor="text1"/>
          <w:sz w:val="20"/>
          <w:szCs w:val="20"/>
          <w:lang w:val="en-US"/>
        </w:rPr>
        <w:t>increasing the</w:t>
      </w:r>
      <w:r w:rsidR="009A11C1" w:rsidRPr="007E2878">
        <w:rPr>
          <w:rFonts w:ascii="Verdana" w:eastAsiaTheme="minorHAnsi" w:hAnsi="Verdana" w:cs="Times New Roman"/>
          <w:color w:val="000000" w:themeColor="text1"/>
          <w:sz w:val="20"/>
          <w:szCs w:val="20"/>
          <w:lang w:val="en-US"/>
        </w:rPr>
        <w:t xml:space="preserve"> sub-sector’s</w:t>
      </w:r>
      <w:r w:rsidR="00CF1C66" w:rsidRPr="007E2878">
        <w:rPr>
          <w:rFonts w:ascii="Verdana" w:eastAsiaTheme="minorHAnsi" w:hAnsi="Verdana" w:cs="Times New Roman"/>
          <w:color w:val="000000" w:themeColor="text1"/>
          <w:sz w:val="20"/>
          <w:szCs w:val="20"/>
          <w:lang w:val="en-US"/>
        </w:rPr>
        <w:t xml:space="preserve"> vulnerability to </w:t>
      </w:r>
      <w:r w:rsidR="009A11C1" w:rsidRPr="007E2878">
        <w:rPr>
          <w:rFonts w:ascii="Verdana" w:eastAsiaTheme="minorHAnsi" w:hAnsi="Verdana" w:cs="Times New Roman"/>
          <w:color w:val="000000" w:themeColor="text1"/>
          <w:sz w:val="20"/>
          <w:szCs w:val="20"/>
          <w:lang w:val="en-US"/>
        </w:rPr>
        <w:t>ML/TF</w:t>
      </w:r>
      <w:r w:rsidR="00CF1C66" w:rsidRPr="007E2878">
        <w:rPr>
          <w:rFonts w:ascii="Verdana" w:eastAsiaTheme="minorHAnsi" w:hAnsi="Verdana" w:cs="Times New Roman"/>
          <w:color w:val="000000" w:themeColor="text1"/>
          <w:sz w:val="20"/>
          <w:szCs w:val="20"/>
          <w:lang w:val="en-US"/>
        </w:rPr>
        <w:t xml:space="preserve"> risks</w:t>
      </w:r>
      <w:r w:rsidRPr="007E2878">
        <w:rPr>
          <w:rFonts w:ascii="Verdana" w:eastAsiaTheme="minorHAnsi" w:hAnsi="Verdana" w:cs="Times New Roman"/>
          <w:color w:val="000000" w:themeColor="text1"/>
          <w:sz w:val="20"/>
          <w:szCs w:val="20"/>
          <w:lang w:val="en-US"/>
        </w:rPr>
        <w:t xml:space="preserve">.  </w:t>
      </w:r>
    </w:p>
    <w:p w14:paraId="2563F1BD" w14:textId="13F3A96C" w:rsidR="006918C9" w:rsidRPr="007E2878" w:rsidRDefault="006918C9" w:rsidP="00B75B12">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05B74564" w14:textId="53BBE992" w:rsidR="00432009" w:rsidRPr="007E2878" w:rsidRDefault="00206FBB"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7E2878">
        <w:rPr>
          <w:rFonts w:ascii="Verdana" w:eastAsiaTheme="minorHAnsi" w:hAnsi="Verdana" w:cs="Times New Roman"/>
          <w:color w:val="000000" w:themeColor="text1"/>
          <w:sz w:val="20"/>
          <w:szCs w:val="20"/>
          <w:lang w:val="en-US"/>
        </w:rPr>
        <w:t>For the reporting period covered by the survey</w:t>
      </w:r>
      <w:r w:rsidR="000D5F20" w:rsidRPr="007E2878">
        <w:rPr>
          <w:rFonts w:ascii="Verdana" w:eastAsiaTheme="minorHAnsi" w:hAnsi="Verdana" w:cs="Times New Roman"/>
          <w:color w:val="000000" w:themeColor="text1"/>
          <w:sz w:val="20"/>
          <w:szCs w:val="20"/>
          <w:lang w:val="en-US"/>
        </w:rPr>
        <w:t xml:space="preserve"> 1 July 201</w:t>
      </w:r>
      <w:r w:rsidR="007E2878">
        <w:rPr>
          <w:rFonts w:ascii="Verdana" w:eastAsiaTheme="minorHAnsi" w:hAnsi="Verdana" w:cs="Times New Roman"/>
          <w:color w:val="000000" w:themeColor="text1"/>
          <w:sz w:val="20"/>
          <w:szCs w:val="20"/>
          <w:lang w:val="en-US"/>
        </w:rPr>
        <w:t>8</w:t>
      </w:r>
      <w:r w:rsidR="000D5F20" w:rsidRPr="007E2878">
        <w:rPr>
          <w:rFonts w:ascii="Verdana" w:eastAsiaTheme="minorHAnsi" w:hAnsi="Verdana" w:cs="Times New Roman"/>
          <w:color w:val="000000" w:themeColor="text1"/>
          <w:sz w:val="20"/>
          <w:szCs w:val="20"/>
          <w:lang w:val="en-US"/>
        </w:rPr>
        <w:t xml:space="preserve"> to 30 June 2019</w:t>
      </w:r>
      <w:r w:rsidRPr="007E2878">
        <w:rPr>
          <w:rFonts w:ascii="Verdana" w:eastAsiaTheme="minorHAnsi" w:hAnsi="Verdana" w:cs="Times New Roman"/>
          <w:color w:val="000000" w:themeColor="text1"/>
          <w:sz w:val="20"/>
          <w:szCs w:val="20"/>
          <w:lang w:val="en-US"/>
        </w:rPr>
        <w:t xml:space="preserve">, </w:t>
      </w:r>
      <w:r w:rsidR="007E2878">
        <w:rPr>
          <w:rFonts w:ascii="Verdana" w:eastAsiaTheme="minorHAnsi" w:hAnsi="Verdana" w:cs="Times New Roman"/>
          <w:color w:val="000000" w:themeColor="text1"/>
          <w:sz w:val="20"/>
          <w:szCs w:val="20"/>
          <w:lang w:val="en-US"/>
        </w:rPr>
        <w:t xml:space="preserve">data from the mutual fund administrators indicated </w:t>
      </w:r>
      <w:r w:rsidR="00432009" w:rsidRPr="007E2878">
        <w:rPr>
          <w:rFonts w:ascii="Verdana" w:eastAsiaTheme="minorHAnsi" w:hAnsi="Verdana" w:cs="Times New Roman"/>
          <w:color w:val="000000" w:themeColor="text1"/>
          <w:sz w:val="20"/>
          <w:szCs w:val="20"/>
          <w:lang w:val="en-US"/>
        </w:rPr>
        <w:t xml:space="preserve">$350 Billion in subscriptions, $328 Billion in redemptions and $63 Billion in </w:t>
      </w:r>
      <w:r w:rsidR="002B252A" w:rsidRPr="007E2878">
        <w:rPr>
          <w:rFonts w:ascii="Verdana" w:eastAsiaTheme="minorHAnsi" w:hAnsi="Verdana" w:cs="Times New Roman"/>
          <w:color w:val="000000" w:themeColor="text1"/>
          <w:sz w:val="20"/>
          <w:szCs w:val="20"/>
          <w:lang w:val="en-US"/>
        </w:rPr>
        <w:t>t</w:t>
      </w:r>
      <w:r w:rsidR="00432009" w:rsidRPr="007E2878">
        <w:rPr>
          <w:rFonts w:ascii="Verdana" w:eastAsiaTheme="minorHAnsi" w:hAnsi="Verdana" w:cs="Times New Roman"/>
          <w:color w:val="000000" w:themeColor="text1"/>
          <w:sz w:val="20"/>
          <w:szCs w:val="20"/>
          <w:lang w:val="en-US"/>
        </w:rPr>
        <w:t>ransfers.  $9 Billion (3%) of subscriptions and $42 Billion in redemptions (13%) are with PEPs.</w:t>
      </w:r>
      <w:r w:rsidR="00D7391E" w:rsidRPr="007E2878">
        <w:rPr>
          <w:rFonts w:ascii="Verdana" w:eastAsiaTheme="minorHAnsi" w:hAnsi="Verdana" w:cs="Times New Roman"/>
          <w:color w:val="000000" w:themeColor="text1"/>
          <w:sz w:val="20"/>
          <w:szCs w:val="20"/>
          <w:lang w:val="en-US"/>
        </w:rPr>
        <w:t xml:space="preserve"> As previously indicated majority of these transactions originate with Cayman, the United States and Japan.</w:t>
      </w:r>
    </w:p>
    <w:p w14:paraId="5FD1CDB8" w14:textId="77777777" w:rsidR="00432009" w:rsidRPr="007E2878" w:rsidRDefault="00432009" w:rsidP="00B75B12">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318C9CCE" w14:textId="45F9C880" w:rsidR="00852476" w:rsidRPr="00B75B12" w:rsidRDefault="00852476"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7E2878">
        <w:rPr>
          <w:rFonts w:ascii="Verdana" w:eastAsiaTheme="minorHAnsi" w:hAnsi="Verdana" w:cs="Times New Roman"/>
          <w:color w:val="000000" w:themeColor="text1"/>
          <w:sz w:val="20"/>
          <w:szCs w:val="20"/>
          <w:lang w:val="en-US"/>
        </w:rPr>
        <w:t>55% of respondents indicated that they provide AMLCO services to funds. Of the total funds to which these services are provided, 56% are unregulated.  This is a positive signal</w:t>
      </w:r>
      <w:r w:rsidRPr="00B75B12">
        <w:rPr>
          <w:rFonts w:ascii="Verdana" w:eastAsiaTheme="minorHAnsi" w:hAnsi="Verdana" w:cs="Times New Roman"/>
          <w:color w:val="000000" w:themeColor="text1"/>
          <w:sz w:val="20"/>
          <w:szCs w:val="20"/>
          <w:lang w:val="en-US"/>
        </w:rPr>
        <w:t xml:space="preserve"> towards reducing the risks of money laundering and terrorist financing.</w:t>
      </w:r>
    </w:p>
    <w:p w14:paraId="3F645F5C" w14:textId="452D2C59" w:rsidR="006918C9" w:rsidRDefault="006918C9" w:rsidP="006918C9">
      <w:pPr>
        <w:jc w:val="both"/>
        <w:rPr>
          <w:rFonts w:ascii="Verdana" w:hAnsi="Verdana"/>
        </w:rPr>
      </w:pPr>
    </w:p>
    <w:p w14:paraId="603048CF" w14:textId="77777777" w:rsidR="003F6C49" w:rsidRDefault="003F6C49" w:rsidP="006918C9">
      <w:pPr>
        <w:rPr>
          <w:rFonts w:ascii="Verdana" w:eastAsiaTheme="majorEastAsia" w:hAnsi="Verdana" w:cstheme="majorBidi"/>
          <w:b/>
          <w:spacing w:val="5"/>
          <w:kern w:val="28"/>
        </w:rPr>
      </w:pPr>
    </w:p>
    <w:p w14:paraId="02981251" w14:textId="70DCC2F6" w:rsidR="00CF1C66" w:rsidRDefault="00312D1A" w:rsidP="006918C9">
      <w:pPr>
        <w:rPr>
          <w:rFonts w:ascii="Verdana" w:eastAsiaTheme="majorEastAsia" w:hAnsi="Verdana" w:cstheme="majorBidi"/>
          <w:b/>
          <w:spacing w:val="5"/>
          <w:kern w:val="28"/>
        </w:rPr>
      </w:pPr>
      <w:r w:rsidRPr="008E327F">
        <w:rPr>
          <w:rFonts w:ascii="Verdana" w:eastAsiaTheme="majorEastAsia" w:hAnsi="Verdana" w:cstheme="majorBidi"/>
          <w:b/>
          <w:spacing w:val="5"/>
          <w:kern w:val="28"/>
        </w:rPr>
        <w:t xml:space="preserve">Conclusion for Risk Category </w:t>
      </w:r>
      <w:r w:rsidR="007A1238" w:rsidRPr="008E327F">
        <w:rPr>
          <w:rFonts w:ascii="Verdana" w:eastAsiaTheme="majorEastAsia" w:hAnsi="Verdana" w:cstheme="majorBidi"/>
          <w:b/>
          <w:spacing w:val="5"/>
          <w:kern w:val="28"/>
        </w:rPr>
        <w:t xml:space="preserve">Transactions, </w:t>
      </w:r>
      <w:r w:rsidRPr="008E327F">
        <w:rPr>
          <w:rFonts w:ascii="Verdana" w:eastAsiaTheme="majorEastAsia" w:hAnsi="Verdana" w:cstheme="majorBidi"/>
          <w:b/>
          <w:spacing w:val="5"/>
          <w:kern w:val="28"/>
        </w:rPr>
        <w:t>Products and Services</w:t>
      </w:r>
      <w:r>
        <w:rPr>
          <w:rFonts w:ascii="Verdana" w:eastAsiaTheme="majorEastAsia" w:hAnsi="Verdana" w:cstheme="majorBidi"/>
          <w:b/>
          <w:spacing w:val="5"/>
          <w:kern w:val="28"/>
        </w:rPr>
        <w:t xml:space="preserve"> </w:t>
      </w:r>
    </w:p>
    <w:p w14:paraId="3293D0E4" w14:textId="77777777" w:rsidR="00312D1A" w:rsidRDefault="00312D1A" w:rsidP="006918C9">
      <w:pPr>
        <w:rPr>
          <w:rFonts w:ascii="Verdana" w:eastAsiaTheme="majorEastAsia" w:hAnsi="Verdana" w:cstheme="majorBidi"/>
          <w:b/>
          <w:spacing w:val="5"/>
          <w:kern w:val="28"/>
        </w:rPr>
      </w:pPr>
    </w:p>
    <w:p w14:paraId="0B084FDA" w14:textId="62C281E2" w:rsidR="00CF1C66" w:rsidRPr="00B75B12" w:rsidRDefault="00CF1C66"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75B12">
        <w:rPr>
          <w:rFonts w:ascii="Verdana" w:eastAsiaTheme="minorHAnsi" w:hAnsi="Verdana" w:cs="Times New Roman"/>
          <w:color w:val="000000" w:themeColor="text1"/>
          <w:sz w:val="20"/>
          <w:szCs w:val="20"/>
          <w:lang w:val="en-US"/>
        </w:rPr>
        <w:t>The pooling of investments</w:t>
      </w:r>
      <w:r w:rsidR="008E327F">
        <w:rPr>
          <w:rFonts w:ascii="Verdana" w:eastAsiaTheme="minorHAnsi" w:hAnsi="Verdana" w:cs="Times New Roman"/>
          <w:color w:val="000000" w:themeColor="text1"/>
          <w:sz w:val="20"/>
          <w:szCs w:val="20"/>
          <w:lang w:val="en-US"/>
        </w:rPr>
        <w:t xml:space="preserve">, </w:t>
      </w:r>
      <w:r w:rsidRPr="00B75B12">
        <w:rPr>
          <w:rFonts w:ascii="Verdana" w:eastAsiaTheme="minorHAnsi" w:hAnsi="Verdana" w:cs="Times New Roman"/>
          <w:color w:val="000000" w:themeColor="text1"/>
          <w:sz w:val="20"/>
          <w:szCs w:val="20"/>
          <w:lang w:val="en-US"/>
        </w:rPr>
        <w:t>the size of the industry</w:t>
      </w:r>
      <w:r w:rsidR="008E327F">
        <w:rPr>
          <w:rFonts w:ascii="Verdana" w:eastAsiaTheme="minorHAnsi" w:hAnsi="Verdana" w:cs="Times New Roman"/>
          <w:color w:val="000000" w:themeColor="text1"/>
          <w:sz w:val="20"/>
          <w:szCs w:val="20"/>
          <w:lang w:val="en-US"/>
        </w:rPr>
        <w:t xml:space="preserve"> and the services offered</w:t>
      </w:r>
      <w:r w:rsidR="00701C47" w:rsidRPr="00B75B12">
        <w:rPr>
          <w:rFonts w:ascii="Verdana" w:eastAsiaTheme="minorHAnsi" w:hAnsi="Verdana" w:cs="Times New Roman"/>
          <w:color w:val="000000" w:themeColor="text1"/>
          <w:sz w:val="20"/>
          <w:szCs w:val="20"/>
          <w:lang w:val="en-US"/>
        </w:rPr>
        <w:t xml:space="preserve">, </w:t>
      </w:r>
      <w:r w:rsidR="008E327F">
        <w:rPr>
          <w:rFonts w:ascii="Verdana" w:eastAsiaTheme="minorHAnsi" w:hAnsi="Verdana" w:cs="Times New Roman"/>
          <w:color w:val="000000" w:themeColor="text1"/>
          <w:sz w:val="20"/>
          <w:szCs w:val="20"/>
          <w:lang w:val="en-US"/>
        </w:rPr>
        <w:t>are</w:t>
      </w:r>
      <w:r w:rsidR="008E327F" w:rsidRPr="00B75B12">
        <w:rPr>
          <w:rFonts w:ascii="Verdana" w:eastAsiaTheme="minorHAnsi" w:hAnsi="Verdana" w:cs="Times New Roman"/>
          <w:color w:val="000000" w:themeColor="text1"/>
          <w:sz w:val="20"/>
          <w:szCs w:val="20"/>
          <w:lang w:val="en-US"/>
        </w:rPr>
        <w:t xml:space="preserve"> </w:t>
      </w:r>
      <w:r w:rsidR="00701C47" w:rsidRPr="00B75B12">
        <w:rPr>
          <w:rFonts w:ascii="Verdana" w:eastAsiaTheme="minorHAnsi" w:hAnsi="Verdana" w:cs="Times New Roman"/>
          <w:color w:val="000000" w:themeColor="text1"/>
          <w:sz w:val="20"/>
          <w:szCs w:val="20"/>
          <w:lang w:val="en-US"/>
        </w:rPr>
        <w:t xml:space="preserve">factors </w:t>
      </w:r>
      <w:r w:rsidR="008E327F">
        <w:rPr>
          <w:rFonts w:ascii="Verdana" w:eastAsiaTheme="minorHAnsi" w:hAnsi="Verdana" w:cs="Times New Roman"/>
          <w:color w:val="000000" w:themeColor="text1"/>
          <w:sz w:val="20"/>
          <w:szCs w:val="20"/>
          <w:lang w:val="en-US"/>
        </w:rPr>
        <w:t xml:space="preserve">that </w:t>
      </w:r>
      <w:r w:rsidRPr="00B75B12">
        <w:rPr>
          <w:rFonts w:ascii="Verdana" w:eastAsiaTheme="minorHAnsi" w:hAnsi="Verdana" w:cs="Times New Roman"/>
          <w:color w:val="000000" w:themeColor="text1"/>
          <w:sz w:val="20"/>
          <w:szCs w:val="20"/>
          <w:lang w:val="en-US"/>
        </w:rPr>
        <w:t xml:space="preserve">can create an avenue for money launderers to simulate the </w:t>
      </w:r>
      <w:r w:rsidR="00C437DF" w:rsidRPr="00B75B12">
        <w:rPr>
          <w:rFonts w:ascii="Verdana" w:eastAsiaTheme="minorHAnsi" w:hAnsi="Verdana" w:cs="Times New Roman"/>
          <w:color w:val="000000" w:themeColor="text1"/>
          <w:sz w:val="20"/>
          <w:szCs w:val="20"/>
          <w:lang w:val="en-US"/>
        </w:rPr>
        <w:t>behavior</w:t>
      </w:r>
      <w:r w:rsidRPr="00B75B12">
        <w:rPr>
          <w:rFonts w:ascii="Verdana" w:eastAsiaTheme="minorHAnsi" w:hAnsi="Verdana" w:cs="Times New Roman"/>
          <w:color w:val="000000" w:themeColor="text1"/>
          <w:sz w:val="20"/>
          <w:szCs w:val="20"/>
          <w:lang w:val="en-US"/>
        </w:rPr>
        <w:t xml:space="preserve"> of legitimate investors, enabling these instruments to be used by criminals laundering proceeds of their crime which makes it difficult to detect.</w:t>
      </w:r>
    </w:p>
    <w:p w14:paraId="58EC236E" w14:textId="77777777" w:rsidR="00CF1C66" w:rsidRPr="00B75B12" w:rsidRDefault="00CF1C66" w:rsidP="00B75B12">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76180681" w14:textId="50D40A5B" w:rsidR="00CF1C66" w:rsidRPr="00B75B12" w:rsidRDefault="00CF1C66"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75B12">
        <w:rPr>
          <w:rFonts w:ascii="Verdana" w:eastAsiaTheme="minorHAnsi" w:hAnsi="Verdana" w:cs="Times New Roman"/>
          <w:color w:val="000000" w:themeColor="text1"/>
          <w:sz w:val="20"/>
          <w:szCs w:val="20"/>
          <w:lang w:val="en-US"/>
        </w:rPr>
        <w:t xml:space="preserve">The RTA services are the front offices services for vetting investors into and out the funds, which is critical to managing the ML/FT risks. </w:t>
      </w:r>
      <w:r w:rsidR="008E327F">
        <w:rPr>
          <w:rFonts w:ascii="Verdana" w:eastAsiaTheme="minorHAnsi" w:hAnsi="Verdana" w:cs="Times New Roman"/>
          <w:color w:val="000000" w:themeColor="text1"/>
          <w:sz w:val="20"/>
          <w:szCs w:val="20"/>
          <w:lang w:val="en-US"/>
        </w:rPr>
        <w:t>The data shows that RTA services are a significant portion of the mutual fund administrators service offerings.</w:t>
      </w:r>
      <w:r w:rsidRPr="00B75B12">
        <w:rPr>
          <w:rFonts w:ascii="Verdana" w:eastAsiaTheme="minorHAnsi" w:hAnsi="Verdana" w:cs="Times New Roman"/>
          <w:color w:val="000000" w:themeColor="text1"/>
          <w:sz w:val="20"/>
          <w:szCs w:val="20"/>
          <w:lang w:val="en-US"/>
        </w:rPr>
        <w:t xml:space="preserve"> NAV, which is a middle office service, deals mainly with the calculation of the value of the assets and reporting functions and as such has low</w:t>
      </w:r>
      <w:r w:rsidR="008E327F">
        <w:rPr>
          <w:rFonts w:ascii="Verdana" w:eastAsiaTheme="minorHAnsi" w:hAnsi="Verdana" w:cs="Times New Roman"/>
          <w:color w:val="000000" w:themeColor="text1"/>
          <w:sz w:val="20"/>
          <w:szCs w:val="20"/>
          <w:lang w:val="en-US"/>
        </w:rPr>
        <w:t>er</w:t>
      </w:r>
      <w:r w:rsidRPr="00B75B12">
        <w:rPr>
          <w:rFonts w:ascii="Verdana" w:eastAsiaTheme="minorHAnsi" w:hAnsi="Verdana" w:cs="Times New Roman"/>
          <w:color w:val="000000" w:themeColor="text1"/>
          <w:sz w:val="20"/>
          <w:szCs w:val="20"/>
          <w:lang w:val="en-US"/>
        </w:rPr>
        <w:t xml:space="preserve"> ML/CFT risks. </w:t>
      </w:r>
      <w:r w:rsidR="00701C47" w:rsidRPr="00B75B12">
        <w:rPr>
          <w:rFonts w:ascii="Verdana" w:eastAsiaTheme="minorHAnsi" w:hAnsi="Verdana" w:cs="Times New Roman"/>
          <w:color w:val="000000" w:themeColor="text1"/>
          <w:sz w:val="20"/>
          <w:szCs w:val="20"/>
          <w:lang w:val="en-US"/>
        </w:rPr>
        <w:t>Based on the analysis</w:t>
      </w:r>
      <w:r w:rsidR="008E327F">
        <w:rPr>
          <w:rFonts w:ascii="Verdana" w:eastAsiaTheme="minorHAnsi" w:hAnsi="Verdana" w:cs="Times New Roman"/>
          <w:color w:val="000000" w:themeColor="text1"/>
          <w:sz w:val="20"/>
          <w:szCs w:val="20"/>
          <w:lang w:val="en-US"/>
        </w:rPr>
        <w:t xml:space="preserve"> above, it is likely for the risk of money laundering and terrorist financing to occur, and as such </w:t>
      </w:r>
      <w:r w:rsidR="00701C47" w:rsidRPr="00B75B12">
        <w:rPr>
          <w:rFonts w:ascii="Verdana" w:eastAsiaTheme="minorHAnsi" w:hAnsi="Verdana" w:cs="Times New Roman"/>
          <w:color w:val="000000" w:themeColor="text1"/>
          <w:sz w:val="20"/>
          <w:szCs w:val="20"/>
          <w:lang w:val="en-US"/>
        </w:rPr>
        <w:t>th</w:t>
      </w:r>
      <w:r w:rsidR="008E327F">
        <w:rPr>
          <w:rFonts w:ascii="Verdana" w:eastAsiaTheme="minorHAnsi" w:hAnsi="Verdana" w:cs="Times New Roman"/>
          <w:color w:val="000000" w:themeColor="text1"/>
          <w:sz w:val="20"/>
          <w:szCs w:val="20"/>
          <w:lang w:val="en-US"/>
        </w:rPr>
        <w:t>e</w:t>
      </w:r>
      <w:r w:rsidR="00701C47" w:rsidRPr="00B75B12">
        <w:rPr>
          <w:rFonts w:ascii="Verdana" w:eastAsiaTheme="minorHAnsi" w:hAnsi="Verdana" w:cs="Times New Roman"/>
          <w:color w:val="000000" w:themeColor="text1"/>
          <w:sz w:val="20"/>
          <w:szCs w:val="20"/>
          <w:lang w:val="en-US"/>
        </w:rPr>
        <w:t xml:space="preserve"> risk</w:t>
      </w:r>
      <w:r w:rsidR="008E327F">
        <w:rPr>
          <w:rFonts w:ascii="Verdana" w:eastAsiaTheme="minorHAnsi" w:hAnsi="Verdana" w:cs="Times New Roman"/>
          <w:color w:val="000000" w:themeColor="text1"/>
          <w:sz w:val="20"/>
          <w:szCs w:val="20"/>
          <w:lang w:val="en-US"/>
        </w:rPr>
        <w:t>s</w:t>
      </w:r>
      <w:r w:rsidR="00701C47" w:rsidRPr="00B75B12">
        <w:rPr>
          <w:rFonts w:ascii="Verdana" w:eastAsiaTheme="minorHAnsi" w:hAnsi="Verdana" w:cs="Times New Roman"/>
          <w:color w:val="000000" w:themeColor="text1"/>
          <w:sz w:val="20"/>
          <w:szCs w:val="20"/>
          <w:lang w:val="en-US"/>
        </w:rPr>
        <w:t xml:space="preserve"> assessed for Transactions, Products and Services are deemed Medium- High.</w:t>
      </w:r>
    </w:p>
    <w:p w14:paraId="12BE7103" w14:textId="77777777" w:rsidR="00CF1C66" w:rsidRPr="00B75B12" w:rsidRDefault="00CF1C66" w:rsidP="00B75B12">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08AB13FB" w14:textId="046E9CBD" w:rsidR="006918C9" w:rsidRPr="00246331" w:rsidRDefault="006918C9" w:rsidP="006918C9">
      <w:pPr>
        <w:rPr>
          <w:rFonts w:ascii="Verdana" w:hAnsi="Verdana"/>
          <w:i/>
        </w:rPr>
      </w:pPr>
      <w:r w:rsidRPr="008E327F">
        <w:rPr>
          <w:rFonts w:ascii="Verdana" w:hAnsi="Verdana"/>
          <w:i/>
        </w:rPr>
        <w:t>Risk rating: Medium High</w:t>
      </w:r>
    </w:p>
    <w:p w14:paraId="262A4992" w14:textId="77777777" w:rsidR="006918C9" w:rsidRPr="006918C9" w:rsidRDefault="006918C9" w:rsidP="006918C9">
      <w:pPr>
        <w:jc w:val="both"/>
        <w:rPr>
          <w:rFonts w:ascii="Verdana" w:hAnsi="Verdana"/>
        </w:rPr>
      </w:pPr>
    </w:p>
    <w:p w14:paraId="3F552128" w14:textId="77777777" w:rsidR="006918C9" w:rsidRPr="006918C9" w:rsidRDefault="006918C9" w:rsidP="006918C9">
      <w:pPr>
        <w:jc w:val="both"/>
        <w:rPr>
          <w:rFonts w:ascii="Verdana" w:hAnsi="Verdana"/>
        </w:rPr>
      </w:pPr>
    </w:p>
    <w:p w14:paraId="3FE5E16F" w14:textId="3E274886" w:rsidR="006918C9" w:rsidRPr="00B75B12" w:rsidRDefault="00D83871" w:rsidP="00B75B12">
      <w:pPr>
        <w:rPr>
          <w:rFonts w:ascii="Verdana" w:eastAsiaTheme="majorEastAsia" w:hAnsi="Verdana" w:cstheme="majorBidi"/>
          <w:b/>
          <w:spacing w:val="5"/>
          <w:kern w:val="28"/>
        </w:rPr>
      </w:pPr>
      <w:r w:rsidRPr="00B75B12">
        <w:rPr>
          <w:rFonts w:ascii="Verdana" w:eastAsiaTheme="majorEastAsia" w:hAnsi="Verdana" w:cstheme="majorBidi"/>
          <w:b/>
          <w:spacing w:val="5"/>
          <w:kern w:val="28"/>
        </w:rPr>
        <w:t xml:space="preserve">Risk Category - </w:t>
      </w:r>
      <w:r w:rsidR="006918C9" w:rsidRPr="00B75B12">
        <w:rPr>
          <w:rFonts w:ascii="Verdana" w:eastAsiaTheme="majorEastAsia" w:hAnsi="Verdana" w:cstheme="majorBidi"/>
          <w:b/>
          <w:spacing w:val="5"/>
          <w:kern w:val="28"/>
        </w:rPr>
        <w:t>Delivery Channels</w:t>
      </w:r>
    </w:p>
    <w:p w14:paraId="08A80F41" w14:textId="29984DD4" w:rsidR="006918C9" w:rsidRPr="00B75B12" w:rsidRDefault="006918C9"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75B12">
        <w:rPr>
          <w:rFonts w:ascii="Verdana" w:eastAsiaTheme="minorHAnsi" w:hAnsi="Verdana" w:cs="Times New Roman"/>
          <w:color w:val="000000" w:themeColor="text1"/>
          <w:sz w:val="20"/>
          <w:szCs w:val="20"/>
          <w:lang w:val="en-US"/>
        </w:rPr>
        <w:t xml:space="preserve">Delivery channels generally include face to face and </w:t>
      </w:r>
      <w:r w:rsidR="00701C47" w:rsidRPr="00B75B12">
        <w:rPr>
          <w:rFonts w:ascii="Verdana" w:eastAsiaTheme="minorHAnsi" w:hAnsi="Verdana" w:cs="Times New Roman"/>
          <w:color w:val="000000" w:themeColor="text1"/>
          <w:sz w:val="20"/>
          <w:szCs w:val="20"/>
          <w:lang w:val="en-US"/>
        </w:rPr>
        <w:t>non-face-to-face customer interaction</w:t>
      </w:r>
      <w:r w:rsidRPr="00B75B12">
        <w:rPr>
          <w:rFonts w:ascii="Verdana" w:eastAsiaTheme="minorHAnsi" w:hAnsi="Verdana" w:cs="Times New Roman"/>
          <w:color w:val="000000" w:themeColor="text1"/>
          <w:sz w:val="20"/>
          <w:szCs w:val="20"/>
          <w:lang w:val="en-US"/>
        </w:rPr>
        <w:t xml:space="preserve">.  </w:t>
      </w:r>
      <w:r w:rsidR="000F2321" w:rsidRPr="00B75B12">
        <w:rPr>
          <w:rFonts w:ascii="Verdana" w:eastAsiaTheme="minorHAnsi" w:hAnsi="Verdana" w:cs="Times New Roman"/>
          <w:color w:val="000000" w:themeColor="text1"/>
          <w:sz w:val="20"/>
          <w:szCs w:val="20"/>
          <w:lang w:val="en-US"/>
        </w:rPr>
        <w:t xml:space="preserve">Face-to-face include direct contact or through nominee investors. Non face-to-face includes the use of service providers or </w:t>
      </w:r>
      <w:r w:rsidR="00701C47" w:rsidRPr="00B75B12">
        <w:rPr>
          <w:rFonts w:ascii="Verdana" w:eastAsiaTheme="minorHAnsi" w:hAnsi="Verdana" w:cs="Times New Roman"/>
          <w:color w:val="000000" w:themeColor="text1"/>
          <w:sz w:val="20"/>
          <w:szCs w:val="20"/>
          <w:lang w:val="en-US"/>
        </w:rPr>
        <w:t>third-party</w:t>
      </w:r>
      <w:r w:rsidR="000F2321" w:rsidRPr="00B75B12">
        <w:rPr>
          <w:rFonts w:ascii="Verdana" w:eastAsiaTheme="minorHAnsi" w:hAnsi="Verdana" w:cs="Times New Roman"/>
          <w:color w:val="000000" w:themeColor="text1"/>
          <w:sz w:val="20"/>
          <w:szCs w:val="20"/>
          <w:lang w:val="en-US"/>
        </w:rPr>
        <w:t xml:space="preserve"> introducers (eligible introducers).</w:t>
      </w:r>
    </w:p>
    <w:p w14:paraId="6EC4B5CF" w14:textId="2566B8BB" w:rsidR="000F2321" w:rsidRPr="00B75B12" w:rsidRDefault="000F2321" w:rsidP="00B75B12">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0293DB86" w14:textId="4D71B70E" w:rsidR="000F2321" w:rsidRPr="00B75B12" w:rsidRDefault="000F2321"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75B12">
        <w:rPr>
          <w:rFonts w:ascii="Verdana" w:eastAsiaTheme="minorHAnsi" w:hAnsi="Verdana" w:cs="Times New Roman"/>
          <w:color w:val="000000" w:themeColor="text1"/>
          <w:sz w:val="20"/>
          <w:szCs w:val="20"/>
          <w:lang w:val="en-US"/>
        </w:rPr>
        <w:t>According to the data, 2</w:t>
      </w:r>
      <w:r w:rsidR="00A26A7A">
        <w:rPr>
          <w:rFonts w:ascii="Verdana" w:eastAsiaTheme="minorHAnsi" w:hAnsi="Verdana" w:cs="Times New Roman"/>
          <w:color w:val="000000" w:themeColor="text1"/>
          <w:sz w:val="20"/>
          <w:szCs w:val="20"/>
          <w:lang w:val="en-US"/>
        </w:rPr>
        <w:t>4</w:t>
      </w:r>
      <w:r w:rsidRPr="00B75B12">
        <w:rPr>
          <w:rFonts w:ascii="Verdana" w:eastAsiaTheme="minorHAnsi" w:hAnsi="Verdana" w:cs="Times New Roman"/>
          <w:color w:val="000000" w:themeColor="text1"/>
          <w:sz w:val="20"/>
          <w:szCs w:val="20"/>
          <w:lang w:val="en-US"/>
        </w:rPr>
        <w:t xml:space="preserve">% of the </w:t>
      </w:r>
      <w:r w:rsidR="002E6050">
        <w:rPr>
          <w:rFonts w:ascii="Verdana" w:eastAsiaTheme="minorHAnsi" w:hAnsi="Verdana" w:cs="Times New Roman"/>
          <w:color w:val="000000" w:themeColor="text1"/>
          <w:sz w:val="20"/>
          <w:szCs w:val="20"/>
          <w:lang w:val="en-US"/>
        </w:rPr>
        <w:t>mutual fund administrators</w:t>
      </w:r>
      <w:r w:rsidR="002E6050" w:rsidRPr="00B75B12">
        <w:rPr>
          <w:rFonts w:ascii="Verdana" w:eastAsiaTheme="minorHAnsi" w:hAnsi="Verdana" w:cs="Times New Roman"/>
          <w:color w:val="000000" w:themeColor="text1"/>
          <w:sz w:val="20"/>
          <w:szCs w:val="20"/>
          <w:lang w:val="en-US"/>
        </w:rPr>
        <w:t xml:space="preserve"> </w:t>
      </w:r>
      <w:r w:rsidRPr="00B75B12">
        <w:rPr>
          <w:rFonts w:ascii="Verdana" w:eastAsiaTheme="minorHAnsi" w:hAnsi="Verdana" w:cs="Times New Roman"/>
          <w:color w:val="000000" w:themeColor="text1"/>
          <w:sz w:val="20"/>
          <w:szCs w:val="20"/>
          <w:lang w:val="en-US"/>
        </w:rPr>
        <w:t xml:space="preserve">use face-to-face </w:t>
      </w:r>
      <w:r w:rsidR="00701C47" w:rsidRPr="00B75B12">
        <w:rPr>
          <w:rFonts w:ascii="Verdana" w:eastAsiaTheme="minorHAnsi" w:hAnsi="Verdana" w:cs="Times New Roman"/>
          <w:color w:val="000000" w:themeColor="text1"/>
          <w:sz w:val="20"/>
          <w:szCs w:val="20"/>
          <w:lang w:val="en-US"/>
        </w:rPr>
        <w:t xml:space="preserve">customer </w:t>
      </w:r>
      <w:r w:rsidRPr="00B75B12">
        <w:rPr>
          <w:rFonts w:ascii="Verdana" w:eastAsiaTheme="minorHAnsi" w:hAnsi="Verdana" w:cs="Times New Roman"/>
          <w:color w:val="000000" w:themeColor="text1"/>
          <w:sz w:val="20"/>
          <w:szCs w:val="20"/>
          <w:lang w:val="en-US"/>
        </w:rPr>
        <w:t>onboarding</w:t>
      </w:r>
      <w:r w:rsidR="00A26A7A">
        <w:rPr>
          <w:rFonts w:ascii="Verdana" w:eastAsiaTheme="minorHAnsi" w:hAnsi="Verdana" w:cs="Times New Roman"/>
          <w:color w:val="000000" w:themeColor="text1"/>
          <w:sz w:val="20"/>
          <w:szCs w:val="20"/>
          <w:lang w:val="en-US"/>
        </w:rPr>
        <w:t xml:space="preserve">, while 49% use non </w:t>
      </w:r>
      <w:r w:rsidR="00A26A7A" w:rsidRPr="00B75B12">
        <w:rPr>
          <w:rFonts w:ascii="Verdana" w:eastAsiaTheme="minorHAnsi" w:hAnsi="Verdana" w:cs="Times New Roman"/>
          <w:color w:val="000000" w:themeColor="text1"/>
          <w:sz w:val="20"/>
          <w:szCs w:val="20"/>
          <w:lang w:val="en-US"/>
        </w:rPr>
        <w:t>face-to-face</w:t>
      </w:r>
      <w:r w:rsidR="00A26A7A">
        <w:rPr>
          <w:rFonts w:ascii="Verdana" w:eastAsiaTheme="minorHAnsi" w:hAnsi="Verdana" w:cs="Times New Roman"/>
          <w:color w:val="000000" w:themeColor="text1"/>
          <w:sz w:val="20"/>
          <w:szCs w:val="20"/>
          <w:lang w:val="en-US"/>
        </w:rPr>
        <w:t>. 28% of the mutual fund administrators did not indicate which method</w:t>
      </w:r>
      <w:r w:rsidRPr="00B75B12">
        <w:rPr>
          <w:rFonts w:ascii="Verdana" w:eastAsiaTheme="minorHAnsi" w:hAnsi="Verdana" w:cs="Times New Roman"/>
          <w:color w:val="000000" w:themeColor="text1"/>
          <w:sz w:val="20"/>
          <w:szCs w:val="20"/>
          <w:lang w:val="en-US"/>
        </w:rPr>
        <w:t xml:space="preserve">. </w:t>
      </w:r>
    </w:p>
    <w:p w14:paraId="7D5956DA" w14:textId="77777777" w:rsidR="000F2321" w:rsidRPr="00B75B12" w:rsidRDefault="000F2321" w:rsidP="00B75B12">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3389C37F" w14:textId="52C381C5" w:rsidR="002E6050" w:rsidRDefault="000F2321" w:rsidP="00125E84">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75B12">
        <w:rPr>
          <w:rFonts w:ascii="Verdana" w:eastAsiaTheme="minorHAnsi" w:hAnsi="Verdana" w:cs="Times New Roman"/>
          <w:color w:val="000000" w:themeColor="text1"/>
          <w:sz w:val="20"/>
          <w:szCs w:val="20"/>
          <w:lang w:val="en-US"/>
        </w:rPr>
        <w:lastRenderedPageBreak/>
        <w:t>For non-face-to-face</w:t>
      </w:r>
      <w:r w:rsidR="002E6050">
        <w:rPr>
          <w:rFonts w:ascii="Verdana" w:eastAsiaTheme="minorHAnsi" w:hAnsi="Verdana" w:cs="Times New Roman"/>
          <w:color w:val="000000" w:themeColor="text1"/>
          <w:sz w:val="20"/>
          <w:szCs w:val="20"/>
          <w:lang w:val="en-US"/>
        </w:rPr>
        <w:t xml:space="preserve"> customer onboarding</w:t>
      </w:r>
      <w:r w:rsidRPr="00B75B12">
        <w:rPr>
          <w:rFonts w:ascii="Verdana" w:eastAsiaTheme="minorHAnsi" w:hAnsi="Verdana" w:cs="Times New Roman"/>
          <w:color w:val="000000" w:themeColor="text1"/>
          <w:sz w:val="20"/>
          <w:szCs w:val="20"/>
          <w:lang w:val="en-US"/>
        </w:rPr>
        <w:t>, the data shows that 53%</w:t>
      </w:r>
      <w:r w:rsidR="002E6050">
        <w:rPr>
          <w:rFonts w:ascii="Verdana" w:eastAsiaTheme="minorHAnsi" w:hAnsi="Verdana" w:cs="Times New Roman"/>
          <w:color w:val="000000" w:themeColor="text1"/>
          <w:sz w:val="20"/>
          <w:szCs w:val="20"/>
          <w:lang w:val="en-US"/>
        </w:rPr>
        <w:t xml:space="preserve"> of the mutual fund administrators</w:t>
      </w:r>
      <w:r w:rsidRPr="00B75B12">
        <w:rPr>
          <w:rFonts w:ascii="Verdana" w:eastAsiaTheme="minorHAnsi" w:hAnsi="Verdana" w:cs="Times New Roman"/>
          <w:color w:val="000000" w:themeColor="text1"/>
          <w:sz w:val="20"/>
          <w:szCs w:val="20"/>
          <w:lang w:val="en-US"/>
        </w:rPr>
        <w:t xml:space="preserve"> </w:t>
      </w:r>
      <w:r w:rsidR="001E2E13">
        <w:rPr>
          <w:rFonts w:ascii="Verdana" w:eastAsiaTheme="minorHAnsi" w:hAnsi="Verdana" w:cs="Times New Roman"/>
          <w:color w:val="000000" w:themeColor="text1"/>
          <w:sz w:val="20"/>
          <w:szCs w:val="20"/>
          <w:lang w:val="en-US"/>
        </w:rPr>
        <w:t xml:space="preserve">either </w:t>
      </w:r>
      <w:r w:rsidR="006763C5">
        <w:rPr>
          <w:rFonts w:ascii="Verdana" w:eastAsiaTheme="minorHAnsi" w:hAnsi="Verdana" w:cs="Times New Roman"/>
          <w:color w:val="000000" w:themeColor="text1"/>
          <w:sz w:val="20"/>
          <w:szCs w:val="20"/>
          <w:lang w:val="en-US"/>
        </w:rPr>
        <w:t xml:space="preserve">accepting the customer directly but </w:t>
      </w:r>
      <w:r w:rsidRPr="00B75B12">
        <w:rPr>
          <w:rFonts w:ascii="Verdana" w:eastAsiaTheme="minorHAnsi" w:hAnsi="Verdana" w:cs="Times New Roman"/>
          <w:color w:val="000000" w:themeColor="text1"/>
          <w:sz w:val="20"/>
          <w:szCs w:val="20"/>
          <w:lang w:val="en-US"/>
        </w:rPr>
        <w:t>us</w:t>
      </w:r>
      <w:r w:rsidR="006763C5">
        <w:rPr>
          <w:rFonts w:ascii="Verdana" w:eastAsiaTheme="minorHAnsi" w:hAnsi="Verdana" w:cs="Times New Roman"/>
          <w:color w:val="000000" w:themeColor="text1"/>
          <w:sz w:val="20"/>
          <w:szCs w:val="20"/>
          <w:lang w:val="en-US"/>
        </w:rPr>
        <w:t>ing</w:t>
      </w:r>
      <w:r w:rsidRPr="00B75B12">
        <w:rPr>
          <w:rFonts w:ascii="Verdana" w:eastAsiaTheme="minorHAnsi" w:hAnsi="Verdana" w:cs="Times New Roman"/>
          <w:color w:val="000000" w:themeColor="text1"/>
          <w:sz w:val="20"/>
          <w:szCs w:val="20"/>
          <w:lang w:val="en-US"/>
        </w:rPr>
        <w:t xml:space="preserve"> </w:t>
      </w:r>
      <w:r w:rsidR="006763C5">
        <w:rPr>
          <w:rFonts w:ascii="Verdana" w:eastAsiaTheme="minorHAnsi" w:hAnsi="Verdana" w:cs="Times New Roman"/>
          <w:color w:val="000000" w:themeColor="text1"/>
          <w:sz w:val="20"/>
          <w:szCs w:val="20"/>
          <w:lang w:val="en-US"/>
        </w:rPr>
        <w:t xml:space="preserve">other non-face-to-face methods (video, photo, swift registry etc.) </w:t>
      </w:r>
      <w:r w:rsidR="001E2E13">
        <w:rPr>
          <w:rFonts w:ascii="Verdana" w:eastAsiaTheme="minorHAnsi" w:hAnsi="Verdana" w:cs="Times New Roman"/>
          <w:color w:val="000000" w:themeColor="text1"/>
          <w:sz w:val="20"/>
          <w:szCs w:val="20"/>
          <w:lang w:val="en-US"/>
        </w:rPr>
        <w:t xml:space="preserve">or </w:t>
      </w:r>
      <w:proofErr w:type="gramStart"/>
      <w:r w:rsidR="001E2E13">
        <w:rPr>
          <w:rFonts w:ascii="Verdana" w:eastAsiaTheme="minorHAnsi" w:hAnsi="Verdana" w:cs="Times New Roman"/>
          <w:color w:val="000000" w:themeColor="text1"/>
          <w:sz w:val="20"/>
          <w:szCs w:val="20"/>
          <w:lang w:val="en-US"/>
        </w:rPr>
        <w:t xml:space="preserve">through the </w:t>
      </w:r>
      <w:r w:rsidR="006763C5">
        <w:rPr>
          <w:rFonts w:ascii="Verdana" w:eastAsiaTheme="minorHAnsi" w:hAnsi="Verdana" w:cs="Times New Roman"/>
          <w:color w:val="000000" w:themeColor="text1"/>
          <w:sz w:val="20"/>
          <w:szCs w:val="20"/>
          <w:lang w:val="en-US"/>
        </w:rPr>
        <w:t xml:space="preserve">use </w:t>
      </w:r>
      <w:r w:rsidR="001E2E13">
        <w:rPr>
          <w:rFonts w:ascii="Verdana" w:eastAsiaTheme="minorHAnsi" w:hAnsi="Verdana" w:cs="Times New Roman"/>
          <w:color w:val="000000" w:themeColor="text1"/>
          <w:sz w:val="20"/>
          <w:szCs w:val="20"/>
          <w:lang w:val="en-US"/>
        </w:rPr>
        <w:t>of</w:t>
      </w:r>
      <w:proofErr w:type="gramEnd"/>
      <w:r w:rsidR="001E2E13">
        <w:rPr>
          <w:rFonts w:ascii="Verdana" w:eastAsiaTheme="minorHAnsi" w:hAnsi="Verdana" w:cs="Times New Roman"/>
          <w:color w:val="000000" w:themeColor="text1"/>
          <w:sz w:val="20"/>
          <w:szCs w:val="20"/>
          <w:lang w:val="en-US"/>
        </w:rPr>
        <w:t xml:space="preserve"> </w:t>
      </w:r>
      <w:r w:rsidR="00A26A7A">
        <w:rPr>
          <w:rFonts w:ascii="Verdana" w:eastAsiaTheme="minorHAnsi" w:hAnsi="Verdana" w:cs="Times New Roman"/>
          <w:color w:val="000000" w:themeColor="text1"/>
          <w:sz w:val="20"/>
          <w:szCs w:val="20"/>
          <w:lang w:val="en-US"/>
        </w:rPr>
        <w:t>nominees</w:t>
      </w:r>
      <w:r w:rsidR="001E2E13">
        <w:rPr>
          <w:rFonts w:ascii="Verdana" w:eastAsiaTheme="minorHAnsi" w:hAnsi="Verdana" w:cs="Times New Roman"/>
          <w:color w:val="000000" w:themeColor="text1"/>
          <w:sz w:val="20"/>
          <w:szCs w:val="20"/>
          <w:lang w:val="en-US"/>
        </w:rPr>
        <w:t xml:space="preserve">.  </w:t>
      </w:r>
      <w:r w:rsidR="00921119">
        <w:rPr>
          <w:rFonts w:ascii="Verdana" w:eastAsiaTheme="minorHAnsi" w:hAnsi="Verdana" w:cs="Times New Roman"/>
          <w:color w:val="000000" w:themeColor="text1"/>
          <w:sz w:val="20"/>
          <w:szCs w:val="20"/>
          <w:lang w:val="en-US"/>
        </w:rPr>
        <w:t xml:space="preserve">Information requested in relation to </w:t>
      </w:r>
      <w:r w:rsidR="00921119" w:rsidRPr="00B75B12">
        <w:rPr>
          <w:rFonts w:ascii="Verdana" w:eastAsiaTheme="minorHAnsi" w:hAnsi="Verdana" w:cs="Times New Roman"/>
          <w:color w:val="000000" w:themeColor="text1"/>
          <w:sz w:val="20"/>
          <w:szCs w:val="20"/>
          <w:lang w:val="en-US"/>
        </w:rPr>
        <w:t>country of the investor</w:t>
      </w:r>
      <w:r w:rsidR="00921119">
        <w:rPr>
          <w:rFonts w:ascii="Verdana" w:eastAsiaTheme="minorHAnsi" w:hAnsi="Verdana" w:cs="Times New Roman"/>
          <w:color w:val="000000" w:themeColor="text1"/>
          <w:sz w:val="20"/>
          <w:szCs w:val="20"/>
          <w:lang w:val="en-US"/>
        </w:rPr>
        <w:t>(</w:t>
      </w:r>
      <w:r w:rsidR="00921119" w:rsidRPr="00B75B12">
        <w:rPr>
          <w:rFonts w:ascii="Verdana" w:eastAsiaTheme="minorHAnsi" w:hAnsi="Verdana" w:cs="Times New Roman"/>
          <w:color w:val="000000" w:themeColor="text1"/>
          <w:sz w:val="20"/>
          <w:szCs w:val="20"/>
          <w:lang w:val="en-US"/>
        </w:rPr>
        <w:t>s</w:t>
      </w:r>
      <w:r w:rsidR="00921119">
        <w:rPr>
          <w:rFonts w:ascii="Verdana" w:eastAsiaTheme="minorHAnsi" w:hAnsi="Verdana" w:cs="Times New Roman"/>
          <w:color w:val="000000" w:themeColor="text1"/>
          <w:sz w:val="20"/>
          <w:szCs w:val="20"/>
          <w:lang w:val="en-US"/>
        </w:rPr>
        <w:t xml:space="preserve">) indicated that </w:t>
      </w:r>
      <w:r w:rsidRPr="00B75B12">
        <w:rPr>
          <w:rFonts w:ascii="Verdana" w:eastAsiaTheme="minorHAnsi" w:hAnsi="Verdana" w:cs="Times New Roman"/>
          <w:color w:val="000000" w:themeColor="text1"/>
          <w:sz w:val="20"/>
          <w:szCs w:val="20"/>
          <w:lang w:val="en-US"/>
        </w:rPr>
        <w:t xml:space="preserve">23% of these investors </w:t>
      </w:r>
      <w:proofErr w:type="gramStart"/>
      <w:r w:rsidRPr="00B75B12">
        <w:rPr>
          <w:rFonts w:ascii="Verdana" w:eastAsiaTheme="minorHAnsi" w:hAnsi="Verdana" w:cs="Times New Roman"/>
          <w:color w:val="000000" w:themeColor="text1"/>
          <w:sz w:val="20"/>
          <w:szCs w:val="20"/>
          <w:lang w:val="en-US"/>
        </w:rPr>
        <w:t xml:space="preserve">are located </w:t>
      </w:r>
      <w:r w:rsidR="001E2E13">
        <w:rPr>
          <w:rFonts w:ascii="Verdana" w:eastAsiaTheme="minorHAnsi" w:hAnsi="Verdana" w:cs="Times New Roman"/>
          <w:color w:val="000000" w:themeColor="text1"/>
          <w:sz w:val="20"/>
          <w:szCs w:val="20"/>
          <w:lang w:val="en-US"/>
        </w:rPr>
        <w:t>in</w:t>
      </w:r>
      <w:proofErr w:type="gramEnd"/>
      <w:r w:rsidR="001E2E13">
        <w:rPr>
          <w:rFonts w:ascii="Verdana" w:eastAsiaTheme="minorHAnsi" w:hAnsi="Verdana" w:cs="Times New Roman"/>
          <w:color w:val="000000" w:themeColor="text1"/>
          <w:sz w:val="20"/>
          <w:szCs w:val="20"/>
          <w:lang w:val="en-US"/>
        </w:rPr>
        <w:t xml:space="preserve"> the United States, 3% the Cayman Islands and 2% each in the UK and Ireland, Switzerland and Hong Kong</w:t>
      </w:r>
      <w:r w:rsidRPr="00B75B12">
        <w:rPr>
          <w:rFonts w:ascii="Verdana" w:eastAsiaTheme="minorHAnsi" w:hAnsi="Verdana" w:cs="Times New Roman"/>
          <w:color w:val="000000" w:themeColor="text1"/>
          <w:sz w:val="20"/>
          <w:szCs w:val="20"/>
          <w:lang w:val="en-US"/>
        </w:rPr>
        <w:t xml:space="preserve">. </w:t>
      </w:r>
      <w:r w:rsidR="00921119" w:rsidRPr="00B75B12">
        <w:rPr>
          <w:rFonts w:ascii="Verdana" w:eastAsiaTheme="minorHAnsi" w:hAnsi="Verdana" w:cs="Times New Roman"/>
          <w:color w:val="000000" w:themeColor="text1"/>
          <w:sz w:val="20"/>
          <w:szCs w:val="20"/>
          <w:lang w:val="en-US"/>
        </w:rPr>
        <w:t xml:space="preserve">53% of the </w:t>
      </w:r>
      <w:r w:rsidR="00921119">
        <w:rPr>
          <w:rFonts w:ascii="Verdana" w:eastAsiaTheme="minorHAnsi" w:hAnsi="Verdana" w:cs="Times New Roman"/>
          <w:color w:val="000000" w:themeColor="text1"/>
          <w:sz w:val="20"/>
          <w:szCs w:val="20"/>
          <w:lang w:val="en-US"/>
        </w:rPr>
        <w:t xml:space="preserve">mutual fund administrators </w:t>
      </w:r>
      <w:r w:rsidR="00921119" w:rsidRPr="00B75B12">
        <w:rPr>
          <w:rFonts w:ascii="Verdana" w:eastAsiaTheme="minorHAnsi" w:hAnsi="Verdana" w:cs="Times New Roman"/>
          <w:color w:val="000000" w:themeColor="text1"/>
          <w:sz w:val="20"/>
          <w:szCs w:val="20"/>
          <w:lang w:val="en-US"/>
        </w:rPr>
        <w:t>did not identify the country of the investors</w:t>
      </w:r>
      <w:r w:rsidR="00921119">
        <w:rPr>
          <w:rFonts w:ascii="Verdana" w:eastAsiaTheme="minorHAnsi" w:hAnsi="Verdana" w:cs="Times New Roman"/>
          <w:color w:val="000000" w:themeColor="text1"/>
          <w:sz w:val="20"/>
          <w:szCs w:val="20"/>
          <w:lang w:val="en-US"/>
        </w:rPr>
        <w:t>, which is therefore an unquantified risk and thus</w:t>
      </w:r>
      <w:r w:rsidR="00921119" w:rsidRPr="00B75B12">
        <w:rPr>
          <w:rFonts w:ascii="Verdana" w:eastAsiaTheme="minorHAnsi" w:hAnsi="Verdana" w:cs="Times New Roman"/>
          <w:color w:val="000000" w:themeColor="text1"/>
          <w:sz w:val="20"/>
          <w:szCs w:val="20"/>
          <w:lang w:val="en-US"/>
        </w:rPr>
        <w:t xml:space="preserve"> </w:t>
      </w:r>
      <w:r w:rsidR="00921119">
        <w:rPr>
          <w:rFonts w:ascii="Verdana" w:eastAsiaTheme="minorHAnsi" w:hAnsi="Verdana" w:cs="Times New Roman"/>
          <w:color w:val="000000" w:themeColor="text1"/>
          <w:sz w:val="20"/>
          <w:szCs w:val="20"/>
          <w:lang w:val="en-US"/>
        </w:rPr>
        <w:t>an</w:t>
      </w:r>
      <w:r w:rsidR="00921119" w:rsidRPr="00B75B12">
        <w:rPr>
          <w:rFonts w:ascii="Verdana" w:eastAsiaTheme="minorHAnsi" w:hAnsi="Verdana" w:cs="Times New Roman"/>
          <w:color w:val="000000" w:themeColor="text1"/>
          <w:sz w:val="20"/>
          <w:szCs w:val="20"/>
          <w:lang w:val="en-US"/>
        </w:rPr>
        <w:t xml:space="preserve"> increased risk to this </w:t>
      </w:r>
      <w:r w:rsidR="00921119">
        <w:rPr>
          <w:rFonts w:ascii="Verdana" w:eastAsiaTheme="minorHAnsi" w:hAnsi="Verdana" w:cs="Times New Roman"/>
          <w:color w:val="000000" w:themeColor="text1"/>
          <w:sz w:val="20"/>
          <w:szCs w:val="20"/>
          <w:lang w:val="en-US"/>
        </w:rPr>
        <w:t>sub-</w:t>
      </w:r>
      <w:r w:rsidR="00921119" w:rsidRPr="00B75B12">
        <w:rPr>
          <w:rFonts w:ascii="Verdana" w:eastAsiaTheme="minorHAnsi" w:hAnsi="Verdana" w:cs="Times New Roman"/>
          <w:color w:val="000000" w:themeColor="text1"/>
          <w:sz w:val="20"/>
          <w:szCs w:val="20"/>
          <w:lang w:val="en-US"/>
        </w:rPr>
        <w:t>sector</w:t>
      </w:r>
      <w:r w:rsidR="001E2E13" w:rsidRPr="00B75B12">
        <w:rPr>
          <w:rFonts w:ascii="Verdana" w:eastAsiaTheme="minorHAnsi" w:hAnsi="Verdana" w:cs="Times New Roman"/>
          <w:color w:val="000000" w:themeColor="text1"/>
          <w:sz w:val="20"/>
          <w:szCs w:val="20"/>
          <w:lang w:val="en-US"/>
        </w:rPr>
        <w:t>.</w:t>
      </w:r>
    </w:p>
    <w:p w14:paraId="720912C0" w14:textId="59C26F80" w:rsidR="008A6926" w:rsidRPr="00125E84" w:rsidRDefault="008A6926" w:rsidP="00125E84">
      <w:pPr>
        <w:pStyle w:val="Heading2"/>
        <w:keepNext w:val="0"/>
        <w:keepLines w:val="0"/>
        <w:spacing w:before="0" w:line="276" w:lineRule="auto"/>
        <w:ind w:right="-6"/>
        <w:jc w:val="both"/>
        <w:rPr>
          <w:rFonts w:ascii="Verdana" w:eastAsiaTheme="minorHAnsi" w:hAnsi="Verdana"/>
          <w:color w:val="000000" w:themeColor="text1"/>
          <w:lang w:val="en-US"/>
        </w:rPr>
      </w:pPr>
    </w:p>
    <w:p w14:paraId="6765EBB8" w14:textId="150FA8F4" w:rsidR="000F2321" w:rsidRPr="00D436DB" w:rsidRDefault="00921119" w:rsidP="00125E84">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75B12">
        <w:rPr>
          <w:rFonts w:ascii="Verdana" w:eastAsiaTheme="minorHAnsi" w:hAnsi="Verdana" w:cs="Times New Roman"/>
          <w:color w:val="000000" w:themeColor="text1"/>
          <w:sz w:val="20"/>
          <w:szCs w:val="20"/>
          <w:lang w:val="en-US"/>
        </w:rPr>
        <w:t xml:space="preserve">19% </w:t>
      </w:r>
      <w:r>
        <w:rPr>
          <w:rFonts w:ascii="Verdana" w:eastAsiaTheme="minorHAnsi" w:hAnsi="Verdana" w:cs="Times New Roman"/>
          <w:color w:val="000000" w:themeColor="text1"/>
          <w:sz w:val="20"/>
          <w:szCs w:val="20"/>
          <w:lang w:val="en-US"/>
        </w:rPr>
        <w:t xml:space="preserve">of the mutual fund administrators also </w:t>
      </w:r>
      <w:r w:rsidRPr="00B75B12">
        <w:rPr>
          <w:rFonts w:ascii="Verdana" w:eastAsiaTheme="minorHAnsi" w:hAnsi="Verdana" w:cs="Times New Roman"/>
          <w:color w:val="000000" w:themeColor="text1"/>
          <w:sz w:val="20"/>
          <w:szCs w:val="20"/>
          <w:lang w:val="en-US"/>
        </w:rPr>
        <w:t>use eligible introducers</w:t>
      </w:r>
      <w:r>
        <w:rPr>
          <w:rFonts w:ascii="Verdana" w:eastAsiaTheme="minorHAnsi" w:hAnsi="Verdana" w:cs="Times New Roman"/>
          <w:color w:val="000000" w:themeColor="text1"/>
          <w:sz w:val="20"/>
          <w:szCs w:val="20"/>
          <w:lang w:val="en-US"/>
        </w:rPr>
        <w:t xml:space="preserve">.  </w:t>
      </w:r>
      <w:r w:rsidR="002E6050">
        <w:rPr>
          <w:rFonts w:ascii="Verdana" w:eastAsiaTheme="minorHAnsi" w:hAnsi="Verdana" w:cs="Times New Roman"/>
          <w:color w:val="000000" w:themeColor="text1"/>
          <w:sz w:val="20"/>
          <w:szCs w:val="20"/>
          <w:lang w:val="en-US"/>
        </w:rPr>
        <w:t>I</w:t>
      </w:r>
      <w:r w:rsidR="002E6050" w:rsidRPr="00B75B12">
        <w:rPr>
          <w:rFonts w:ascii="Verdana" w:eastAsiaTheme="minorHAnsi" w:hAnsi="Verdana" w:cs="Times New Roman"/>
          <w:color w:val="000000" w:themeColor="text1"/>
          <w:sz w:val="20"/>
          <w:szCs w:val="20"/>
          <w:lang w:val="en-US"/>
        </w:rPr>
        <w:t xml:space="preserve">nvestors </w:t>
      </w:r>
      <w:r w:rsidR="000F2321" w:rsidRPr="00B75B12">
        <w:rPr>
          <w:rFonts w:ascii="Verdana" w:eastAsiaTheme="minorHAnsi" w:hAnsi="Verdana" w:cs="Times New Roman"/>
          <w:color w:val="000000" w:themeColor="text1"/>
          <w:sz w:val="20"/>
          <w:szCs w:val="20"/>
          <w:lang w:val="en-US"/>
        </w:rPr>
        <w:t xml:space="preserve">introduced through </w:t>
      </w:r>
      <w:r>
        <w:rPr>
          <w:rFonts w:ascii="Verdana" w:eastAsiaTheme="minorHAnsi" w:hAnsi="Verdana" w:cs="Times New Roman"/>
          <w:color w:val="000000" w:themeColor="text1"/>
          <w:sz w:val="20"/>
          <w:szCs w:val="20"/>
          <w:lang w:val="en-US"/>
        </w:rPr>
        <w:t xml:space="preserve">these </w:t>
      </w:r>
      <w:r w:rsidR="000F2321" w:rsidRPr="00B75B12">
        <w:rPr>
          <w:rFonts w:ascii="Verdana" w:eastAsiaTheme="minorHAnsi" w:hAnsi="Verdana" w:cs="Times New Roman"/>
          <w:color w:val="000000" w:themeColor="text1"/>
          <w:sz w:val="20"/>
          <w:szCs w:val="20"/>
          <w:lang w:val="en-US"/>
        </w:rPr>
        <w:t xml:space="preserve">eligible introducers </w:t>
      </w:r>
      <w:r w:rsidR="002E6050">
        <w:rPr>
          <w:rFonts w:ascii="Verdana" w:eastAsiaTheme="minorHAnsi" w:hAnsi="Verdana" w:cs="Times New Roman"/>
          <w:color w:val="000000" w:themeColor="text1"/>
          <w:sz w:val="20"/>
          <w:szCs w:val="20"/>
          <w:lang w:val="en-US"/>
        </w:rPr>
        <w:t>located</w:t>
      </w:r>
      <w:r w:rsidR="007B7A1B">
        <w:rPr>
          <w:rFonts w:ascii="Verdana" w:eastAsiaTheme="minorHAnsi" w:hAnsi="Verdana" w:cs="Times New Roman"/>
          <w:color w:val="000000" w:themeColor="text1"/>
          <w:sz w:val="20"/>
          <w:szCs w:val="20"/>
          <w:lang w:val="en-US"/>
        </w:rPr>
        <w:t xml:space="preserve"> and regulated</w:t>
      </w:r>
      <w:r w:rsidR="002E6050">
        <w:rPr>
          <w:rFonts w:ascii="Verdana" w:eastAsiaTheme="minorHAnsi" w:hAnsi="Verdana" w:cs="Times New Roman"/>
          <w:color w:val="000000" w:themeColor="text1"/>
          <w:sz w:val="20"/>
          <w:szCs w:val="20"/>
          <w:lang w:val="en-US"/>
        </w:rPr>
        <w:t xml:space="preserve"> in</w:t>
      </w:r>
      <w:r w:rsidR="000F2321" w:rsidRPr="00B75B12">
        <w:rPr>
          <w:rFonts w:ascii="Verdana" w:eastAsiaTheme="minorHAnsi" w:hAnsi="Verdana" w:cs="Times New Roman"/>
          <w:color w:val="000000" w:themeColor="text1"/>
          <w:sz w:val="20"/>
          <w:szCs w:val="20"/>
          <w:lang w:val="en-US"/>
        </w:rPr>
        <w:t xml:space="preserve"> the </w:t>
      </w:r>
      <w:r>
        <w:rPr>
          <w:rFonts w:ascii="Verdana" w:eastAsiaTheme="minorHAnsi" w:hAnsi="Verdana" w:cs="Times New Roman"/>
          <w:color w:val="000000" w:themeColor="text1"/>
          <w:sz w:val="20"/>
          <w:szCs w:val="20"/>
          <w:lang w:val="en-US"/>
        </w:rPr>
        <w:t>Unites States</w:t>
      </w:r>
      <w:r w:rsidR="002E6050">
        <w:rPr>
          <w:rFonts w:ascii="Verdana" w:eastAsiaTheme="minorHAnsi" w:hAnsi="Verdana" w:cs="Times New Roman"/>
          <w:color w:val="000000" w:themeColor="text1"/>
          <w:sz w:val="20"/>
          <w:szCs w:val="20"/>
          <w:lang w:val="en-US"/>
        </w:rPr>
        <w:t xml:space="preserve"> accounted for</w:t>
      </w:r>
      <w:r w:rsidR="00FF77F1">
        <w:rPr>
          <w:rFonts w:ascii="Verdana" w:eastAsiaTheme="minorHAnsi" w:hAnsi="Verdana" w:cs="Times New Roman"/>
          <w:color w:val="000000" w:themeColor="text1"/>
          <w:sz w:val="20"/>
          <w:szCs w:val="20"/>
          <w:lang w:val="en-US"/>
        </w:rPr>
        <w:t xml:space="preserve"> </w:t>
      </w:r>
      <w:r w:rsidR="002E6050">
        <w:rPr>
          <w:rFonts w:ascii="Verdana" w:eastAsiaTheme="minorHAnsi" w:hAnsi="Verdana" w:cs="Times New Roman"/>
          <w:color w:val="000000" w:themeColor="text1"/>
          <w:sz w:val="20"/>
          <w:szCs w:val="20"/>
          <w:lang w:val="en-US"/>
        </w:rPr>
        <w:t>10% of non-face-to-face customer onboarding.  This customer delivery channel</w:t>
      </w:r>
      <w:r w:rsidR="000F2321" w:rsidRPr="00B75B12">
        <w:rPr>
          <w:rFonts w:ascii="Verdana" w:eastAsiaTheme="minorHAnsi" w:hAnsi="Verdana" w:cs="Times New Roman"/>
          <w:color w:val="000000" w:themeColor="text1"/>
          <w:sz w:val="20"/>
          <w:szCs w:val="20"/>
          <w:lang w:val="en-US"/>
        </w:rPr>
        <w:t xml:space="preserve"> </w:t>
      </w:r>
      <w:r w:rsidR="002E6050">
        <w:rPr>
          <w:rFonts w:ascii="Verdana" w:eastAsiaTheme="minorHAnsi" w:hAnsi="Verdana" w:cs="Times New Roman"/>
          <w:color w:val="000000" w:themeColor="text1"/>
          <w:sz w:val="20"/>
          <w:szCs w:val="20"/>
          <w:lang w:val="en-US"/>
        </w:rPr>
        <w:t xml:space="preserve">was </w:t>
      </w:r>
      <w:r w:rsidR="000F2321" w:rsidRPr="00B75B12">
        <w:rPr>
          <w:rFonts w:ascii="Verdana" w:eastAsiaTheme="minorHAnsi" w:hAnsi="Verdana" w:cs="Times New Roman"/>
          <w:color w:val="000000" w:themeColor="text1"/>
          <w:sz w:val="20"/>
          <w:szCs w:val="20"/>
          <w:lang w:val="en-US"/>
        </w:rPr>
        <w:t>below 10%</w:t>
      </w:r>
      <w:r w:rsidR="002E6050">
        <w:rPr>
          <w:rFonts w:ascii="Verdana" w:eastAsiaTheme="minorHAnsi" w:hAnsi="Verdana" w:cs="Times New Roman"/>
          <w:color w:val="000000" w:themeColor="text1"/>
          <w:sz w:val="20"/>
          <w:szCs w:val="20"/>
          <w:lang w:val="en-US"/>
        </w:rPr>
        <w:t xml:space="preserve"> for all other countries</w:t>
      </w:r>
      <w:r w:rsidR="000F2321" w:rsidRPr="00B75B12">
        <w:rPr>
          <w:rFonts w:ascii="Verdana" w:eastAsiaTheme="minorHAnsi" w:hAnsi="Verdana" w:cs="Times New Roman"/>
          <w:color w:val="000000" w:themeColor="text1"/>
          <w:sz w:val="20"/>
          <w:szCs w:val="20"/>
          <w:lang w:val="en-US"/>
        </w:rPr>
        <w:t xml:space="preserve">. </w:t>
      </w:r>
      <w:r w:rsidR="00D436DB">
        <w:rPr>
          <w:rFonts w:ascii="Verdana" w:eastAsiaTheme="minorHAnsi" w:hAnsi="Verdana" w:cs="Times New Roman"/>
          <w:color w:val="000000" w:themeColor="text1"/>
          <w:sz w:val="20"/>
          <w:szCs w:val="20"/>
          <w:lang w:val="en-US"/>
        </w:rPr>
        <w:t xml:space="preserve">Information was also requested in relation to </w:t>
      </w:r>
      <w:r w:rsidR="00D436DB" w:rsidRPr="00B75B12">
        <w:rPr>
          <w:rFonts w:ascii="Verdana" w:eastAsiaTheme="minorHAnsi" w:hAnsi="Verdana" w:cs="Times New Roman"/>
          <w:color w:val="000000" w:themeColor="text1"/>
          <w:sz w:val="20"/>
          <w:szCs w:val="20"/>
          <w:lang w:val="en-US"/>
        </w:rPr>
        <w:t>country of the investor</w:t>
      </w:r>
      <w:r w:rsidR="00D436DB">
        <w:rPr>
          <w:rFonts w:ascii="Verdana" w:eastAsiaTheme="minorHAnsi" w:hAnsi="Verdana" w:cs="Times New Roman"/>
          <w:color w:val="000000" w:themeColor="text1"/>
          <w:sz w:val="20"/>
          <w:szCs w:val="20"/>
          <w:lang w:val="en-US"/>
        </w:rPr>
        <w:t>(</w:t>
      </w:r>
      <w:r w:rsidR="00D436DB" w:rsidRPr="00B75B12">
        <w:rPr>
          <w:rFonts w:ascii="Verdana" w:eastAsiaTheme="minorHAnsi" w:hAnsi="Verdana" w:cs="Times New Roman"/>
          <w:color w:val="000000" w:themeColor="text1"/>
          <w:sz w:val="20"/>
          <w:szCs w:val="20"/>
          <w:lang w:val="en-US"/>
        </w:rPr>
        <w:t>s</w:t>
      </w:r>
      <w:r w:rsidR="00D436DB">
        <w:rPr>
          <w:rFonts w:ascii="Verdana" w:eastAsiaTheme="minorHAnsi" w:hAnsi="Verdana" w:cs="Times New Roman"/>
          <w:color w:val="000000" w:themeColor="text1"/>
          <w:sz w:val="20"/>
          <w:szCs w:val="20"/>
          <w:lang w:val="en-US"/>
        </w:rPr>
        <w:t xml:space="preserve">); however, </w:t>
      </w:r>
      <w:r w:rsidR="00FF77F1">
        <w:rPr>
          <w:rFonts w:ascii="Verdana" w:eastAsiaTheme="minorHAnsi" w:hAnsi="Verdana" w:cs="Times New Roman"/>
          <w:color w:val="000000" w:themeColor="text1"/>
          <w:sz w:val="20"/>
          <w:szCs w:val="20"/>
          <w:lang w:val="en-US"/>
        </w:rPr>
        <w:t>75</w:t>
      </w:r>
      <w:r w:rsidR="00D436DB" w:rsidRPr="00B75B12">
        <w:rPr>
          <w:rFonts w:ascii="Verdana" w:eastAsiaTheme="minorHAnsi" w:hAnsi="Verdana" w:cs="Times New Roman"/>
          <w:color w:val="000000" w:themeColor="text1"/>
          <w:sz w:val="20"/>
          <w:szCs w:val="20"/>
          <w:lang w:val="en-US"/>
        </w:rPr>
        <w:t xml:space="preserve">% of the </w:t>
      </w:r>
      <w:r w:rsidR="00D436DB">
        <w:rPr>
          <w:rFonts w:ascii="Verdana" w:eastAsiaTheme="minorHAnsi" w:hAnsi="Verdana" w:cs="Times New Roman"/>
          <w:color w:val="000000" w:themeColor="text1"/>
          <w:sz w:val="20"/>
          <w:szCs w:val="20"/>
          <w:lang w:val="en-US"/>
        </w:rPr>
        <w:t>respondents</w:t>
      </w:r>
      <w:r w:rsidR="00D436DB" w:rsidRPr="00B75B12">
        <w:rPr>
          <w:rFonts w:ascii="Verdana" w:eastAsiaTheme="minorHAnsi" w:hAnsi="Verdana" w:cs="Times New Roman"/>
          <w:color w:val="000000" w:themeColor="text1"/>
          <w:sz w:val="20"/>
          <w:szCs w:val="20"/>
          <w:lang w:val="en-US"/>
        </w:rPr>
        <w:t xml:space="preserve"> did not identify the country of the investors</w:t>
      </w:r>
      <w:r w:rsidR="00D436DB">
        <w:rPr>
          <w:rFonts w:ascii="Verdana" w:eastAsiaTheme="minorHAnsi" w:hAnsi="Verdana" w:cs="Times New Roman"/>
          <w:color w:val="000000" w:themeColor="text1"/>
          <w:sz w:val="20"/>
          <w:szCs w:val="20"/>
          <w:lang w:val="en-US"/>
        </w:rPr>
        <w:t>, which is therefore an unquantified risk and thus</w:t>
      </w:r>
      <w:r w:rsidR="00D436DB" w:rsidRPr="00B75B12">
        <w:rPr>
          <w:rFonts w:ascii="Verdana" w:eastAsiaTheme="minorHAnsi" w:hAnsi="Verdana" w:cs="Times New Roman"/>
          <w:color w:val="000000" w:themeColor="text1"/>
          <w:sz w:val="20"/>
          <w:szCs w:val="20"/>
          <w:lang w:val="en-US"/>
        </w:rPr>
        <w:t xml:space="preserve"> </w:t>
      </w:r>
      <w:r w:rsidR="00D436DB">
        <w:rPr>
          <w:rFonts w:ascii="Verdana" w:eastAsiaTheme="minorHAnsi" w:hAnsi="Verdana" w:cs="Times New Roman"/>
          <w:color w:val="000000" w:themeColor="text1"/>
          <w:sz w:val="20"/>
          <w:szCs w:val="20"/>
          <w:lang w:val="en-US"/>
        </w:rPr>
        <w:t>an</w:t>
      </w:r>
      <w:r w:rsidR="00D436DB" w:rsidRPr="00B75B12">
        <w:rPr>
          <w:rFonts w:ascii="Verdana" w:eastAsiaTheme="minorHAnsi" w:hAnsi="Verdana" w:cs="Times New Roman"/>
          <w:color w:val="000000" w:themeColor="text1"/>
          <w:sz w:val="20"/>
          <w:szCs w:val="20"/>
          <w:lang w:val="en-US"/>
        </w:rPr>
        <w:t xml:space="preserve"> increased risk to this </w:t>
      </w:r>
      <w:r w:rsidR="00D436DB">
        <w:rPr>
          <w:rFonts w:ascii="Verdana" w:eastAsiaTheme="minorHAnsi" w:hAnsi="Verdana" w:cs="Times New Roman"/>
          <w:color w:val="000000" w:themeColor="text1"/>
          <w:sz w:val="20"/>
          <w:szCs w:val="20"/>
          <w:lang w:val="en-US"/>
        </w:rPr>
        <w:t>sub-</w:t>
      </w:r>
      <w:r w:rsidR="00D436DB" w:rsidRPr="00B75B12">
        <w:rPr>
          <w:rFonts w:ascii="Verdana" w:eastAsiaTheme="minorHAnsi" w:hAnsi="Verdana" w:cs="Times New Roman"/>
          <w:color w:val="000000" w:themeColor="text1"/>
          <w:sz w:val="20"/>
          <w:szCs w:val="20"/>
          <w:lang w:val="en-US"/>
        </w:rPr>
        <w:t xml:space="preserve">sector. </w:t>
      </w:r>
    </w:p>
    <w:p w14:paraId="70C9A38A" w14:textId="77777777" w:rsidR="000F2321" w:rsidRPr="00B75B12" w:rsidRDefault="000F2321" w:rsidP="00D61E06">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16ED0E81" w14:textId="77777777" w:rsidR="00D83871" w:rsidRDefault="00D83871" w:rsidP="006918C9">
      <w:pPr>
        <w:rPr>
          <w:rFonts w:ascii="Verdana" w:hAnsi="Verdana"/>
          <w:i/>
        </w:rPr>
      </w:pPr>
    </w:p>
    <w:p w14:paraId="41B3FAB5" w14:textId="44166703" w:rsidR="00D83871" w:rsidRDefault="00D83871" w:rsidP="006918C9">
      <w:pPr>
        <w:rPr>
          <w:rFonts w:ascii="Verdana" w:eastAsiaTheme="majorEastAsia" w:hAnsi="Verdana" w:cstheme="majorBidi"/>
          <w:b/>
          <w:spacing w:val="5"/>
          <w:kern w:val="28"/>
        </w:rPr>
      </w:pPr>
      <w:r w:rsidRPr="00D83871">
        <w:rPr>
          <w:rFonts w:ascii="Verdana" w:eastAsiaTheme="majorEastAsia" w:hAnsi="Verdana" w:cstheme="majorBidi"/>
          <w:b/>
          <w:spacing w:val="5"/>
          <w:kern w:val="28"/>
        </w:rPr>
        <w:t>Conclusion for Risk Category</w:t>
      </w:r>
      <w:r>
        <w:rPr>
          <w:rFonts w:ascii="Verdana" w:eastAsiaTheme="majorEastAsia" w:hAnsi="Verdana" w:cstheme="majorBidi"/>
          <w:b/>
          <w:spacing w:val="5"/>
          <w:kern w:val="28"/>
        </w:rPr>
        <w:t xml:space="preserve"> – Delivery Channels</w:t>
      </w:r>
    </w:p>
    <w:p w14:paraId="2A7AA559" w14:textId="77777777" w:rsidR="000F2321" w:rsidRDefault="000F2321" w:rsidP="006918C9">
      <w:pPr>
        <w:rPr>
          <w:rFonts w:ascii="Verdana" w:eastAsiaTheme="majorEastAsia" w:hAnsi="Verdana" w:cstheme="majorBidi"/>
          <w:b/>
          <w:spacing w:val="5"/>
          <w:kern w:val="28"/>
        </w:rPr>
      </w:pPr>
    </w:p>
    <w:p w14:paraId="5E6B6609" w14:textId="0F541CC5" w:rsidR="005F76C8" w:rsidRPr="00B75B12" w:rsidRDefault="005F76C8"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75B12">
        <w:rPr>
          <w:rFonts w:ascii="Verdana" w:eastAsiaTheme="minorHAnsi" w:hAnsi="Verdana" w:cs="Times New Roman"/>
          <w:color w:val="000000" w:themeColor="text1"/>
          <w:sz w:val="20"/>
          <w:szCs w:val="20"/>
          <w:lang w:val="en-US"/>
        </w:rPr>
        <w:t xml:space="preserve">The high percentage of non-face-to-face, together with incomplete data to appropriately assess the </w:t>
      </w:r>
      <w:r w:rsidR="00116391">
        <w:rPr>
          <w:rFonts w:ascii="Verdana" w:eastAsiaTheme="minorHAnsi" w:hAnsi="Verdana" w:cs="Times New Roman"/>
          <w:color w:val="000000" w:themeColor="text1"/>
          <w:sz w:val="20"/>
          <w:szCs w:val="20"/>
          <w:lang w:val="en-US"/>
        </w:rPr>
        <w:t xml:space="preserve">risk associated with </w:t>
      </w:r>
      <w:r w:rsidRPr="00B75B12">
        <w:rPr>
          <w:rFonts w:ascii="Verdana" w:eastAsiaTheme="minorHAnsi" w:hAnsi="Verdana" w:cs="Times New Roman"/>
          <w:color w:val="000000" w:themeColor="text1"/>
          <w:sz w:val="20"/>
          <w:szCs w:val="20"/>
          <w:lang w:val="en-US"/>
        </w:rPr>
        <w:t>countr</w:t>
      </w:r>
      <w:r w:rsidR="00116391">
        <w:rPr>
          <w:rFonts w:ascii="Verdana" w:eastAsiaTheme="minorHAnsi" w:hAnsi="Verdana" w:cs="Times New Roman"/>
          <w:color w:val="000000" w:themeColor="text1"/>
          <w:sz w:val="20"/>
          <w:szCs w:val="20"/>
          <w:lang w:val="en-US"/>
        </w:rPr>
        <w:t xml:space="preserve">ies where customers are onboarded are </w:t>
      </w:r>
      <w:r w:rsidRPr="00B75B12">
        <w:rPr>
          <w:rFonts w:ascii="Verdana" w:eastAsiaTheme="minorHAnsi" w:hAnsi="Verdana" w:cs="Times New Roman"/>
          <w:color w:val="000000" w:themeColor="text1"/>
          <w:sz w:val="20"/>
          <w:szCs w:val="20"/>
          <w:lang w:val="en-US"/>
        </w:rPr>
        <w:t xml:space="preserve">factors </w:t>
      </w:r>
      <w:r w:rsidR="00116391">
        <w:rPr>
          <w:rFonts w:ascii="Verdana" w:eastAsiaTheme="minorHAnsi" w:hAnsi="Verdana" w:cs="Times New Roman"/>
          <w:color w:val="000000" w:themeColor="text1"/>
          <w:sz w:val="20"/>
          <w:szCs w:val="20"/>
          <w:lang w:val="en-US"/>
        </w:rPr>
        <w:t xml:space="preserve">that are </w:t>
      </w:r>
      <w:r w:rsidRPr="00B75B12">
        <w:rPr>
          <w:rFonts w:ascii="Verdana" w:eastAsiaTheme="minorHAnsi" w:hAnsi="Verdana" w:cs="Times New Roman"/>
          <w:color w:val="000000" w:themeColor="text1"/>
          <w:sz w:val="20"/>
          <w:szCs w:val="20"/>
          <w:lang w:val="en-US"/>
        </w:rPr>
        <w:t xml:space="preserve">considered as </w:t>
      </w:r>
      <w:r w:rsidR="000F6126">
        <w:rPr>
          <w:rFonts w:ascii="Verdana" w:eastAsiaTheme="minorHAnsi" w:hAnsi="Verdana" w:cs="Times New Roman"/>
          <w:color w:val="000000" w:themeColor="text1"/>
          <w:sz w:val="20"/>
          <w:szCs w:val="20"/>
          <w:lang w:val="en-US"/>
        </w:rPr>
        <w:t xml:space="preserve">making it very likely for </w:t>
      </w:r>
      <w:r w:rsidRPr="00B75B12">
        <w:rPr>
          <w:rFonts w:ascii="Verdana" w:eastAsiaTheme="minorHAnsi" w:hAnsi="Verdana" w:cs="Times New Roman"/>
          <w:color w:val="000000" w:themeColor="text1"/>
          <w:sz w:val="20"/>
          <w:szCs w:val="20"/>
          <w:lang w:val="en-US"/>
        </w:rPr>
        <w:t xml:space="preserve">increasing the risk of money laundering and terrorist financing. </w:t>
      </w:r>
      <w:r w:rsidR="000F6126">
        <w:rPr>
          <w:rFonts w:ascii="Verdana" w:eastAsiaTheme="minorHAnsi" w:hAnsi="Verdana" w:cs="Times New Roman"/>
          <w:color w:val="000000" w:themeColor="text1"/>
          <w:sz w:val="20"/>
          <w:szCs w:val="20"/>
          <w:lang w:val="en-US"/>
        </w:rPr>
        <w:t xml:space="preserve"> However, the data provided to assess the geographical risks indicate that </w:t>
      </w:r>
      <w:r w:rsidR="000F6126" w:rsidRPr="00B75B12">
        <w:rPr>
          <w:rFonts w:ascii="Verdana" w:eastAsiaTheme="minorHAnsi" w:hAnsi="Verdana" w:cs="Times New Roman"/>
          <w:color w:val="000000" w:themeColor="text1"/>
          <w:sz w:val="20"/>
          <w:szCs w:val="20"/>
          <w:lang w:val="en-US"/>
        </w:rPr>
        <w:t>major</w:t>
      </w:r>
      <w:r w:rsidR="000F6126">
        <w:rPr>
          <w:rFonts w:ascii="Verdana" w:eastAsiaTheme="minorHAnsi" w:hAnsi="Verdana" w:cs="Times New Roman"/>
          <w:color w:val="000000" w:themeColor="text1"/>
          <w:sz w:val="20"/>
          <w:szCs w:val="20"/>
          <w:lang w:val="en-US"/>
        </w:rPr>
        <w:t>ity of the fund</w:t>
      </w:r>
      <w:r w:rsidR="000F6126" w:rsidRPr="00B75B12">
        <w:rPr>
          <w:rFonts w:ascii="Verdana" w:eastAsiaTheme="minorHAnsi" w:hAnsi="Verdana" w:cs="Times New Roman"/>
          <w:color w:val="000000" w:themeColor="text1"/>
          <w:sz w:val="20"/>
          <w:szCs w:val="20"/>
          <w:lang w:val="en-US"/>
        </w:rPr>
        <w:t xml:space="preserve"> structures and </w:t>
      </w:r>
      <w:r w:rsidR="000F6126">
        <w:rPr>
          <w:rFonts w:ascii="Verdana" w:eastAsiaTheme="minorHAnsi" w:hAnsi="Verdana" w:cs="Times New Roman"/>
          <w:color w:val="000000" w:themeColor="text1"/>
          <w:sz w:val="20"/>
          <w:szCs w:val="20"/>
          <w:lang w:val="en-US"/>
        </w:rPr>
        <w:t xml:space="preserve">the </w:t>
      </w:r>
      <w:r w:rsidR="000F6126" w:rsidRPr="00B75B12">
        <w:rPr>
          <w:rFonts w:ascii="Verdana" w:eastAsiaTheme="minorHAnsi" w:hAnsi="Verdana" w:cs="Times New Roman"/>
          <w:color w:val="000000" w:themeColor="text1"/>
          <w:sz w:val="20"/>
          <w:szCs w:val="20"/>
          <w:lang w:val="en-US"/>
        </w:rPr>
        <w:t xml:space="preserve">investors </w:t>
      </w:r>
      <w:proofErr w:type="gramStart"/>
      <w:r w:rsidR="000F6126">
        <w:rPr>
          <w:rFonts w:ascii="Verdana" w:eastAsiaTheme="minorHAnsi" w:hAnsi="Verdana" w:cs="Times New Roman"/>
          <w:color w:val="000000" w:themeColor="text1"/>
          <w:sz w:val="20"/>
          <w:szCs w:val="20"/>
          <w:lang w:val="en-US"/>
        </w:rPr>
        <w:t>are located in</w:t>
      </w:r>
      <w:proofErr w:type="gramEnd"/>
      <w:r w:rsidR="000F6126">
        <w:rPr>
          <w:rFonts w:ascii="Verdana" w:eastAsiaTheme="minorHAnsi" w:hAnsi="Verdana" w:cs="Times New Roman"/>
          <w:color w:val="000000" w:themeColor="text1"/>
          <w:sz w:val="20"/>
          <w:szCs w:val="20"/>
          <w:lang w:val="en-US"/>
        </w:rPr>
        <w:t xml:space="preserve"> the Cayman Islands or the United States.  </w:t>
      </w:r>
      <w:r w:rsidRPr="00B75B12">
        <w:rPr>
          <w:rFonts w:ascii="Verdana" w:eastAsiaTheme="minorHAnsi" w:hAnsi="Verdana" w:cs="Times New Roman"/>
          <w:color w:val="000000" w:themeColor="text1"/>
          <w:sz w:val="20"/>
          <w:szCs w:val="20"/>
          <w:lang w:val="en-US"/>
        </w:rPr>
        <w:t>As such the overall risk assessment is Medium-High.</w:t>
      </w:r>
    </w:p>
    <w:p w14:paraId="15B3CF93" w14:textId="77777777" w:rsidR="005F76C8" w:rsidRDefault="005F76C8" w:rsidP="00701C47">
      <w:pPr>
        <w:jc w:val="both"/>
        <w:rPr>
          <w:rFonts w:ascii="Verdana" w:hAnsi="Verdana"/>
          <w:highlight w:val="yellow"/>
        </w:rPr>
      </w:pPr>
    </w:p>
    <w:p w14:paraId="1BDE2870" w14:textId="36664889" w:rsidR="006918C9" w:rsidRPr="00246331" w:rsidRDefault="006918C9" w:rsidP="006918C9">
      <w:pPr>
        <w:rPr>
          <w:rFonts w:ascii="Verdana" w:hAnsi="Verdana"/>
          <w:i/>
        </w:rPr>
      </w:pPr>
      <w:r w:rsidRPr="00246331">
        <w:rPr>
          <w:rFonts w:ascii="Verdana" w:hAnsi="Verdana"/>
          <w:i/>
        </w:rPr>
        <w:t>Risk rating: Medium High</w:t>
      </w:r>
    </w:p>
    <w:p w14:paraId="34C204EA" w14:textId="77777777" w:rsidR="006918C9" w:rsidRPr="006918C9" w:rsidRDefault="006918C9" w:rsidP="006918C9">
      <w:pPr>
        <w:jc w:val="both"/>
        <w:rPr>
          <w:rFonts w:ascii="Verdana" w:hAnsi="Verdana"/>
        </w:rPr>
      </w:pPr>
    </w:p>
    <w:p w14:paraId="60345BC9" w14:textId="77777777" w:rsidR="003F6C49" w:rsidRDefault="003F6C49" w:rsidP="006918C9">
      <w:pPr>
        <w:rPr>
          <w:rFonts w:ascii="Verdana" w:eastAsiaTheme="majorEastAsia" w:hAnsi="Verdana" w:cstheme="majorBidi"/>
          <w:b/>
          <w:spacing w:val="5"/>
          <w:kern w:val="28"/>
        </w:rPr>
      </w:pPr>
    </w:p>
    <w:p w14:paraId="5208962D" w14:textId="37660757" w:rsidR="0088202D" w:rsidRDefault="0088202D" w:rsidP="006918C9">
      <w:pPr>
        <w:rPr>
          <w:rFonts w:ascii="Verdana" w:eastAsiaTheme="majorEastAsia" w:hAnsi="Verdana" w:cstheme="majorBidi"/>
          <w:b/>
          <w:spacing w:val="5"/>
          <w:kern w:val="28"/>
        </w:rPr>
      </w:pPr>
      <w:r>
        <w:rPr>
          <w:rFonts w:ascii="Verdana" w:eastAsiaTheme="majorEastAsia" w:hAnsi="Verdana" w:cstheme="majorBidi"/>
          <w:b/>
          <w:spacing w:val="5"/>
          <w:kern w:val="28"/>
        </w:rPr>
        <w:t>Mitigating Measures</w:t>
      </w:r>
    </w:p>
    <w:p w14:paraId="19C76C83" w14:textId="77777777" w:rsidR="00B75B12" w:rsidRDefault="00B75B12" w:rsidP="006918C9">
      <w:pPr>
        <w:rPr>
          <w:rFonts w:ascii="Verdana" w:eastAsiaTheme="majorEastAsia" w:hAnsi="Verdana" w:cstheme="majorBidi"/>
          <w:b/>
          <w:spacing w:val="5"/>
          <w:kern w:val="28"/>
        </w:rPr>
      </w:pPr>
    </w:p>
    <w:p w14:paraId="6580BBD4" w14:textId="3D467F0F" w:rsidR="002F7585" w:rsidRDefault="00B75B12"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75B12">
        <w:rPr>
          <w:rFonts w:ascii="Verdana" w:eastAsiaTheme="minorHAnsi" w:hAnsi="Verdana" w:cs="Times New Roman"/>
          <w:color w:val="000000" w:themeColor="text1"/>
          <w:sz w:val="20"/>
          <w:szCs w:val="20"/>
          <w:lang w:val="en-US"/>
        </w:rPr>
        <w:t xml:space="preserve">During onsite inspections, procedures </w:t>
      </w:r>
      <w:r w:rsidR="002F7585">
        <w:rPr>
          <w:rFonts w:ascii="Verdana" w:eastAsiaTheme="minorHAnsi" w:hAnsi="Verdana" w:cs="Times New Roman"/>
          <w:color w:val="000000" w:themeColor="text1"/>
          <w:sz w:val="20"/>
          <w:szCs w:val="20"/>
          <w:lang w:val="en-US"/>
        </w:rPr>
        <w:t>are</w:t>
      </w:r>
      <w:r w:rsidRPr="00B75B12">
        <w:rPr>
          <w:rFonts w:ascii="Verdana" w:eastAsiaTheme="minorHAnsi" w:hAnsi="Verdana" w:cs="Times New Roman"/>
          <w:color w:val="000000" w:themeColor="text1"/>
          <w:sz w:val="20"/>
          <w:szCs w:val="20"/>
          <w:lang w:val="en-US"/>
        </w:rPr>
        <w:t xml:space="preserve"> performed to </w:t>
      </w:r>
      <w:r w:rsidR="009048D0">
        <w:rPr>
          <w:rFonts w:ascii="Verdana" w:eastAsiaTheme="minorHAnsi" w:hAnsi="Verdana" w:cs="Times New Roman"/>
          <w:color w:val="000000" w:themeColor="text1"/>
          <w:sz w:val="20"/>
          <w:szCs w:val="20"/>
          <w:lang w:val="en-US"/>
        </w:rPr>
        <w:t>ensure th</w:t>
      </w:r>
      <w:r w:rsidR="00166951">
        <w:rPr>
          <w:rFonts w:ascii="Verdana" w:eastAsiaTheme="minorHAnsi" w:hAnsi="Verdana" w:cs="Times New Roman"/>
          <w:color w:val="000000" w:themeColor="text1"/>
          <w:sz w:val="20"/>
          <w:szCs w:val="20"/>
          <w:lang w:val="en-US"/>
        </w:rPr>
        <w:t>at</w:t>
      </w:r>
      <w:r w:rsidR="009048D0">
        <w:rPr>
          <w:rFonts w:ascii="Verdana" w:eastAsiaTheme="minorHAnsi" w:hAnsi="Verdana" w:cs="Times New Roman"/>
          <w:color w:val="000000" w:themeColor="text1"/>
          <w:sz w:val="20"/>
          <w:szCs w:val="20"/>
          <w:lang w:val="en-US"/>
        </w:rPr>
        <w:t xml:space="preserve"> mutual fund administrator</w:t>
      </w:r>
      <w:r w:rsidR="00E75A10">
        <w:rPr>
          <w:rFonts w:ascii="Verdana" w:eastAsiaTheme="minorHAnsi" w:hAnsi="Verdana" w:cs="Times New Roman"/>
          <w:color w:val="000000" w:themeColor="text1"/>
          <w:sz w:val="20"/>
          <w:szCs w:val="20"/>
          <w:lang w:val="en-US"/>
        </w:rPr>
        <w:t>s</w:t>
      </w:r>
      <w:r w:rsidR="009048D0">
        <w:rPr>
          <w:rFonts w:ascii="Verdana" w:eastAsiaTheme="minorHAnsi" w:hAnsi="Verdana" w:cs="Times New Roman"/>
          <w:color w:val="000000" w:themeColor="text1"/>
          <w:sz w:val="20"/>
          <w:szCs w:val="20"/>
          <w:lang w:val="en-US"/>
        </w:rPr>
        <w:t xml:space="preserve"> have an effective program for monitoring the outsourced services, particularly AML/CFT compliance</w:t>
      </w:r>
      <w:r w:rsidR="00E75A10">
        <w:rPr>
          <w:rFonts w:ascii="Verdana" w:eastAsiaTheme="minorHAnsi" w:hAnsi="Verdana" w:cs="Times New Roman"/>
          <w:color w:val="000000" w:themeColor="text1"/>
          <w:sz w:val="20"/>
          <w:szCs w:val="20"/>
          <w:lang w:val="en-US"/>
        </w:rPr>
        <w:t xml:space="preserve"> services</w:t>
      </w:r>
      <w:r w:rsidR="002F7585">
        <w:rPr>
          <w:rFonts w:ascii="Verdana" w:eastAsiaTheme="minorHAnsi" w:hAnsi="Verdana" w:cs="Times New Roman"/>
          <w:color w:val="000000" w:themeColor="text1"/>
          <w:sz w:val="20"/>
          <w:szCs w:val="20"/>
          <w:lang w:val="en-US"/>
        </w:rPr>
        <w:t xml:space="preserve"> </w:t>
      </w:r>
      <w:r w:rsidR="00FC7226">
        <w:rPr>
          <w:rFonts w:ascii="Verdana" w:eastAsiaTheme="minorHAnsi" w:hAnsi="Verdana" w:cs="Times New Roman"/>
          <w:color w:val="000000" w:themeColor="text1"/>
          <w:sz w:val="20"/>
          <w:szCs w:val="20"/>
          <w:lang w:val="en-US"/>
        </w:rPr>
        <w:t>and the</w:t>
      </w:r>
      <w:r w:rsidR="00166951">
        <w:rPr>
          <w:rFonts w:ascii="Verdana" w:eastAsiaTheme="minorHAnsi" w:hAnsi="Verdana" w:cs="Times New Roman"/>
          <w:color w:val="000000" w:themeColor="text1"/>
          <w:sz w:val="20"/>
          <w:szCs w:val="20"/>
          <w:lang w:val="en-US"/>
        </w:rPr>
        <w:t xml:space="preserve"> onboarding of clients through non face to face channels</w:t>
      </w:r>
      <w:r w:rsidR="002F7585">
        <w:rPr>
          <w:rFonts w:ascii="Verdana" w:eastAsiaTheme="minorHAnsi" w:hAnsi="Verdana" w:cs="Times New Roman"/>
          <w:color w:val="000000" w:themeColor="text1"/>
          <w:sz w:val="20"/>
          <w:szCs w:val="20"/>
          <w:lang w:val="en-US"/>
        </w:rPr>
        <w:t>.</w:t>
      </w:r>
      <w:r w:rsidR="00E75A10">
        <w:rPr>
          <w:rFonts w:ascii="Verdana" w:eastAsiaTheme="minorHAnsi" w:hAnsi="Verdana" w:cs="Times New Roman"/>
          <w:color w:val="000000" w:themeColor="text1"/>
          <w:sz w:val="20"/>
          <w:szCs w:val="20"/>
          <w:lang w:val="en-US"/>
        </w:rPr>
        <w:t xml:space="preserve"> </w:t>
      </w:r>
      <w:r w:rsidR="002F7585">
        <w:rPr>
          <w:rFonts w:ascii="Verdana" w:eastAsiaTheme="minorHAnsi" w:hAnsi="Verdana" w:cs="Times New Roman"/>
          <w:color w:val="000000" w:themeColor="text1"/>
          <w:sz w:val="20"/>
          <w:szCs w:val="20"/>
          <w:lang w:val="en-US"/>
        </w:rPr>
        <w:t>Enhanced</w:t>
      </w:r>
      <w:r w:rsidR="00166951">
        <w:rPr>
          <w:rFonts w:ascii="Verdana" w:eastAsiaTheme="minorHAnsi" w:hAnsi="Verdana" w:cs="Times New Roman"/>
          <w:color w:val="000000" w:themeColor="text1"/>
          <w:sz w:val="20"/>
          <w:szCs w:val="20"/>
          <w:lang w:val="en-US"/>
        </w:rPr>
        <w:t xml:space="preserve"> due diligence procedures are </w:t>
      </w:r>
      <w:r w:rsidR="002F7585">
        <w:rPr>
          <w:rFonts w:ascii="Verdana" w:eastAsiaTheme="minorHAnsi" w:hAnsi="Verdana" w:cs="Times New Roman"/>
          <w:color w:val="000000" w:themeColor="text1"/>
          <w:sz w:val="20"/>
          <w:szCs w:val="20"/>
          <w:lang w:val="en-US"/>
        </w:rPr>
        <w:t xml:space="preserve">also expected to be </w:t>
      </w:r>
      <w:r w:rsidR="00166951">
        <w:rPr>
          <w:rFonts w:ascii="Verdana" w:eastAsiaTheme="minorHAnsi" w:hAnsi="Verdana" w:cs="Times New Roman"/>
          <w:color w:val="000000" w:themeColor="text1"/>
          <w:sz w:val="20"/>
          <w:szCs w:val="20"/>
          <w:lang w:val="en-US"/>
        </w:rPr>
        <w:t xml:space="preserve">performed for </w:t>
      </w:r>
      <w:r w:rsidR="002F7585">
        <w:rPr>
          <w:rFonts w:ascii="Verdana" w:eastAsiaTheme="minorHAnsi" w:hAnsi="Verdana" w:cs="Times New Roman"/>
          <w:color w:val="000000" w:themeColor="text1"/>
          <w:sz w:val="20"/>
          <w:szCs w:val="20"/>
          <w:lang w:val="en-US"/>
        </w:rPr>
        <w:t xml:space="preserve">customers from </w:t>
      </w:r>
      <w:r w:rsidR="00166951">
        <w:rPr>
          <w:rFonts w:ascii="Verdana" w:eastAsiaTheme="minorHAnsi" w:hAnsi="Verdana" w:cs="Times New Roman"/>
          <w:color w:val="000000" w:themeColor="text1"/>
          <w:sz w:val="20"/>
          <w:szCs w:val="20"/>
          <w:lang w:val="en-US"/>
        </w:rPr>
        <w:t>high risk countries</w:t>
      </w:r>
      <w:r w:rsidR="002F7585">
        <w:rPr>
          <w:rFonts w:ascii="Verdana" w:eastAsiaTheme="minorHAnsi" w:hAnsi="Verdana" w:cs="Times New Roman"/>
          <w:color w:val="000000" w:themeColor="text1"/>
          <w:sz w:val="20"/>
          <w:szCs w:val="20"/>
          <w:lang w:val="en-US"/>
        </w:rPr>
        <w:t>, with confirmation also obtained as part of the onsite inspection procedures</w:t>
      </w:r>
      <w:r w:rsidR="00166951">
        <w:rPr>
          <w:rFonts w:ascii="Verdana" w:eastAsiaTheme="minorHAnsi" w:hAnsi="Verdana" w:cs="Times New Roman"/>
          <w:color w:val="000000" w:themeColor="text1"/>
          <w:sz w:val="20"/>
          <w:szCs w:val="20"/>
          <w:lang w:val="en-US"/>
        </w:rPr>
        <w:t xml:space="preserve">.  </w:t>
      </w:r>
      <w:r w:rsidR="002F7585" w:rsidRPr="00B75B12">
        <w:rPr>
          <w:rFonts w:ascii="Verdana" w:eastAsiaTheme="minorHAnsi" w:hAnsi="Verdana" w:cs="Times New Roman"/>
          <w:color w:val="000000" w:themeColor="text1"/>
          <w:sz w:val="20"/>
          <w:szCs w:val="20"/>
          <w:lang w:val="en-US"/>
        </w:rPr>
        <w:t xml:space="preserve">Onsite inspections will continue to be conducted on </w:t>
      </w:r>
      <w:r w:rsidR="002F7585">
        <w:rPr>
          <w:rFonts w:ascii="Verdana" w:eastAsiaTheme="minorHAnsi" w:hAnsi="Verdana" w:cs="Times New Roman"/>
          <w:color w:val="000000" w:themeColor="text1"/>
          <w:sz w:val="20"/>
          <w:szCs w:val="20"/>
          <w:lang w:val="en-US"/>
        </w:rPr>
        <w:t xml:space="preserve">mutual fund administrators </w:t>
      </w:r>
      <w:r w:rsidR="002F7585" w:rsidRPr="00B75B12">
        <w:rPr>
          <w:rFonts w:ascii="Verdana" w:eastAsiaTheme="minorHAnsi" w:hAnsi="Verdana" w:cs="Times New Roman"/>
          <w:color w:val="000000" w:themeColor="text1"/>
          <w:sz w:val="20"/>
          <w:szCs w:val="20"/>
          <w:lang w:val="en-US"/>
        </w:rPr>
        <w:t>in accordance with each licensee’s supervisory plan, which takes into consideration the results of the risk assessments</w:t>
      </w:r>
      <w:r w:rsidR="002F7585">
        <w:rPr>
          <w:rFonts w:ascii="Verdana" w:eastAsiaTheme="minorHAnsi" w:hAnsi="Verdana" w:cs="Times New Roman"/>
          <w:color w:val="000000" w:themeColor="text1"/>
          <w:sz w:val="20"/>
          <w:szCs w:val="20"/>
          <w:lang w:val="en-US"/>
        </w:rPr>
        <w:t xml:space="preserve">, </w:t>
      </w:r>
      <w:r w:rsidR="002F7585" w:rsidRPr="00B75B12">
        <w:rPr>
          <w:rFonts w:ascii="Verdana" w:eastAsiaTheme="minorHAnsi" w:hAnsi="Verdana" w:cs="Times New Roman"/>
          <w:color w:val="000000" w:themeColor="text1"/>
          <w:sz w:val="20"/>
          <w:szCs w:val="20"/>
          <w:lang w:val="en-US"/>
        </w:rPr>
        <w:t>previous onsite inspections</w:t>
      </w:r>
      <w:r w:rsidR="002F7585">
        <w:rPr>
          <w:rFonts w:ascii="Verdana" w:eastAsiaTheme="minorHAnsi" w:hAnsi="Verdana" w:cs="Times New Roman"/>
          <w:color w:val="000000" w:themeColor="text1"/>
          <w:sz w:val="20"/>
          <w:szCs w:val="20"/>
          <w:lang w:val="en-US"/>
        </w:rPr>
        <w:t xml:space="preserve"> and remediation responses.</w:t>
      </w:r>
      <w:r w:rsidR="002F7585" w:rsidRPr="00B75B12">
        <w:rPr>
          <w:rFonts w:ascii="Verdana" w:eastAsiaTheme="minorHAnsi" w:hAnsi="Verdana" w:cs="Times New Roman"/>
          <w:color w:val="000000" w:themeColor="text1"/>
          <w:sz w:val="20"/>
          <w:szCs w:val="20"/>
          <w:lang w:val="en-US"/>
        </w:rPr>
        <w:t xml:space="preserve"> </w:t>
      </w:r>
    </w:p>
    <w:p w14:paraId="5E2377C2" w14:textId="77777777" w:rsidR="002F7585" w:rsidRDefault="002F7585" w:rsidP="00125E84">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6DDA1B88" w14:textId="6D5D80A0" w:rsidR="002F7585" w:rsidRDefault="002F7585"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Pr>
          <w:rFonts w:ascii="Verdana" w:eastAsiaTheme="minorHAnsi" w:hAnsi="Verdana" w:cs="Times New Roman"/>
          <w:color w:val="000000" w:themeColor="text1"/>
          <w:sz w:val="20"/>
          <w:szCs w:val="20"/>
          <w:lang w:val="en-US"/>
        </w:rPr>
        <w:t>In addition, m</w:t>
      </w:r>
      <w:r w:rsidR="00B75B12">
        <w:rPr>
          <w:rFonts w:ascii="Verdana" w:eastAsiaTheme="minorHAnsi" w:hAnsi="Verdana" w:cs="Times New Roman"/>
          <w:color w:val="000000" w:themeColor="text1"/>
          <w:sz w:val="20"/>
          <w:szCs w:val="20"/>
          <w:lang w:val="en-US"/>
        </w:rPr>
        <w:t xml:space="preserve">utual </w:t>
      </w:r>
      <w:r w:rsidR="00E75A10">
        <w:rPr>
          <w:rFonts w:ascii="Verdana" w:eastAsiaTheme="minorHAnsi" w:hAnsi="Verdana" w:cs="Times New Roman"/>
          <w:color w:val="000000" w:themeColor="text1"/>
          <w:sz w:val="20"/>
          <w:szCs w:val="20"/>
          <w:lang w:val="en-US"/>
        </w:rPr>
        <w:t>f</w:t>
      </w:r>
      <w:r w:rsidR="00B75B12">
        <w:rPr>
          <w:rFonts w:ascii="Verdana" w:eastAsiaTheme="minorHAnsi" w:hAnsi="Verdana" w:cs="Times New Roman"/>
          <w:color w:val="000000" w:themeColor="text1"/>
          <w:sz w:val="20"/>
          <w:szCs w:val="20"/>
          <w:lang w:val="en-US"/>
        </w:rPr>
        <w:t xml:space="preserve">und </w:t>
      </w:r>
      <w:r w:rsidR="00E75A10">
        <w:rPr>
          <w:rFonts w:ascii="Verdana" w:eastAsiaTheme="minorHAnsi" w:hAnsi="Verdana" w:cs="Times New Roman"/>
          <w:color w:val="000000" w:themeColor="text1"/>
          <w:sz w:val="20"/>
          <w:szCs w:val="20"/>
          <w:lang w:val="en-US"/>
        </w:rPr>
        <w:t>a</w:t>
      </w:r>
      <w:r w:rsidR="00B75B12">
        <w:rPr>
          <w:rFonts w:ascii="Verdana" w:eastAsiaTheme="minorHAnsi" w:hAnsi="Verdana" w:cs="Times New Roman"/>
          <w:color w:val="000000" w:themeColor="text1"/>
          <w:sz w:val="20"/>
          <w:szCs w:val="20"/>
          <w:lang w:val="en-US"/>
        </w:rPr>
        <w:t>dministrators</w:t>
      </w:r>
      <w:r>
        <w:rPr>
          <w:rFonts w:ascii="Verdana" w:eastAsiaTheme="minorHAnsi" w:hAnsi="Verdana" w:cs="Times New Roman"/>
          <w:color w:val="000000" w:themeColor="text1"/>
          <w:sz w:val="20"/>
          <w:szCs w:val="20"/>
          <w:lang w:val="en-US"/>
        </w:rPr>
        <w:t>, as they</w:t>
      </w:r>
      <w:r w:rsidR="00B75B12">
        <w:rPr>
          <w:rFonts w:ascii="Verdana" w:eastAsiaTheme="minorHAnsi" w:hAnsi="Verdana" w:cs="Times New Roman"/>
          <w:color w:val="000000" w:themeColor="text1"/>
          <w:sz w:val="20"/>
          <w:szCs w:val="20"/>
          <w:lang w:val="en-US"/>
        </w:rPr>
        <w:t xml:space="preserve"> </w:t>
      </w:r>
      <w:r w:rsidR="00B75B12" w:rsidRPr="00B75B12">
        <w:rPr>
          <w:rFonts w:ascii="Verdana" w:eastAsiaTheme="minorHAnsi" w:hAnsi="Verdana" w:cs="Times New Roman"/>
          <w:color w:val="000000" w:themeColor="text1"/>
          <w:sz w:val="20"/>
          <w:szCs w:val="20"/>
          <w:lang w:val="en-US"/>
        </w:rPr>
        <w:t>carry on relevant financial business as defined in Proceeds of Crime Law, are required to comply with the AMLRs. CIMA will continue to monitor their compliance with the AMLRs</w:t>
      </w:r>
      <w:r w:rsidR="00E75A10">
        <w:rPr>
          <w:rFonts w:ascii="Verdana" w:eastAsiaTheme="minorHAnsi" w:hAnsi="Verdana" w:cs="Times New Roman"/>
          <w:color w:val="000000" w:themeColor="text1"/>
          <w:sz w:val="20"/>
          <w:szCs w:val="20"/>
          <w:lang w:val="en-US"/>
        </w:rPr>
        <w:t xml:space="preserve"> and Guidance Notes</w:t>
      </w:r>
      <w:r w:rsidR="00B75B12" w:rsidRPr="00B75B12">
        <w:rPr>
          <w:rFonts w:ascii="Verdana" w:eastAsiaTheme="minorHAnsi" w:hAnsi="Verdana" w:cs="Times New Roman"/>
          <w:color w:val="000000" w:themeColor="text1"/>
          <w:sz w:val="20"/>
          <w:szCs w:val="20"/>
          <w:lang w:val="en-US"/>
        </w:rPr>
        <w:t xml:space="preserve">. </w:t>
      </w:r>
    </w:p>
    <w:p w14:paraId="566E273B" w14:textId="77777777" w:rsidR="002F7585" w:rsidRDefault="002F7585" w:rsidP="00125E84">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0BDC6646" w14:textId="212E99BB" w:rsidR="00B75B12" w:rsidRPr="00B75B12" w:rsidRDefault="00B75B12" w:rsidP="00B75B12">
      <w:pPr>
        <w:pStyle w:val="Heading2"/>
        <w:keepNext w:val="0"/>
        <w:keepLines w:val="0"/>
        <w:numPr>
          <w:ilvl w:val="0"/>
          <w:numId w:val="16"/>
        </w:numPr>
        <w:spacing w:before="0" w:line="276" w:lineRule="auto"/>
        <w:ind w:left="0" w:right="-6" w:firstLine="0"/>
        <w:jc w:val="both"/>
        <w:rPr>
          <w:rFonts w:ascii="Verdana" w:eastAsiaTheme="minorHAnsi" w:hAnsi="Verdana" w:cs="Times New Roman"/>
          <w:color w:val="000000" w:themeColor="text1"/>
          <w:sz w:val="20"/>
          <w:szCs w:val="20"/>
          <w:lang w:val="en-US"/>
        </w:rPr>
      </w:pPr>
      <w:r w:rsidRPr="00B75B12">
        <w:rPr>
          <w:rFonts w:ascii="Verdana" w:eastAsiaTheme="minorHAnsi" w:hAnsi="Verdana" w:cs="Times New Roman"/>
          <w:color w:val="000000" w:themeColor="text1"/>
          <w:sz w:val="20"/>
          <w:szCs w:val="20"/>
          <w:lang w:val="en-US"/>
        </w:rPr>
        <w:t xml:space="preserve">Each </w:t>
      </w:r>
      <w:r w:rsidR="002F7585">
        <w:rPr>
          <w:rFonts w:ascii="Verdana" w:eastAsiaTheme="minorHAnsi" w:hAnsi="Verdana" w:cs="Times New Roman"/>
          <w:color w:val="000000" w:themeColor="text1"/>
          <w:sz w:val="20"/>
          <w:szCs w:val="20"/>
          <w:lang w:val="en-US"/>
        </w:rPr>
        <w:t>regulated mutual fund administrator’s</w:t>
      </w:r>
      <w:r w:rsidR="002F7585" w:rsidRPr="00B75B12">
        <w:rPr>
          <w:rFonts w:ascii="Verdana" w:eastAsiaTheme="minorHAnsi" w:hAnsi="Verdana" w:cs="Times New Roman"/>
          <w:color w:val="000000" w:themeColor="text1"/>
          <w:sz w:val="20"/>
          <w:szCs w:val="20"/>
          <w:lang w:val="en-US"/>
        </w:rPr>
        <w:t xml:space="preserve"> </w:t>
      </w:r>
      <w:r w:rsidRPr="00B75B12">
        <w:rPr>
          <w:rFonts w:ascii="Verdana" w:eastAsiaTheme="minorHAnsi" w:hAnsi="Verdana" w:cs="Times New Roman"/>
          <w:color w:val="000000" w:themeColor="text1"/>
          <w:sz w:val="20"/>
          <w:szCs w:val="20"/>
          <w:lang w:val="en-US"/>
        </w:rPr>
        <w:t xml:space="preserve">risk assessment and supervisory plan </w:t>
      </w:r>
      <w:r w:rsidR="002F7585">
        <w:rPr>
          <w:rFonts w:ascii="Verdana" w:eastAsiaTheme="minorHAnsi" w:hAnsi="Verdana" w:cs="Times New Roman"/>
          <w:color w:val="000000" w:themeColor="text1"/>
          <w:sz w:val="20"/>
          <w:szCs w:val="20"/>
          <w:lang w:val="en-US"/>
        </w:rPr>
        <w:t>is</w:t>
      </w:r>
      <w:r w:rsidRPr="00B75B12">
        <w:rPr>
          <w:rFonts w:ascii="Verdana" w:eastAsiaTheme="minorHAnsi" w:hAnsi="Verdana" w:cs="Times New Roman"/>
          <w:color w:val="000000" w:themeColor="text1"/>
          <w:sz w:val="20"/>
          <w:szCs w:val="20"/>
          <w:lang w:val="en-US"/>
        </w:rPr>
        <w:t xml:space="preserve"> updated </w:t>
      </w:r>
      <w:r>
        <w:rPr>
          <w:rFonts w:ascii="Verdana" w:eastAsiaTheme="minorHAnsi" w:hAnsi="Verdana" w:cs="Times New Roman"/>
          <w:color w:val="000000" w:themeColor="text1"/>
          <w:sz w:val="20"/>
          <w:szCs w:val="20"/>
          <w:lang w:val="en-US"/>
        </w:rPr>
        <w:t>periodically</w:t>
      </w:r>
      <w:r w:rsidR="00836A43">
        <w:rPr>
          <w:rFonts w:ascii="Verdana" w:eastAsiaTheme="minorHAnsi" w:hAnsi="Verdana" w:cs="Times New Roman"/>
          <w:color w:val="000000" w:themeColor="text1"/>
          <w:sz w:val="20"/>
          <w:szCs w:val="20"/>
          <w:lang w:val="en-US"/>
        </w:rPr>
        <w:t xml:space="preserve">, </w:t>
      </w:r>
      <w:r w:rsidR="002F7585">
        <w:rPr>
          <w:rFonts w:ascii="Verdana" w:eastAsiaTheme="minorHAnsi" w:hAnsi="Verdana" w:cs="Times New Roman"/>
          <w:color w:val="000000" w:themeColor="text1"/>
          <w:sz w:val="20"/>
          <w:szCs w:val="20"/>
          <w:lang w:val="en-US"/>
        </w:rPr>
        <w:t xml:space="preserve">in keeping with its individual risk rating and includes a </w:t>
      </w:r>
      <w:r w:rsidR="00836A43">
        <w:rPr>
          <w:rFonts w:ascii="Verdana" w:eastAsiaTheme="minorHAnsi" w:hAnsi="Verdana" w:cs="Times New Roman"/>
          <w:color w:val="000000" w:themeColor="text1"/>
          <w:sz w:val="20"/>
          <w:szCs w:val="20"/>
          <w:lang w:val="en-US"/>
        </w:rPr>
        <w:t>consider</w:t>
      </w:r>
      <w:r w:rsidR="00026A0D">
        <w:rPr>
          <w:rFonts w:ascii="Verdana" w:eastAsiaTheme="minorHAnsi" w:hAnsi="Verdana" w:cs="Times New Roman"/>
          <w:color w:val="000000" w:themeColor="text1"/>
          <w:sz w:val="20"/>
          <w:szCs w:val="20"/>
          <w:lang w:val="en-US"/>
        </w:rPr>
        <w:t>ation of m</w:t>
      </w:r>
      <w:r w:rsidR="00836A43">
        <w:rPr>
          <w:rFonts w:ascii="Verdana" w:eastAsiaTheme="minorHAnsi" w:hAnsi="Verdana" w:cs="Times New Roman"/>
          <w:color w:val="000000" w:themeColor="text1"/>
          <w:sz w:val="20"/>
          <w:szCs w:val="20"/>
          <w:lang w:val="en-US"/>
        </w:rPr>
        <w:t xml:space="preserve">ajor events that can potentially impact on the </w:t>
      </w:r>
      <w:r w:rsidR="002F7585">
        <w:rPr>
          <w:rFonts w:ascii="Verdana" w:eastAsiaTheme="minorHAnsi" w:hAnsi="Verdana" w:cs="Times New Roman"/>
          <w:color w:val="000000" w:themeColor="text1"/>
          <w:sz w:val="20"/>
          <w:szCs w:val="20"/>
          <w:lang w:val="en-US"/>
        </w:rPr>
        <w:t xml:space="preserve">supervisory </w:t>
      </w:r>
      <w:r w:rsidR="00836A43">
        <w:rPr>
          <w:rFonts w:ascii="Verdana" w:eastAsiaTheme="minorHAnsi" w:hAnsi="Verdana" w:cs="Times New Roman"/>
          <w:color w:val="000000" w:themeColor="text1"/>
          <w:sz w:val="20"/>
          <w:szCs w:val="20"/>
          <w:lang w:val="en-US"/>
        </w:rPr>
        <w:t xml:space="preserve">risk </w:t>
      </w:r>
      <w:r w:rsidR="002F7585">
        <w:rPr>
          <w:rFonts w:ascii="Verdana" w:eastAsiaTheme="minorHAnsi" w:hAnsi="Verdana" w:cs="Times New Roman"/>
          <w:color w:val="000000" w:themeColor="text1"/>
          <w:sz w:val="20"/>
          <w:szCs w:val="20"/>
          <w:lang w:val="en-US"/>
        </w:rPr>
        <w:t>response and overall rating</w:t>
      </w:r>
      <w:r w:rsidRPr="00B75B12">
        <w:rPr>
          <w:rFonts w:ascii="Verdana" w:eastAsiaTheme="minorHAnsi" w:hAnsi="Verdana" w:cs="Times New Roman"/>
          <w:color w:val="000000" w:themeColor="text1"/>
          <w:sz w:val="20"/>
          <w:szCs w:val="20"/>
          <w:lang w:val="en-US"/>
        </w:rPr>
        <w:t xml:space="preserve">. The analysis </w:t>
      </w:r>
      <w:r w:rsidR="00DC44DC">
        <w:rPr>
          <w:rFonts w:ascii="Verdana" w:eastAsiaTheme="minorHAnsi" w:hAnsi="Verdana" w:cs="Times New Roman"/>
          <w:color w:val="000000" w:themeColor="text1"/>
          <w:sz w:val="20"/>
          <w:szCs w:val="20"/>
          <w:lang w:val="en-US"/>
        </w:rPr>
        <w:t xml:space="preserve">of </w:t>
      </w:r>
      <w:r>
        <w:rPr>
          <w:rFonts w:ascii="Verdana" w:eastAsiaTheme="minorHAnsi" w:hAnsi="Verdana" w:cs="Times New Roman"/>
          <w:color w:val="000000" w:themeColor="text1"/>
          <w:sz w:val="20"/>
          <w:szCs w:val="20"/>
          <w:lang w:val="en-US"/>
        </w:rPr>
        <w:t>the</w:t>
      </w:r>
      <w:r w:rsidRPr="00B75B12">
        <w:rPr>
          <w:rFonts w:ascii="Verdana" w:eastAsiaTheme="minorHAnsi" w:hAnsi="Verdana" w:cs="Times New Roman"/>
          <w:color w:val="000000" w:themeColor="text1"/>
          <w:sz w:val="20"/>
          <w:szCs w:val="20"/>
          <w:lang w:val="en-US"/>
        </w:rPr>
        <w:t xml:space="preserve"> </w:t>
      </w:r>
      <w:r w:rsidR="002F7585">
        <w:rPr>
          <w:rFonts w:ascii="Verdana" w:eastAsiaTheme="minorHAnsi" w:hAnsi="Verdana" w:cs="Times New Roman"/>
          <w:color w:val="000000" w:themeColor="text1"/>
          <w:sz w:val="20"/>
          <w:szCs w:val="20"/>
          <w:lang w:val="en-US"/>
        </w:rPr>
        <w:t xml:space="preserve">mutual fund administrator’s </w:t>
      </w:r>
      <w:r w:rsidRPr="00B75B12">
        <w:rPr>
          <w:rFonts w:ascii="Verdana" w:eastAsiaTheme="minorHAnsi" w:hAnsi="Verdana" w:cs="Times New Roman"/>
          <w:color w:val="000000" w:themeColor="text1"/>
          <w:sz w:val="20"/>
          <w:szCs w:val="20"/>
          <w:lang w:val="en-US"/>
        </w:rPr>
        <w:t xml:space="preserve">annual audited financial statements will </w:t>
      </w:r>
      <w:r w:rsidR="002F7585">
        <w:rPr>
          <w:rFonts w:ascii="Verdana" w:eastAsiaTheme="minorHAnsi" w:hAnsi="Verdana" w:cs="Times New Roman"/>
          <w:color w:val="000000" w:themeColor="text1"/>
          <w:sz w:val="20"/>
          <w:szCs w:val="20"/>
          <w:lang w:val="en-US"/>
        </w:rPr>
        <w:t xml:space="preserve">also </w:t>
      </w:r>
      <w:r w:rsidRPr="00B75B12">
        <w:rPr>
          <w:rFonts w:ascii="Verdana" w:eastAsiaTheme="minorHAnsi" w:hAnsi="Verdana" w:cs="Times New Roman"/>
          <w:color w:val="000000" w:themeColor="text1"/>
          <w:sz w:val="20"/>
          <w:szCs w:val="20"/>
          <w:lang w:val="en-US"/>
        </w:rPr>
        <w:t xml:space="preserve">continue to be performed, supplemented with prudential meetings. </w:t>
      </w:r>
    </w:p>
    <w:p w14:paraId="4A6D5B9C" w14:textId="606056B2" w:rsidR="0088202D" w:rsidRPr="00B75B12" w:rsidRDefault="0088202D" w:rsidP="00B75B12">
      <w:pPr>
        <w:pStyle w:val="Heading2"/>
        <w:keepNext w:val="0"/>
        <w:keepLines w:val="0"/>
        <w:spacing w:before="0" w:line="276" w:lineRule="auto"/>
        <w:ind w:right="-6"/>
        <w:jc w:val="both"/>
        <w:rPr>
          <w:rFonts w:ascii="Verdana" w:eastAsiaTheme="minorHAnsi" w:hAnsi="Verdana" w:cs="Times New Roman"/>
          <w:color w:val="000000" w:themeColor="text1"/>
          <w:sz w:val="20"/>
          <w:szCs w:val="20"/>
          <w:lang w:val="en-US"/>
        </w:rPr>
      </w:pPr>
    </w:p>
    <w:p w14:paraId="64187D99" w14:textId="77777777" w:rsidR="00155008" w:rsidRDefault="00155008" w:rsidP="006918C9">
      <w:pPr>
        <w:rPr>
          <w:rFonts w:ascii="Verdana" w:eastAsiaTheme="majorEastAsia" w:hAnsi="Verdana" w:cstheme="majorBidi"/>
          <w:b/>
          <w:spacing w:val="5"/>
          <w:kern w:val="28"/>
        </w:rPr>
      </w:pPr>
    </w:p>
    <w:p w14:paraId="3B1AA0B5" w14:textId="7FE089EE" w:rsidR="0088202D" w:rsidRDefault="0088202D" w:rsidP="006918C9">
      <w:pPr>
        <w:rPr>
          <w:rFonts w:ascii="Verdana" w:eastAsiaTheme="majorEastAsia" w:hAnsi="Verdana" w:cstheme="majorBidi"/>
          <w:b/>
          <w:spacing w:val="5"/>
          <w:kern w:val="28"/>
        </w:rPr>
      </w:pPr>
      <w:bookmarkStart w:id="0" w:name="_GoBack"/>
      <w:bookmarkEnd w:id="0"/>
      <w:r>
        <w:rPr>
          <w:rFonts w:ascii="Verdana" w:eastAsiaTheme="majorEastAsia" w:hAnsi="Verdana" w:cstheme="majorBidi"/>
          <w:b/>
          <w:spacing w:val="5"/>
          <w:kern w:val="28"/>
        </w:rPr>
        <w:lastRenderedPageBreak/>
        <w:t>Overall summary and conclusion</w:t>
      </w:r>
    </w:p>
    <w:p w14:paraId="6D2A88F3" w14:textId="13D4D46E" w:rsidR="00B75B12" w:rsidRDefault="00B75B12" w:rsidP="006918C9">
      <w:pPr>
        <w:rPr>
          <w:rFonts w:ascii="Verdana" w:eastAsiaTheme="majorEastAsia" w:hAnsi="Verdana" w:cstheme="majorBidi"/>
          <w:b/>
          <w:spacing w:val="5"/>
          <w:kern w:val="28"/>
        </w:rPr>
      </w:pPr>
    </w:p>
    <w:p w14:paraId="66E64711" w14:textId="3D2A6A41" w:rsidR="00B75B12" w:rsidRPr="00026A0D" w:rsidRDefault="00B75B12" w:rsidP="00F97701">
      <w:pPr>
        <w:pStyle w:val="Heading2"/>
        <w:keepNext w:val="0"/>
        <w:keepLines w:val="0"/>
        <w:numPr>
          <w:ilvl w:val="0"/>
          <w:numId w:val="16"/>
        </w:numPr>
        <w:spacing w:before="0" w:line="276" w:lineRule="auto"/>
        <w:ind w:left="0" w:right="-6" w:firstLine="0"/>
        <w:jc w:val="both"/>
        <w:rPr>
          <w:rFonts w:ascii="Verdana" w:hAnsi="Verdana"/>
          <w:color w:val="17365D" w:themeColor="text2" w:themeShade="BF"/>
          <w:spacing w:val="5"/>
          <w:kern w:val="28"/>
        </w:rPr>
      </w:pPr>
      <w:r w:rsidRPr="00026A0D">
        <w:rPr>
          <w:rFonts w:ascii="Verdana" w:eastAsiaTheme="minorHAnsi" w:hAnsi="Verdana" w:cs="Times New Roman"/>
          <w:color w:val="000000" w:themeColor="text1"/>
          <w:sz w:val="20"/>
          <w:szCs w:val="20"/>
          <w:lang w:val="en-US"/>
        </w:rPr>
        <w:t xml:space="preserve">CIMA has </w:t>
      </w:r>
      <w:r w:rsidR="00AC6ABD">
        <w:rPr>
          <w:rFonts w:ascii="Verdana" w:eastAsiaTheme="minorHAnsi" w:hAnsi="Verdana" w:cs="Times New Roman"/>
          <w:color w:val="000000" w:themeColor="text1"/>
          <w:sz w:val="20"/>
          <w:szCs w:val="20"/>
          <w:lang w:val="en-US"/>
        </w:rPr>
        <w:t>undertaken</w:t>
      </w:r>
      <w:r w:rsidR="00AC6ABD" w:rsidRPr="00026A0D">
        <w:rPr>
          <w:rFonts w:ascii="Verdana" w:eastAsiaTheme="minorHAnsi" w:hAnsi="Verdana" w:cs="Times New Roman"/>
          <w:color w:val="000000" w:themeColor="text1"/>
          <w:sz w:val="20"/>
          <w:szCs w:val="20"/>
          <w:lang w:val="en-US"/>
        </w:rPr>
        <w:t xml:space="preserve"> </w:t>
      </w:r>
      <w:r w:rsidR="00AC6ABD">
        <w:rPr>
          <w:rFonts w:ascii="Verdana" w:eastAsiaTheme="minorHAnsi" w:hAnsi="Verdana" w:cs="Times New Roman"/>
          <w:color w:val="000000" w:themeColor="text1"/>
          <w:sz w:val="20"/>
          <w:szCs w:val="20"/>
          <w:lang w:val="en-US"/>
        </w:rPr>
        <w:t xml:space="preserve">further </w:t>
      </w:r>
      <w:r w:rsidRPr="00026A0D">
        <w:rPr>
          <w:rFonts w:ascii="Verdana" w:eastAsiaTheme="minorHAnsi" w:hAnsi="Verdana" w:cs="Times New Roman"/>
          <w:color w:val="000000" w:themeColor="text1"/>
          <w:sz w:val="20"/>
          <w:szCs w:val="20"/>
          <w:lang w:val="en-US"/>
        </w:rPr>
        <w:t xml:space="preserve">analysis </w:t>
      </w:r>
      <w:r w:rsidR="00AC6ABD" w:rsidRPr="005A402D">
        <w:rPr>
          <w:rFonts w:ascii="Verdana" w:eastAsiaTheme="minorHAnsi" w:hAnsi="Verdana" w:cs="Times New Roman"/>
          <w:color w:val="000000" w:themeColor="text1"/>
          <w:sz w:val="20"/>
          <w:szCs w:val="20"/>
          <w:lang w:val="en-US"/>
        </w:rPr>
        <w:t xml:space="preserve">of </w:t>
      </w:r>
      <w:r w:rsidRPr="005A402D">
        <w:rPr>
          <w:rFonts w:ascii="Verdana" w:eastAsiaTheme="minorHAnsi" w:hAnsi="Verdana" w:cs="Times New Roman"/>
          <w:color w:val="000000" w:themeColor="text1"/>
          <w:sz w:val="20"/>
          <w:szCs w:val="20"/>
          <w:lang w:val="en-US"/>
        </w:rPr>
        <w:t xml:space="preserve">the </w:t>
      </w:r>
      <w:r w:rsidR="00B309BC" w:rsidRPr="00125E84">
        <w:rPr>
          <w:rFonts w:ascii="Verdana" w:eastAsiaTheme="minorHAnsi" w:hAnsi="Verdana" w:cs="Times New Roman"/>
          <w:color w:val="000000" w:themeColor="text1"/>
          <w:sz w:val="20"/>
          <w:szCs w:val="20"/>
          <w:lang w:val="en-US"/>
        </w:rPr>
        <w:t>MFA</w:t>
      </w:r>
      <w:r w:rsidRPr="005A402D">
        <w:rPr>
          <w:rFonts w:ascii="Verdana" w:eastAsiaTheme="minorHAnsi" w:hAnsi="Verdana" w:cs="Times New Roman"/>
          <w:color w:val="000000" w:themeColor="text1"/>
          <w:sz w:val="20"/>
          <w:szCs w:val="20"/>
          <w:lang w:val="en-US"/>
        </w:rPr>
        <w:t xml:space="preserve"> sector</w:t>
      </w:r>
      <w:r w:rsidR="00AC6ABD">
        <w:rPr>
          <w:rFonts w:ascii="Verdana" w:eastAsiaTheme="minorHAnsi" w:hAnsi="Verdana" w:cs="Times New Roman"/>
          <w:color w:val="000000" w:themeColor="text1"/>
          <w:sz w:val="20"/>
          <w:szCs w:val="20"/>
          <w:lang w:val="en-US"/>
        </w:rPr>
        <w:t xml:space="preserve">, based on data collected </w:t>
      </w:r>
      <w:r w:rsidR="00F56088">
        <w:rPr>
          <w:rFonts w:ascii="Verdana" w:eastAsiaTheme="minorHAnsi" w:hAnsi="Verdana" w:cs="Times New Roman"/>
          <w:color w:val="000000" w:themeColor="text1"/>
          <w:sz w:val="20"/>
          <w:szCs w:val="20"/>
          <w:lang w:val="en-US"/>
        </w:rPr>
        <w:t>from 81% of licensed mutual fund administrators, in order to assess</w:t>
      </w:r>
      <w:r w:rsidRPr="00026A0D">
        <w:rPr>
          <w:rFonts w:ascii="Verdana" w:eastAsiaTheme="minorHAnsi" w:hAnsi="Verdana" w:cs="Times New Roman"/>
          <w:color w:val="000000" w:themeColor="text1"/>
          <w:sz w:val="20"/>
          <w:szCs w:val="20"/>
          <w:lang w:val="en-US"/>
        </w:rPr>
        <w:t xml:space="preserve"> the country’s risk exposure to ML/TF </w:t>
      </w:r>
      <w:r w:rsidR="00F56088">
        <w:rPr>
          <w:rFonts w:ascii="Verdana" w:eastAsiaTheme="minorHAnsi" w:hAnsi="Verdana" w:cs="Times New Roman"/>
          <w:color w:val="000000" w:themeColor="text1"/>
          <w:sz w:val="20"/>
          <w:szCs w:val="20"/>
          <w:lang w:val="en-US"/>
        </w:rPr>
        <w:t xml:space="preserve">risks emanating from this sub-sector of the securities sector.  The analysis </w:t>
      </w:r>
      <w:r w:rsidRPr="00026A0D">
        <w:rPr>
          <w:rFonts w:ascii="Verdana" w:eastAsiaTheme="minorHAnsi" w:hAnsi="Verdana" w:cs="Times New Roman"/>
          <w:color w:val="000000" w:themeColor="text1"/>
          <w:sz w:val="20"/>
          <w:szCs w:val="20"/>
          <w:lang w:val="en-US"/>
        </w:rPr>
        <w:t>concludes that there is a medium-</w:t>
      </w:r>
      <w:r w:rsidR="002D7A7E">
        <w:rPr>
          <w:rFonts w:ascii="Verdana" w:eastAsiaTheme="minorHAnsi" w:hAnsi="Verdana" w:cs="Times New Roman"/>
          <w:color w:val="000000" w:themeColor="text1"/>
          <w:sz w:val="20"/>
          <w:szCs w:val="20"/>
          <w:lang w:val="en-US"/>
        </w:rPr>
        <w:t>h</w:t>
      </w:r>
      <w:r w:rsidRPr="00026A0D">
        <w:rPr>
          <w:rFonts w:ascii="Verdana" w:eastAsiaTheme="minorHAnsi" w:hAnsi="Verdana" w:cs="Times New Roman"/>
          <w:color w:val="000000" w:themeColor="text1"/>
          <w:sz w:val="20"/>
          <w:szCs w:val="20"/>
          <w:lang w:val="en-US"/>
        </w:rPr>
        <w:t xml:space="preserve">igh risk of </w:t>
      </w:r>
      <w:r w:rsidR="00F56088">
        <w:rPr>
          <w:rFonts w:ascii="Verdana" w:eastAsiaTheme="minorHAnsi" w:hAnsi="Verdana" w:cs="Times New Roman"/>
          <w:color w:val="000000" w:themeColor="text1"/>
          <w:sz w:val="20"/>
          <w:szCs w:val="20"/>
          <w:lang w:val="en-US"/>
        </w:rPr>
        <w:t>mutual fund administrators</w:t>
      </w:r>
      <w:r w:rsidRPr="00026A0D">
        <w:rPr>
          <w:rFonts w:ascii="Verdana" w:eastAsiaTheme="minorHAnsi" w:hAnsi="Verdana" w:cs="Times New Roman"/>
          <w:color w:val="000000" w:themeColor="text1"/>
          <w:sz w:val="20"/>
          <w:szCs w:val="20"/>
          <w:lang w:val="en-US"/>
        </w:rPr>
        <w:t xml:space="preserve"> being misused for ML/TF purposes.  While the risks emanating from the </w:t>
      </w:r>
      <w:r w:rsidR="00FF6376" w:rsidRPr="00026A0D">
        <w:rPr>
          <w:rFonts w:ascii="Verdana" w:eastAsiaTheme="minorHAnsi" w:hAnsi="Verdana" w:cs="Times New Roman"/>
          <w:color w:val="000000" w:themeColor="text1"/>
          <w:sz w:val="20"/>
          <w:szCs w:val="20"/>
          <w:lang w:val="en-US"/>
        </w:rPr>
        <w:t xml:space="preserve">type of customers and geographic  are determined to be medium-low, the </w:t>
      </w:r>
      <w:r w:rsidRPr="00026A0D">
        <w:rPr>
          <w:rFonts w:ascii="Verdana" w:eastAsiaTheme="minorHAnsi" w:hAnsi="Verdana" w:cs="Times New Roman"/>
          <w:color w:val="000000" w:themeColor="text1"/>
          <w:sz w:val="20"/>
          <w:szCs w:val="20"/>
          <w:lang w:val="en-US"/>
        </w:rPr>
        <w:t>nature</w:t>
      </w:r>
      <w:r w:rsidR="002D7A7E">
        <w:rPr>
          <w:rFonts w:ascii="Verdana" w:eastAsiaTheme="minorHAnsi" w:hAnsi="Verdana" w:cs="Times New Roman"/>
          <w:color w:val="000000" w:themeColor="text1"/>
          <w:sz w:val="20"/>
          <w:szCs w:val="20"/>
          <w:lang w:val="en-US"/>
        </w:rPr>
        <w:t xml:space="preserve">, size and complexity </w:t>
      </w:r>
      <w:r w:rsidRPr="00026A0D">
        <w:rPr>
          <w:rFonts w:ascii="Verdana" w:eastAsiaTheme="minorHAnsi" w:hAnsi="Verdana" w:cs="Times New Roman"/>
          <w:color w:val="000000" w:themeColor="text1"/>
          <w:sz w:val="20"/>
          <w:szCs w:val="20"/>
          <w:lang w:val="en-US"/>
        </w:rPr>
        <w:t xml:space="preserve">of the sector, </w:t>
      </w:r>
      <w:r w:rsidR="00FF6376" w:rsidRPr="00026A0D">
        <w:rPr>
          <w:rFonts w:ascii="Verdana" w:eastAsiaTheme="minorHAnsi" w:hAnsi="Verdana" w:cs="Times New Roman"/>
          <w:color w:val="000000" w:themeColor="text1"/>
          <w:sz w:val="20"/>
          <w:szCs w:val="20"/>
          <w:lang w:val="en-US"/>
        </w:rPr>
        <w:t>transactions</w:t>
      </w:r>
      <w:r w:rsidR="002D7A7E">
        <w:rPr>
          <w:rFonts w:ascii="Verdana" w:eastAsiaTheme="minorHAnsi" w:hAnsi="Verdana" w:cs="Times New Roman"/>
          <w:color w:val="000000" w:themeColor="text1"/>
          <w:sz w:val="20"/>
          <w:szCs w:val="20"/>
          <w:lang w:val="en-US"/>
        </w:rPr>
        <w:t>,</w:t>
      </w:r>
      <w:r w:rsidR="00FF6376" w:rsidRPr="00026A0D">
        <w:rPr>
          <w:rFonts w:ascii="Verdana" w:eastAsiaTheme="minorHAnsi" w:hAnsi="Verdana" w:cs="Times New Roman"/>
          <w:color w:val="000000" w:themeColor="text1"/>
          <w:sz w:val="20"/>
          <w:szCs w:val="20"/>
          <w:lang w:val="en-US"/>
        </w:rPr>
        <w:t xml:space="preserve"> </w:t>
      </w:r>
      <w:r w:rsidRPr="00026A0D">
        <w:rPr>
          <w:rFonts w:ascii="Verdana" w:eastAsiaTheme="minorHAnsi" w:hAnsi="Verdana" w:cs="Times New Roman"/>
          <w:color w:val="000000" w:themeColor="text1"/>
          <w:sz w:val="20"/>
          <w:szCs w:val="20"/>
          <w:lang w:val="en-US"/>
        </w:rPr>
        <w:t xml:space="preserve">products and services and distribution channels are determined </w:t>
      </w:r>
      <w:r w:rsidR="00FF6376" w:rsidRPr="00026A0D">
        <w:rPr>
          <w:rFonts w:ascii="Verdana" w:eastAsiaTheme="minorHAnsi" w:hAnsi="Verdana" w:cs="Times New Roman"/>
          <w:color w:val="000000" w:themeColor="text1"/>
          <w:sz w:val="20"/>
          <w:szCs w:val="20"/>
          <w:lang w:val="en-US"/>
        </w:rPr>
        <w:t>as</w:t>
      </w:r>
      <w:r w:rsidRPr="00026A0D">
        <w:rPr>
          <w:rFonts w:ascii="Verdana" w:eastAsiaTheme="minorHAnsi" w:hAnsi="Verdana" w:cs="Times New Roman"/>
          <w:color w:val="000000" w:themeColor="text1"/>
          <w:sz w:val="20"/>
          <w:szCs w:val="20"/>
          <w:lang w:val="en-US"/>
        </w:rPr>
        <w:t xml:space="preserve"> medium-high, The weighting of the</w:t>
      </w:r>
      <w:r w:rsidR="00FF6376" w:rsidRPr="00026A0D">
        <w:rPr>
          <w:rFonts w:ascii="Verdana" w:eastAsiaTheme="minorHAnsi" w:hAnsi="Verdana" w:cs="Times New Roman"/>
          <w:color w:val="000000" w:themeColor="text1"/>
          <w:sz w:val="20"/>
          <w:szCs w:val="20"/>
          <w:lang w:val="en-US"/>
        </w:rPr>
        <w:t xml:space="preserve">se </w:t>
      </w:r>
      <w:r w:rsidRPr="00026A0D">
        <w:rPr>
          <w:rFonts w:ascii="Verdana" w:eastAsiaTheme="minorHAnsi" w:hAnsi="Verdana" w:cs="Times New Roman"/>
          <w:color w:val="000000" w:themeColor="text1"/>
          <w:sz w:val="20"/>
          <w:szCs w:val="20"/>
          <w:lang w:val="en-US"/>
        </w:rPr>
        <w:t>risk factor resulted in a composite ML/TF risk rating of medium-</w:t>
      </w:r>
      <w:r w:rsidR="00FF6376" w:rsidRPr="00026A0D">
        <w:rPr>
          <w:rFonts w:ascii="Verdana" w:eastAsiaTheme="minorHAnsi" w:hAnsi="Verdana" w:cs="Times New Roman"/>
          <w:color w:val="000000" w:themeColor="text1"/>
          <w:sz w:val="20"/>
          <w:szCs w:val="20"/>
          <w:lang w:val="en-US"/>
        </w:rPr>
        <w:t>high</w:t>
      </w:r>
      <w:r w:rsidRPr="00026A0D">
        <w:rPr>
          <w:rFonts w:ascii="Verdana" w:eastAsiaTheme="minorHAnsi" w:hAnsi="Verdana" w:cs="Times New Roman"/>
          <w:color w:val="000000" w:themeColor="text1"/>
          <w:sz w:val="20"/>
          <w:szCs w:val="20"/>
          <w:lang w:val="en-US"/>
        </w:rPr>
        <w:t xml:space="preserve"> for the </w:t>
      </w:r>
      <w:r w:rsidR="00596EB2">
        <w:rPr>
          <w:rFonts w:ascii="Verdana" w:eastAsiaTheme="minorHAnsi" w:hAnsi="Verdana" w:cs="Times New Roman"/>
          <w:color w:val="000000" w:themeColor="text1"/>
          <w:sz w:val="20"/>
          <w:szCs w:val="20"/>
          <w:lang w:val="en-US"/>
        </w:rPr>
        <w:t xml:space="preserve">sub </w:t>
      </w:r>
      <w:r w:rsidRPr="00026A0D">
        <w:rPr>
          <w:rFonts w:ascii="Verdana" w:eastAsiaTheme="minorHAnsi" w:hAnsi="Verdana" w:cs="Times New Roman"/>
          <w:color w:val="000000" w:themeColor="text1"/>
          <w:sz w:val="20"/>
          <w:szCs w:val="20"/>
          <w:lang w:val="en-US"/>
        </w:rPr>
        <w:t>sector.</w:t>
      </w:r>
    </w:p>
    <w:sectPr w:rsidR="00B75B12" w:rsidRPr="00026A0D" w:rsidSect="00125E84">
      <w:footerReference w:type="even" r:id="rId8"/>
      <w:footerReference w:type="default" r:id="rId9"/>
      <w:headerReference w:type="first" r:id="rId10"/>
      <w:pgSz w:w="12240" w:h="15840" w:code="1"/>
      <w:pgMar w:top="851" w:right="1440" w:bottom="567" w:left="1440" w:header="42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1E50A" w14:textId="77777777" w:rsidR="005A6282" w:rsidRDefault="005A6282">
      <w:r>
        <w:separator/>
      </w:r>
    </w:p>
  </w:endnote>
  <w:endnote w:type="continuationSeparator" w:id="0">
    <w:p w14:paraId="67DE58FD" w14:textId="77777777" w:rsidR="005A6282" w:rsidRDefault="005A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654F" w14:textId="77777777" w:rsidR="002F4B78" w:rsidRDefault="002F4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B7DDD" w14:textId="77777777" w:rsidR="002F4B78" w:rsidRDefault="002F4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55EE5" w14:textId="77777777" w:rsidR="002F4B78" w:rsidRDefault="002F4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E065FF2" w14:textId="77777777" w:rsidR="002F4B78" w:rsidRDefault="002F4B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053B4" w14:textId="77777777" w:rsidR="005A6282" w:rsidRDefault="005A6282">
      <w:r>
        <w:separator/>
      </w:r>
    </w:p>
  </w:footnote>
  <w:footnote w:type="continuationSeparator" w:id="0">
    <w:p w14:paraId="20D01EF9" w14:textId="77777777" w:rsidR="005A6282" w:rsidRDefault="005A6282">
      <w:r>
        <w:continuationSeparator/>
      </w:r>
    </w:p>
  </w:footnote>
  <w:footnote w:id="1">
    <w:p w14:paraId="6B645F6F" w14:textId="77777777" w:rsidR="002F4B78" w:rsidRPr="00841129" w:rsidRDefault="002F4B78" w:rsidP="00AE21D4">
      <w:pPr>
        <w:pStyle w:val="FootnoteText"/>
        <w:ind w:left="142" w:hanging="142"/>
        <w:rPr>
          <w:rFonts w:cs="Times New Roman"/>
          <w:color w:val="000000" w:themeColor="text1"/>
          <w:sz w:val="18"/>
          <w:szCs w:val="18"/>
          <w:lang w:val="en-US"/>
        </w:rPr>
      </w:pPr>
      <w:r>
        <w:rPr>
          <w:rStyle w:val="FootnoteReference"/>
        </w:rPr>
        <w:footnoteRef/>
      </w:r>
      <w:r>
        <w:t xml:space="preserve"> </w:t>
      </w:r>
      <w:hyperlink r:id="rId1" w:history="1">
        <w:r w:rsidRPr="00841129">
          <w:rPr>
            <w:rStyle w:val="Hyperlink"/>
            <w:rFonts w:cs="Times New Roman"/>
            <w:sz w:val="18"/>
            <w:szCs w:val="18"/>
            <w:lang w:val="en-US"/>
          </w:rPr>
          <w:t>http://www.fatf-gafi.org/publications/fatfrecommendations/documents/risk-based-approach-banking-sector.html</w:t>
        </w:r>
      </w:hyperlink>
    </w:p>
    <w:p w14:paraId="3118EF6A" w14:textId="04AE053D" w:rsidR="002F4B78" w:rsidRPr="00125E84" w:rsidRDefault="00155008" w:rsidP="00AE21D4">
      <w:pPr>
        <w:pStyle w:val="FootnoteText"/>
        <w:rPr>
          <w:lang w:val="en-US"/>
        </w:rPr>
      </w:pPr>
      <w:hyperlink r:id="rId2" w:history="1">
        <w:r w:rsidR="002F4B78" w:rsidRPr="00841129">
          <w:rPr>
            <w:rStyle w:val="Hyperlink"/>
            <w:sz w:val="18"/>
            <w:szCs w:val="18"/>
            <w:lang w:val="en-US"/>
          </w:rPr>
          <w:t>http://www.fatf-gafi.org/publications/methodsandtrends/documents/nationalmoneylaunderingandterroristfinancingriskassessment.html</w:t>
        </w:r>
      </w:hyperlink>
    </w:p>
  </w:footnote>
  <w:footnote w:id="2">
    <w:p w14:paraId="772FAADF" w14:textId="410428BB" w:rsidR="002F4B78" w:rsidRPr="00125E84" w:rsidRDefault="002F4B78">
      <w:pPr>
        <w:pStyle w:val="FootnoteText"/>
        <w:rPr>
          <w:lang w:val="en-US"/>
        </w:rPr>
      </w:pPr>
      <w:r>
        <w:rPr>
          <w:rStyle w:val="FootnoteReference"/>
        </w:rPr>
        <w:footnoteRef/>
      </w:r>
      <w:r>
        <w:t xml:space="preserve"> </w:t>
      </w:r>
      <w:hyperlink r:id="rId3" w:history="1">
        <w:r w:rsidRPr="00841129">
          <w:rPr>
            <w:rStyle w:val="Hyperlink"/>
            <w:sz w:val="18"/>
            <w:szCs w:val="18"/>
          </w:rPr>
          <w:t>https://www.cima.ky/guidance-notes</w:t>
        </w:r>
      </w:hyperlink>
      <w:r w:rsidRPr="00841129">
        <w:rPr>
          <w:sz w:val="18"/>
          <w:szCs w:val="18"/>
        </w:rPr>
        <w:t>.</w:t>
      </w:r>
    </w:p>
  </w:footnote>
  <w:footnote w:id="3">
    <w:p w14:paraId="5BE8A78B" w14:textId="0853B2F2" w:rsidR="002F4B78" w:rsidRPr="009A26DE" w:rsidRDefault="002F4B78">
      <w:pPr>
        <w:pStyle w:val="FootnoteText"/>
        <w:rPr>
          <w:lang w:val="en-US"/>
        </w:rPr>
      </w:pPr>
      <w:r>
        <w:rPr>
          <w:rStyle w:val="FootnoteReference"/>
        </w:rPr>
        <w:footnoteRef/>
      </w:r>
      <w:r>
        <w:t xml:space="preserve"> </w:t>
      </w:r>
      <w:hyperlink r:id="rId4" w:anchor="high-risk" w:history="1">
        <w:r w:rsidRPr="00D84EDC">
          <w:rPr>
            <w:rStyle w:val="Hyperlink"/>
          </w:rPr>
          <w:t>http://www.fatf-gafi.org/countries/#high-risk</w:t>
        </w:r>
      </w:hyperlink>
      <w:r>
        <w:t>.</w:t>
      </w:r>
    </w:p>
  </w:footnote>
  <w:footnote w:id="4">
    <w:p w14:paraId="21BE3A65" w14:textId="7E69DB72" w:rsidR="002F4B78" w:rsidRPr="009A26DE" w:rsidRDefault="002F4B78">
      <w:pPr>
        <w:pStyle w:val="FootnoteText"/>
        <w:rPr>
          <w:lang w:val="en-US"/>
        </w:rPr>
      </w:pPr>
      <w:r>
        <w:rPr>
          <w:rStyle w:val="FootnoteReference"/>
        </w:rPr>
        <w:footnoteRef/>
      </w:r>
      <w:r>
        <w:t xml:space="preserve"> </w:t>
      </w:r>
      <w:hyperlink r:id="rId5" w:history="1">
        <w:r w:rsidRPr="00D84EDC">
          <w:rPr>
            <w:rStyle w:val="Hyperlink"/>
          </w:rPr>
          <w:t>https://www.un.org/securitycouncil/sanctions/information</w:t>
        </w:r>
      </w:hyperlink>
    </w:p>
  </w:footnote>
  <w:footnote w:id="5">
    <w:p w14:paraId="3DD50DC6" w14:textId="6C88DDC6" w:rsidR="002F4B78" w:rsidRPr="00AD013C" w:rsidRDefault="002F4B78">
      <w:pPr>
        <w:pStyle w:val="FootnoteText"/>
        <w:rPr>
          <w:lang w:val="en-US"/>
        </w:rPr>
      </w:pPr>
      <w:r>
        <w:rPr>
          <w:rStyle w:val="FootnoteReference"/>
        </w:rPr>
        <w:footnoteRef/>
      </w:r>
      <w:r>
        <w:t xml:space="preserve"> </w:t>
      </w:r>
      <w:hyperlink r:id="rId6" w:history="1">
        <w:r w:rsidRPr="00D84EDC">
          <w:rPr>
            <w:rStyle w:val="Hyperlink"/>
          </w:rPr>
          <w:t>https://www.baselgovernance.org/basel-aml-index/public-ranking</w:t>
        </w:r>
      </w:hyperlink>
    </w:p>
  </w:footnote>
  <w:footnote w:id="6">
    <w:p w14:paraId="17520DE2" w14:textId="77777777" w:rsidR="002F4B78" w:rsidRPr="00125E84" w:rsidRDefault="002F4B78" w:rsidP="00125E84">
      <w:pPr>
        <w:jc w:val="both"/>
        <w:rPr>
          <w:sz w:val="16"/>
          <w:szCs w:val="16"/>
        </w:rPr>
      </w:pPr>
      <w:r>
        <w:rPr>
          <w:rStyle w:val="FootnoteReference"/>
        </w:rPr>
        <w:footnoteRef/>
      </w:r>
      <w:r>
        <w:t xml:space="preserve"> </w:t>
      </w:r>
      <w:r w:rsidRPr="00125E84">
        <w:rPr>
          <w:rFonts w:asciiTheme="minorHAnsi" w:hAnsiTheme="minorHAnsi" w:cstheme="minorHAnsi"/>
          <w:color w:val="3A3A3A"/>
          <w:sz w:val="16"/>
          <w:szCs w:val="16"/>
          <w:shd w:val="clear" w:color="auto" w:fill="FFFFFF"/>
        </w:rPr>
        <w:t>Depositary lite, refers to a service provided by UK and EU hedge fund managers that desire to market non-EU offshore hedge funds to EU investors through private placement, as a result of the Alternative Investment Fund Management Directive (“AIFMD”).  It requires managers to ensure that one or more firms are appointed to perform the depositary duties of safe keeping of assets, cash flow monitoring and oversight (principally the oversight of the valuation process, subscriptions and redemptions, compliance with laws and regulations, investment restrictions and leverage).</w:t>
      </w:r>
    </w:p>
    <w:p w14:paraId="4A98181E" w14:textId="41EB5777" w:rsidR="002F4B78" w:rsidRPr="00125E84" w:rsidRDefault="002F4B7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16465" w14:textId="77777777" w:rsidR="002F4B78" w:rsidRDefault="002F4B78">
    <w:pPr>
      <w:pStyle w:val="Header"/>
      <w:rPr>
        <w:color w:val="26307E"/>
      </w:rPr>
    </w:pPr>
    <w:r>
      <w:rPr>
        <w:noProof/>
        <w:lang w:val="en-US"/>
      </w:rPr>
      <w:drawing>
        <wp:anchor distT="0" distB="0" distL="114300" distR="114300" simplePos="0" relativeHeight="251657728" behindDoc="0" locked="0" layoutInCell="1" allowOverlap="1" wp14:anchorId="79CF4F56" wp14:editId="212397A6">
          <wp:simplePos x="0" y="0"/>
          <wp:positionH relativeFrom="column">
            <wp:posOffset>-6350</wp:posOffset>
          </wp:positionH>
          <wp:positionV relativeFrom="paragraph">
            <wp:posOffset>-9525</wp:posOffset>
          </wp:positionV>
          <wp:extent cx="942340" cy="9201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6307E"/>
      </w:rPr>
      <w:t xml:space="preserve">        </w:t>
    </w:r>
  </w:p>
  <w:p w14:paraId="1585691C" w14:textId="77777777" w:rsidR="002F4B78" w:rsidRDefault="002F4B78">
    <w:pPr>
      <w:pStyle w:val="Header"/>
      <w:rPr>
        <w:color w:val="26307E"/>
      </w:rPr>
    </w:pPr>
    <w:r>
      <w:rPr>
        <w:color w:val="26307E"/>
      </w:rPr>
      <w:t xml:space="preserve">                                  </w:t>
    </w:r>
  </w:p>
  <w:p w14:paraId="3A1E18A9" w14:textId="77777777" w:rsidR="002F4B78" w:rsidRPr="001F7E6C" w:rsidRDefault="002F4B78">
    <w:pPr>
      <w:pStyle w:val="Header"/>
      <w:rPr>
        <w:rFonts w:ascii="Arial" w:hAnsi="Arial" w:cs="Arial"/>
        <w:color w:val="00447B"/>
        <w:sz w:val="34"/>
      </w:rPr>
    </w:pPr>
    <w:r>
      <w:rPr>
        <w:color w:val="26307E"/>
        <w:sz w:val="32"/>
      </w:rPr>
      <w:t xml:space="preserve">                      </w:t>
    </w:r>
    <w:r w:rsidRPr="001F7E6C">
      <w:rPr>
        <w:rFonts w:ascii="Arial" w:hAnsi="Arial" w:cs="Arial"/>
        <w:color w:val="00447B"/>
        <w:sz w:val="34"/>
      </w:rPr>
      <w:t>C A Y M A N   I S L A N D S</w:t>
    </w:r>
  </w:p>
  <w:p w14:paraId="2FA4DBCB" w14:textId="77777777" w:rsidR="002F4B78" w:rsidRPr="001F7E6C" w:rsidRDefault="002F4B78">
    <w:pPr>
      <w:pStyle w:val="Header"/>
      <w:rPr>
        <w:rFonts w:ascii="Arial Black" w:hAnsi="Arial Black" w:cs="Arial"/>
        <w:b/>
        <w:bCs/>
        <w:color w:val="00447B"/>
        <w:sz w:val="34"/>
      </w:rPr>
    </w:pPr>
    <w:r w:rsidRPr="001F7E6C">
      <w:rPr>
        <w:rFonts w:ascii="Arial" w:hAnsi="Arial" w:cs="Arial"/>
        <w:color w:val="00447B"/>
        <w:sz w:val="30"/>
      </w:rPr>
      <w:t xml:space="preserve">                     </w:t>
    </w:r>
    <w:r w:rsidRPr="001F7E6C">
      <w:rPr>
        <w:rFonts w:ascii="Arial Black" w:hAnsi="Arial Black" w:cs="Arial"/>
        <w:b/>
        <w:bCs/>
        <w:color w:val="00447B"/>
        <w:sz w:val="34"/>
      </w:rPr>
      <w:t>MONETARY AUTHORITY</w:t>
    </w:r>
  </w:p>
  <w:p w14:paraId="68A5B6C2" w14:textId="77777777" w:rsidR="002F4B78" w:rsidRDefault="002F4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3DE"/>
    <w:multiLevelType w:val="hybridMultilevel"/>
    <w:tmpl w:val="2FF074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DA75B8"/>
    <w:multiLevelType w:val="hybridMultilevel"/>
    <w:tmpl w:val="9F66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C00E4"/>
    <w:multiLevelType w:val="hybridMultilevel"/>
    <w:tmpl w:val="962A60E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F19D4"/>
    <w:multiLevelType w:val="hybridMultilevel"/>
    <w:tmpl w:val="E5F69384"/>
    <w:lvl w:ilvl="0" w:tplc="881E4BA4">
      <w:start w:val="1"/>
      <w:numFmt w:val="upp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FC10AE"/>
    <w:multiLevelType w:val="hybridMultilevel"/>
    <w:tmpl w:val="9426DB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F975AB"/>
    <w:multiLevelType w:val="hybridMultilevel"/>
    <w:tmpl w:val="BEE4C32E"/>
    <w:lvl w:ilvl="0" w:tplc="F4305D10">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C3622AA"/>
    <w:multiLevelType w:val="hybridMultilevel"/>
    <w:tmpl w:val="19566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00690"/>
    <w:multiLevelType w:val="hybridMultilevel"/>
    <w:tmpl w:val="351A97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50406F"/>
    <w:multiLevelType w:val="hybridMultilevel"/>
    <w:tmpl w:val="53C2C47C"/>
    <w:lvl w:ilvl="0" w:tplc="881E4BA4">
      <w:start w:val="1"/>
      <w:numFmt w:val="upp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A24DEA"/>
    <w:multiLevelType w:val="hybridMultilevel"/>
    <w:tmpl w:val="29AE7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BB0F70"/>
    <w:multiLevelType w:val="hybridMultilevel"/>
    <w:tmpl w:val="6DD299D8"/>
    <w:lvl w:ilvl="0" w:tplc="8CB809C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C1EE7"/>
    <w:multiLevelType w:val="hybridMultilevel"/>
    <w:tmpl w:val="D80868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061159"/>
    <w:multiLevelType w:val="hybridMultilevel"/>
    <w:tmpl w:val="5F6ACAAA"/>
    <w:lvl w:ilvl="0" w:tplc="881E4B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EE6ADE"/>
    <w:multiLevelType w:val="hybridMultilevel"/>
    <w:tmpl w:val="0F88413E"/>
    <w:lvl w:ilvl="0" w:tplc="2DEE64DE">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53D91"/>
    <w:multiLevelType w:val="hybridMultilevel"/>
    <w:tmpl w:val="CBA4060C"/>
    <w:lvl w:ilvl="0" w:tplc="A05423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312AFD"/>
    <w:multiLevelType w:val="multilevel"/>
    <w:tmpl w:val="B92A21CE"/>
    <w:lvl w:ilvl="0">
      <w:start w:val="1"/>
      <w:numFmt w:val="bullet"/>
      <w:lvlText w:val=""/>
      <w:lvlJc w:val="left"/>
      <w:pPr>
        <w:ind w:left="720" w:hanging="360"/>
      </w:pPr>
      <w:rPr>
        <w:rFonts w:ascii="Symbol" w:hAnsi="Symbo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4924D1C"/>
    <w:multiLevelType w:val="hybridMultilevel"/>
    <w:tmpl w:val="E550C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E7C2D"/>
    <w:multiLevelType w:val="hybridMultilevel"/>
    <w:tmpl w:val="1EBC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2265C1"/>
    <w:multiLevelType w:val="hybridMultilevel"/>
    <w:tmpl w:val="658871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8C36E1C"/>
    <w:multiLevelType w:val="hybridMultilevel"/>
    <w:tmpl w:val="DD00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02914"/>
    <w:multiLevelType w:val="hybridMultilevel"/>
    <w:tmpl w:val="C84EF3D4"/>
    <w:lvl w:ilvl="0" w:tplc="8CF66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D12B6"/>
    <w:multiLevelType w:val="hybridMultilevel"/>
    <w:tmpl w:val="46C460B6"/>
    <w:lvl w:ilvl="0" w:tplc="A79A5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35322"/>
    <w:multiLevelType w:val="hybridMultilevel"/>
    <w:tmpl w:val="16A64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880BE1"/>
    <w:multiLevelType w:val="multilevel"/>
    <w:tmpl w:val="CECC159A"/>
    <w:lvl w:ilvl="0">
      <w:start w:val="1"/>
      <w:numFmt w:val="decimal"/>
      <w:lvlText w:val="%1."/>
      <w:lvlJc w:val="left"/>
      <w:pPr>
        <w:ind w:left="502" w:hanging="360"/>
      </w:pPr>
      <w:rPr>
        <w:rFonts w:hint="default"/>
        <w:color w:val="auto"/>
        <w:sz w:val="20"/>
        <w:szCs w:val="2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B1362CD"/>
    <w:multiLevelType w:val="multilevel"/>
    <w:tmpl w:val="61046912"/>
    <w:lvl w:ilvl="0">
      <w:start w:val="1"/>
      <w:numFmt w:val="decimal"/>
      <w:lvlText w:val="%1."/>
      <w:lvlJc w:val="left"/>
      <w:pPr>
        <w:ind w:left="360" w:hanging="360"/>
      </w:pPr>
      <w:rPr>
        <w:rFonts w:hint="default"/>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C49507E"/>
    <w:multiLevelType w:val="hybridMultilevel"/>
    <w:tmpl w:val="EEB8AD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1"/>
  </w:num>
  <w:num w:numId="4">
    <w:abstractNumId w:val="5"/>
  </w:num>
  <w:num w:numId="5">
    <w:abstractNumId w:val="3"/>
  </w:num>
  <w:num w:numId="6">
    <w:abstractNumId w:val="8"/>
  </w:num>
  <w:num w:numId="7">
    <w:abstractNumId w:val="14"/>
  </w:num>
  <w:num w:numId="8">
    <w:abstractNumId w:val="12"/>
  </w:num>
  <w:num w:numId="9">
    <w:abstractNumId w:val="22"/>
  </w:num>
  <w:num w:numId="10">
    <w:abstractNumId w:val="20"/>
  </w:num>
  <w:num w:numId="11">
    <w:abstractNumId w:val="19"/>
  </w:num>
  <w:num w:numId="12">
    <w:abstractNumId w:val="10"/>
  </w:num>
  <w:num w:numId="13">
    <w:abstractNumId w:val="11"/>
  </w:num>
  <w:num w:numId="14">
    <w:abstractNumId w:val="6"/>
  </w:num>
  <w:num w:numId="15">
    <w:abstractNumId w:val="1"/>
  </w:num>
  <w:num w:numId="16">
    <w:abstractNumId w:val="23"/>
  </w:num>
  <w:num w:numId="17">
    <w:abstractNumId w:val="15"/>
  </w:num>
  <w:num w:numId="18">
    <w:abstractNumId w:val="24"/>
  </w:num>
  <w:num w:numId="19">
    <w:abstractNumId w:val="2"/>
  </w:num>
  <w:num w:numId="20">
    <w:abstractNumId w:val="13"/>
  </w:num>
  <w:num w:numId="21">
    <w:abstractNumId w:val="17"/>
  </w:num>
  <w:num w:numId="22">
    <w:abstractNumId w:val="18"/>
  </w:num>
  <w:num w:numId="23">
    <w:abstractNumId w:val="0"/>
  </w:num>
  <w:num w:numId="24">
    <w:abstractNumId w:val="7"/>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282f8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75"/>
    <w:rsid w:val="00000BFB"/>
    <w:rsid w:val="00002FE9"/>
    <w:rsid w:val="00017A17"/>
    <w:rsid w:val="000255DA"/>
    <w:rsid w:val="00026A0D"/>
    <w:rsid w:val="000310DB"/>
    <w:rsid w:val="00031A29"/>
    <w:rsid w:val="00031C4F"/>
    <w:rsid w:val="000373F5"/>
    <w:rsid w:val="00040D4C"/>
    <w:rsid w:val="0004497E"/>
    <w:rsid w:val="000458F3"/>
    <w:rsid w:val="00046C19"/>
    <w:rsid w:val="00057B07"/>
    <w:rsid w:val="00060291"/>
    <w:rsid w:val="00067050"/>
    <w:rsid w:val="00070621"/>
    <w:rsid w:val="0007082F"/>
    <w:rsid w:val="00074D8B"/>
    <w:rsid w:val="00074FFE"/>
    <w:rsid w:val="0007596B"/>
    <w:rsid w:val="0008078C"/>
    <w:rsid w:val="00082164"/>
    <w:rsid w:val="00082B38"/>
    <w:rsid w:val="00085795"/>
    <w:rsid w:val="00087637"/>
    <w:rsid w:val="00090929"/>
    <w:rsid w:val="00091AFF"/>
    <w:rsid w:val="000920FE"/>
    <w:rsid w:val="00092426"/>
    <w:rsid w:val="00094DD1"/>
    <w:rsid w:val="0009618A"/>
    <w:rsid w:val="000A3857"/>
    <w:rsid w:val="000B50DF"/>
    <w:rsid w:val="000B5E56"/>
    <w:rsid w:val="000B68F8"/>
    <w:rsid w:val="000C231B"/>
    <w:rsid w:val="000C7344"/>
    <w:rsid w:val="000D016C"/>
    <w:rsid w:val="000D2943"/>
    <w:rsid w:val="000D4CEF"/>
    <w:rsid w:val="000D5831"/>
    <w:rsid w:val="000D5B04"/>
    <w:rsid w:val="000D5F20"/>
    <w:rsid w:val="000E34C2"/>
    <w:rsid w:val="000E6B8F"/>
    <w:rsid w:val="000F2321"/>
    <w:rsid w:val="000F50A9"/>
    <w:rsid w:val="000F602D"/>
    <w:rsid w:val="000F6126"/>
    <w:rsid w:val="00102822"/>
    <w:rsid w:val="0010395C"/>
    <w:rsid w:val="00104B02"/>
    <w:rsid w:val="00105C76"/>
    <w:rsid w:val="0010735C"/>
    <w:rsid w:val="00107EA1"/>
    <w:rsid w:val="00113FB8"/>
    <w:rsid w:val="00114CDA"/>
    <w:rsid w:val="00116391"/>
    <w:rsid w:val="00116637"/>
    <w:rsid w:val="001203E5"/>
    <w:rsid w:val="00120712"/>
    <w:rsid w:val="00125E84"/>
    <w:rsid w:val="001318A2"/>
    <w:rsid w:val="00133B09"/>
    <w:rsid w:val="00133B5C"/>
    <w:rsid w:val="00134883"/>
    <w:rsid w:val="00143C42"/>
    <w:rsid w:val="0015070A"/>
    <w:rsid w:val="00155008"/>
    <w:rsid w:val="00166951"/>
    <w:rsid w:val="001675A5"/>
    <w:rsid w:val="00173BDC"/>
    <w:rsid w:val="00180CCA"/>
    <w:rsid w:val="001825AF"/>
    <w:rsid w:val="00182DF9"/>
    <w:rsid w:val="00190CCA"/>
    <w:rsid w:val="00190EE7"/>
    <w:rsid w:val="00197082"/>
    <w:rsid w:val="001978E9"/>
    <w:rsid w:val="00197DA5"/>
    <w:rsid w:val="001A4C7E"/>
    <w:rsid w:val="001A50A4"/>
    <w:rsid w:val="001A6C5B"/>
    <w:rsid w:val="001A72BD"/>
    <w:rsid w:val="001A74FB"/>
    <w:rsid w:val="001B4DCC"/>
    <w:rsid w:val="001B5764"/>
    <w:rsid w:val="001B6B71"/>
    <w:rsid w:val="001C7AD2"/>
    <w:rsid w:val="001D54FA"/>
    <w:rsid w:val="001E2E13"/>
    <w:rsid w:val="001E35A0"/>
    <w:rsid w:val="001E3A3E"/>
    <w:rsid w:val="001E7681"/>
    <w:rsid w:val="001E7C34"/>
    <w:rsid w:val="001F2FA1"/>
    <w:rsid w:val="001F5DF4"/>
    <w:rsid w:val="001F7E6C"/>
    <w:rsid w:val="00206FBB"/>
    <w:rsid w:val="00212291"/>
    <w:rsid w:val="00216F7E"/>
    <w:rsid w:val="00230BD2"/>
    <w:rsid w:val="002351EE"/>
    <w:rsid w:val="00237E77"/>
    <w:rsid w:val="002413A4"/>
    <w:rsid w:val="00245BBB"/>
    <w:rsid w:val="00246331"/>
    <w:rsid w:val="00251D40"/>
    <w:rsid w:val="002721B3"/>
    <w:rsid w:val="002927BD"/>
    <w:rsid w:val="002970E8"/>
    <w:rsid w:val="002A2FAC"/>
    <w:rsid w:val="002A3F5F"/>
    <w:rsid w:val="002A5E06"/>
    <w:rsid w:val="002B252A"/>
    <w:rsid w:val="002B5A22"/>
    <w:rsid w:val="002C238E"/>
    <w:rsid w:val="002D0C70"/>
    <w:rsid w:val="002D3443"/>
    <w:rsid w:val="002D7A7E"/>
    <w:rsid w:val="002E2BB5"/>
    <w:rsid w:val="002E56BF"/>
    <w:rsid w:val="002E6050"/>
    <w:rsid w:val="002E6417"/>
    <w:rsid w:val="002F2CA7"/>
    <w:rsid w:val="002F4B78"/>
    <w:rsid w:val="002F6185"/>
    <w:rsid w:val="002F7585"/>
    <w:rsid w:val="0030016D"/>
    <w:rsid w:val="00307F79"/>
    <w:rsid w:val="003112E1"/>
    <w:rsid w:val="00312D1A"/>
    <w:rsid w:val="0031691D"/>
    <w:rsid w:val="00320D58"/>
    <w:rsid w:val="0032681C"/>
    <w:rsid w:val="00340453"/>
    <w:rsid w:val="00350309"/>
    <w:rsid w:val="0035277E"/>
    <w:rsid w:val="00354FE6"/>
    <w:rsid w:val="003562F6"/>
    <w:rsid w:val="0036334F"/>
    <w:rsid w:val="00363CD3"/>
    <w:rsid w:val="003702F5"/>
    <w:rsid w:val="00371F43"/>
    <w:rsid w:val="00374218"/>
    <w:rsid w:val="00376383"/>
    <w:rsid w:val="003803B3"/>
    <w:rsid w:val="003827FC"/>
    <w:rsid w:val="003830DC"/>
    <w:rsid w:val="0038481A"/>
    <w:rsid w:val="0038772B"/>
    <w:rsid w:val="00392774"/>
    <w:rsid w:val="00394A99"/>
    <w:rsid w:val="003A209C"/>
    <w:rsid w:val="003A2B63"/>
    <w:rsid w:val="003A389E"/>
    <w:rsid w:val="003A56E9"/>
    <w:rsid w:val="003A68B0"/>
    <w:rsid w:val="003A7325"/>
    <w:rsid w:val="003B253E"/>
    <w:rsid w:val="003B35CC"/>
    <w:rsid w:val="003B46D5"/>
    <w:rsid w:val="003B46FB"/>
    <w:rsid w:val="003C5A5C"/>
    <w:rsid w:val="003D01C4"/>
    <w:rsid w:val="003D6072"/>
    <w:rsid w:val="003E302C"/>
    <w:rsid w:val="003E53B3"/>
    <w:rsid w:val="003E6B47"/>
    <w:rsid w:val="003F18F3"/>
    <w:rsid w:val="003F3EDF"/>
    <w:rsid w:val="003F6C49"/>
    <w:rsid w:val="00400247"/>
    <w:rsid w:val="00402457"/>
    <w:rsid w:val="004128CA"/>
    <w:rsid w:val="00415648"/>
    <w:rsid w:val="004173CA"/>
    <w:rsid w:val="00422014"/>
    <w:rsid w:val="00430DBF"/>
    <w:rsid w:val="00431F4B"/>
    <w:rsid w:val="00432009"/>
    <w:rsid w:val="00445EA3"/>
    <w:rsid w:val="00446D2D"/>
    <w:rsid w:val="004508CE"/>
    <w:rsid w:val="0045694C"/>
    <w:rsid w:val="00461B69"/>
    <w:rsid w:val="00462AA2"/>
    <w:rsid w:val="00464B6A"/>
    <w:rsid w:val="00464E76"/>
    <w:rsid w:val="00471B2C"/>
    <w:rsid w:val="0049168C"/>
    <w:rsid w:val="00492A3F"/>
    <w:rsid w:val="004938B5"/>
    <w:rsid w:val="004A2C23"/>
    <w:rsid w:val="004A5FA2"/>
    <w:rsid w:val="004B15DE"/>
    <w:rsid w:val="004C0C58"/>
    <w:rsid w:val="004C301E"/>
    <w:rsid w:val="004C4F23"/>
    <w:rsid w:val="004C56D0"/>
    <w:rsid w:val="004D35E1"/>
    <w:rsid w:val="004D43EA"/>
    <w:rsid w:val="004E1884"/>
    <w:rsid w:val="004F1A21"/>
    <w:rsid w:val="004F4216"/>
    <w:rsid w:val="004F6C20"/>
    <w:rsid w:val="004F6FEF"/>
    <w:rsid w:val="00500BA9"/>
    <w:rsid w:val="005062E5"/>
    <w:rsid w:val="00526B69"/>
    <w:rsid w:val="005313DB"/>
    <w:rsid w:val="00535974"/>
    <w:rsid w:val="005360D6"/>
    <w:rsid w:val="0054252F"/>
    <w:rsid w:val="0054388E"/>
    <w:rsid w:val="00544D05"/>
    <w:rsid w:val="00545ADE"/>
    <w:rsid w:val="005500BA"/>
    <w:rsid w:val="00552E18"/>
    <w:rsid w:val="00565AE6"/>
    <w:rsid w:val="005676C1"/>
    <w:rsid w:val="00571C1C"/>
    <w:rsid w:val="00573CE7"/>
    <w:rsid w:val="00577F17"/>
    <w:rsid w:val="00583CC6"/>
    <w:rsid w:val="00585531"/>
    <w:rsid w:val="00593F46"/>
    <w:rsid w:val="00596EB2"/>
    <w:rsid w:val="005A3F31"/>
    <w:rsid w:val="005A402D"/>
    <w:rsid w:val="005A4C9F"/>
    <w:rsid w:val="005A6282"/>
    <w:rsid w:val="005B3624"/>
    <w:rsid w:val="005B4947"/>
    <w:rsid w:val="005B4D41"/>
    <w:rsid w:val="005C3BBB"/>
    <w:rsid w:val="005C42F7"/>
    <w:rsid w:val="005C536F"/>
    <w:rsid w:val="005C6FEC"/>
    <w:rsid w:val="005D4F29"/>
    <w:rsid w:val="005D74F5"/>
    <w:rsid w:val="005E2701"/>
    <w:rsid w:val="005E4BB0"/>
    <w:rsid w:val="005F4B50"/>
    <w:rsid w:val="005F533B"/>
    <w:rsid w:val="005F5D2D"/>
    <w:rsid w:val="005F7059"/>
    <w:rsid w:val="005F76C8"/>
    <w:rsid w:val="00600D8F"/>
    <w:rsid w:val="00601247"/>
    <w:rsid w:val="006162F4"/>
    <w:rsid w:val="00616AB5"/>
    <w:rsid w:val="0062243B"/>
    <w:rsid w:val="006323C2"/>
    <w:rsid w:val="00635E64"/>
    <w:rsid w:val="00636D43"/>
    <w:rsid w:val="00640C93"/>
    <w:rsid w:val="0064175F"/>
    <w:rsid w:val="00641F6A"/>
    <w:rsid w:val="00647322"/>
    <w:rsid w:val="00650454"/>
    <w:rsid w:val="006511E0"/>
    <w:rsid w:val="00651B7D"/>
    <w:rsid w:val="006573BB"/>
    <w:rsid w:val="00662303"/>
    <w:rsid w:val="00670C30"/>
    <w:rsid w:val="00671C47"/>
    <w:rsid w:val="006763C5"/>
    <w:rsid w:val="006918C9"/>
    <w:rsid w:val="0069328F"/>
    <w:rsid w:val="00693AE7"/>
    <w:rsid w:val="006949CF"/>
    <w:rsid w:val="006A5AB9"/>
    <w:rsid w:val="006B3977"/>
    <w:rsid w:val="006C1AFB"/>
    <w:rsid w:val="006C23B5"/>
    <w:rsid w:val="006C6F49"/>
    <w:rsid w:val="006D1356"/>
    <w:rsid w:val="006D3616"/>
    <w:rsid w:val="006D7758"/>
    <w:rsid w:val="006E59F2"/>
    <w:rsid w:val="006E609E"/>
    <w:rsid w:val="006E7680"/>
    <w:rsid w:val="006F1B4B"/>
    <w:rsid w:val="006F4C75"/>
    <w:rsid w:val="006F759E"/>
    <w:rsid w:val="00701C47"/>
    <w:rsid w:val="00702D04"/>
    <w:rsid w:val="007171D4"/>
    <w:rsid w:val="0072259B"/>
    <w:rsid w:val="00725917"/>
    <w:rsid w:val="0072742A"/>
    <w:rsid w:val="007279D6"/>
    <w:rsid w:val="007311C5"/>
    <w:rsid w:val="00732758"/>
    <w:rsid w:val="00742693"/>
    <w:rsid w:val="00743383"/>
    <w:rsid w:val="0074387B"/>
    <w:rsid w:val="007460B4"/>
    <w:rsid w:val="0074693A"/>
    <w:rsid w:val="00751637"/>
    <w:rsid w:val="00754525"/>
    <w:rsid w:val="0075692B"/>
    <w:rsid w:val="00757F54"/>
    <w:rsid w:val="00762E49"/>
    <w:rsid w:val="00765D01"/>
    <w:rsid w:val="00766CAE"/>
    <w:rsid w:val="00767A8B"/>
    <w:rsid w:val="00770306"/>
    <w:rsid w:val="007718A1"/>
    <w:rsid w:val="00776BA1"/>
    <w:rsid w:val="007832EE"/>
    <w:rsid w:val="00783C7A"/>
    <w:rsid w:val="00790B9D"/>
    <w:rsid w:val="0079224D"/>
    <w:rsid w:val="00797D3F"/>
    <w:rsid w:val="007A1238"/>
    <w:rsid w:val="007A3871"/>
    <w:rsid w:val="007A762D"/>
    <w:rsid w:val="007B57F7"/>
    <w:rsid w:val="007B7A1B"/>
    <w:rsid w:val="007C22B7"/>
    <w:rsid w:val="007C25C8"/>
    <w:rsid w:val="007D06D7"/>
    <w:rsid w:val="007E202D"/>
    <w:rsid w:val="007E2878"/>
    <w:rsid w:val="007E6777"/>
    <w:rsid w:val="007F12A3"/>
    <w:rsid w:val="007F3556"/>
    <w:rsid w:val="008027AA"/>
    <w:rsid w:val="0081413A"/>
    <w:rsid w:val="008201F6"/>
    <w:rsid w:val="00822A8B"/>
    <w:rsid w:val="008241D5"/>
    <w:rsid w:val="00824219"/>
    <w:rsid w:val="00836A43"/>
    <w:rsid w:val="00842DB2"/>
    <w:rsid w:val="00846D29"/>
    <w:rsid w:val="008505F3"/>
    <w:rsid w:val="00852476"/>
    <w:rsid w:val="00853EA6"/>
    <w:rsid w:val="00855918"/>
    <w:rsid w:val="00862D77"/>
    <w:rsid w:val="00865E77"/>
    <w:rsid w:val="00872E66"/>
    <w:rsid w:val="008755A1"/>
    <w:rsid w:val="00877F87"/>
    <w:rsid w:val="0088202D"/>
    <w:rsid w:val="008935A8"/>
    <w:rsid w:val="008A0F5A"/>
    <w:rsid w:val="008A6926"/>
    <w:rsid w:val="008B0A04"/>
    <w:rsid w:val="008B29AF"/>
    <w:rsid w:val="008B64D6"/>
    <w:rsid w:val="008C6C75"/>
    <w:rsid w:val="008C6C92"/>
    <w:rsid w:val="008D2051"/>
    <w:rsid w:val="008D292D"/>
    <w:rsid w:val="008D3F7C"/>
    <w:rsid w:val="008E1343"/>
    <w:rsid w:val="008E327F"/>
    <w:rsid w:val="008E35AD"/>
    <w:rsid w:val="008E49BF"/>
    <w:rsid w:val="008F2799"/>
    <w:rsid w:val="008F7A61"/>
    <w:rsid w:val="009048D0"/>
    <w:rsid w:val="00905E2E"/>
    <w:rsid w:val="00910090"/>
    <w:rsid w:val="0091244E"/>
    <w:rsid w:val="00915FF8"/>
    <w:rsid w:val="009166DD"/>
    <w:rsid w:val="00921119"/>
    <w:rsid w:val="00921FAA"/>
    <w:rsid w:val="00924730"/>
    <w:rsid w:val="00927536"/>
    <w:rsid w:val="00930943"/>
    <w:rsid w:val="009318C4"/>
    <w:rsid w:val="0093548B"/>
    <w:rsid w:val="0093748F"/>
    <w:rsid w:val="00943FDB"/>
    <w:rsid w:val="00944397"/>
    <w:rsid w:val="00954092"/>
    <w:rsid w:val="00961B35"/>
    <w:rsid w:val="0096404E"/>
    <w:rsid w:val="009665EA"/>
    <w:rsid w:val="00966AC1"/>
    <w:rsid w:val="00972E64"/>
    <w:rsid w:val="00973BBF"/>
    <w:rsid w:val="00973FFA"/>
    <w:rsid w:val="00980E7E"/>
    <w:rsid w:val="00981235"/>
    <w:rsid w:val="00982A58"/>
    <w:rsid w:val="009A11C1"/>
    <w:rsid w:val="009A1822"/>
    <w:rsid w:val="009A26DE"/>
    <w:rsid w:val="009A49C5"/>
    <w:rsid w:val="009A52F6"/>
    <w:rsid w:val="009B1919"/>
    <w:rsid w:val="009B2C2E"/>
    <w:rsid w:val="009E07D7"/>
    <w:rsid w:val="009E59E7"/>
    <w:rsid w:val="009E7A0C"/>
    <w:rsid w:val="009F33D5"/>
    <w:rsid w:val="009F3808"/>
    <w:rsid w:val="009F3973"/>
    <w:rsid w:val="009F493A"/>
    <w:rsid w:val="009F76BB"/>
    <w:rsid w:val="00A01E19"/>
    <w:rsid w:val="00A04389"/>
    <w:rsid w:val="00A04F16"/>
    <w:rsid w:val="00A11202"/>
    <w:rsid w:val="00A1127E"/>
    <w:rsid w:val="00A12378"/>
    <w:rsid w:val="00A1243E"/>
    <w:rsid w:val="00A12CD3"/>
    <w:rsid w:val="00A13469"/>
    <w:rsid w:val="00A20CC2"/>
    <w:rsid w:val="00A22370"/>
    <w:rsid w:val="00A228F8"/>
    <w:rsid w:val="00A26268"/>
    <w:rsid w:val="00A26A7A"/>
    <w:rsid w:val="00A31768"/>
    <w:rsid w:val="00A32579"/>
    <w:rsid w:val="00A37AD3"/>
    <w:rsid w:val="00A410FE"/>
    <w:rsid w:val="00A54B6E"/>
    <w:rsid w:val="00A6392E"/>
    <w:rsid w:val="00A71355"/>
    <w:rsid w:val="00A72DFF"/>
    <w:rsid w:val="00A743F7"/>
    <w:rsid w:val="00A76194"/>
    <w:rsid w:val="00A814A8"/>
    <w:rsid w:val="00A8662F"/>
    <w:rsid w:val="00A95BFB"/>
    <w:rsid w:val="00AA2928"/>
    <w:rsid w:val="00AA2B2F"/>
    <w:rsid w:val="00AB42FB"/>
    <w:rsid w:val="00AB78B5"/>
    <w:rsid w:val="00AC25DF"/>
    <w:rsid w:val="00AC550A"/>
    <w:rsid w:val="00AC6ABD"/>
    <w:rsid w:val="00AC6D6D"/>
    <w:rsid w:val="00AC7AFE"/>
    <w:rsid w:val="00AC7CF1"/>
    <w:rsid w:val="00AD013C"/>
    <w:rsid w:val="00AD5E7D"/>
    <w:rsid w:val="00AE21D4"/>
    <w:rsid w:val="00AE2C53"/>
    <w:rsid w:val="00AE7F7C"/>
    <w:rsid w:val="00AF2C11"/>
    <w:rsid w:val="00AF720E"/>
    <w:rsid w:val="00B00C61"/>
    <w:rsid w:val="00B017EB"/>
    <w:rsid w:val="00B04D53"/>
    <w:rsid w:val="00B059FB"/>
    <w:rsid w:val="00B103B7"/>
    <w:rsid w:val="00B10875"/>
    <w:rsid w:val="00B20F99"/>
    <w:rsid w:val="00B21836"/>
    <w:rsid w:val="00B25E48"/>
    <w:rsid w:val="00B27AD0"/>
    <w:rsid w:val="00B309BC"/>
    <w:rsid w:val="00B30DCD"/>
    <w:rsid w:val="00B478F4"/>
    <w:rsid w:val="00B50172"/>
    <w:rsid w:val="00B75B12"/>
    <w:rsid w:val="00B75D39"/>
    <w:rsid w:val="00B77BDD"/>
    <w:rsid w:val="00B80904"/>
    <w:rsid w:val="00B820F2"/>
    <w:rsid w:val="00B876DD"/>
    <w:rsid w:val="00B91A6D"/>
    <w:rsid w:val="00B9585A"/>
    <w:rsid w:val="00B97DCA"/>
    <w:rsid w:val="00BA0CBA"/>
    <w:rsid w:val="00BA4122"/>
    <w:rsid w:val="00BA480A"/>
    <w:rsid w:val="00BA71C8"/>
    <w:rsid w:val="00BB0632"/>
    <w:rsid w:val="00BB7148"/>
    <w:rsid w:val="00BC3E92"/>
    <w:rsid w:val="00BC44C3"/>
    <w:rsid w:val="00BC596E"/>
    <w:rsid w:val="00BD016D"/>
    <w:rsid w:val="00BD01CC"/>
    <w:rsid w:val="00BD4D57"/>
    <w:rsid w:val="00BE018A"/>
    <w:rsid w:val="00BE3D7E"/>
    <w:rsid w:val="00BF2C6D"/>
    <w:rsid w:val="00C0007A"/>
    <w:rsid w:val="00C03C12"/>
    <w:rsid w:val="00C1113E"/>
    <w:rsid w:val="00C1115C"/>
    <w:rsid w:val="00C16CE6"/>
    <w:rsid w:val="00C25F51"/>
    <w:rsid w:val="00C26B11"/>
    <w:rsid w:val="00C30B61"/>
    <w:rsid w:val="00C31803"/>
    <w:rsid w:val="00C34575"/>
    <w:rsid w:val="00C364B6"/>
    <w:rsid w:val="00C40915"/>
    <w:rsid w:val="00C437DF"/>
    <w:rsid w:val="00C51646"/>
    <w:rsid w:val="00C525B6"/>
    <w:rsid w:val="00C54FEF"/>
    <w:rsid w:val="00C67525"/>
    <w:rsid w:val="00C7196E"/>
    <w:rsid w:val="00C721A4"/>
    <w:rsid w:val="00C73199"/>
    <w:rsid w:val="00C7418E"/>
    <w:rsid w:val="00C74FCA"/>
    <w:rsid w:val="00C77AF3"/>
    <w:rsid w:val="00C77E37"/>
    <w:rsid w:val="00C838A7"/>
    <w:rsid w:val="00C8639A"/>
    <w:rsid w:val="00CA1EF4"/>
    <w:rsid w:val="00CA46E1"/>
    <w:rsid w:val="00CA6ECF"/>
    <w:rsid w:val="00CC381C"/>
    <w:rsid w:val="00CC5E1D"/>
    <w:rsid w:val="00CD7F64"/>
    <w:rsid w:val="00CE101C"/>
    <w:rsid w:val="00CE4364"/>
    <w:rsid w:val="00CE6822"/>
    <w:rsid w:val="00CF0336"/>
    <w:rsid w:val="00CF1C66"/>
    <w:rsid w:val="00CF29CD"/>
    <w:rsid w:val="00D0018A"/>
    <w:rsid w:val="00D00393"/>
    <w:rsid w:val="00D0696E"/>
    <w:rsid w:val="00D07AC7"/>
    <w:rsid w:val="00D07C52"/>
    <w:rsid w:val="00D115AE"/>
    <w:rsid w:val="00D12CE9"/>
    <w:rsid w:val="00D2027E"/>
    <w:rsid w:val="00D21633"/>
    <w:rsid w:val="00D23638"/>
    <w:rsid w:val="00D25C8C"/>
    <w:rsid w:val="00D36DD0"/>
    <w:rsid w:val="00D42932"/>
    <w:rsid w:val="00D43342"/>
    <w:rsid w:val="00D436DB"/>
    <w:rsid w:val="00D47079"/>
    <w:rsid w:val="00D51704"/>
    <w:rsid w:val="00D5796D"/>
    <w:rsid w:val="00D61E06"/>
    <w:rsid w:val="00D633F3"/>
    <w:rsid w:val="00D7246F"/>
    <w:rsid w:val="00D7391E"/>
    <w:rsid w:val="00D82828"/>
    <w:rsid w:val="00D83871"/>
    <w:rsid w:val="00D86FE0"/>
    <w:rsid w:val="00DA4C35"/>
    <w:rsid w:val="00DA5D1A"/>
    <w:rsid w:val="00DB0364"/>
    <w:rsid w:val="00DB46F0"/>
    <w:rsid w:val="00DB4ACA"/>
    <w:rsid w:val="00DB5CB7"/>
    <w:rsid w:val="00DB62C1"/>
    <w:rsid w:val="00DB6368"/>
    <w:rsid w:val="00DC4372"/>
    <w:rsid w:val="00DC44DC"/>
    <w:rsid w:val="00DC5E0C"/>
    <w:rsid w:val="00DD4240"/>
    <w:rsid w:val="00DE05F7"/>
    <w:rsid w:val="00DE2F9E"/>
    <w:rsid w:val="00DE7132"/>
    <w:rsid w:val="00DF34C9"/>
    <w:rsid w:val="00E0159C"/>
    <w:rsid w:val="00E02D27"/>
    <w:rsid w:val="00E0369A"/>
    <w:rsid w:val="00E06525"/>
    <w:rsid w:val="00E06FBD"/>
    <w:rsid w:val="00E07C6D"/>
    <w:rsid w:val="00E13629"/>
    <w:rsid w:val="00E137DD"/>
    <w:rsid w:val="00E24248"/>
    <w:rsid w:val="00E26491"/>
    <w:rsid w:val="00E30FCF"/>
    <w:rsid w:val="00E321CD"/>
    <w:rsid w:val="00E32510"/>
    <w:rsid w:val="00E45BF0"/>
    <w:rsid w:val="00E5144C"/>
    <w:rsid w:val="00E562AB"/>
    <w:rsid w:val="00E64A67"/>
    <w:rsid w:val="00E729C0"/>
    <w:rsid w:val="00E7428A"/>
    <w:rsid w:val="00E7523B"/>
    <w:rsid w:val="00E75A10"/>
    <w:rsid w:val="00E768D4"/>
    <w:rsid w:val="00E83D74"/>
    <w:rsid w:val="00EA28F7"/>
    <w:rsid w:val="00EA5EEC"/>
    <w:rsid w:val="00EB0DB0"/>
    <w:rsid w:val="00EB22D0"/>
    <w:rsid w:val="00EC4B1E"/>
    <w:rsid w:val="00EC4B63"/>
    <w:rsid w:val="00EC4C3D"/>
    <w:rsid w:val="00ED40C4"/>
    <w:rsid w:val="00EF2859"/>
    <w:rsid w:val="00EF6E7D"/>
    <w:rsid w:val="00F140BA"/>
    <w:rsid w:val="00F17779"/>
    <w:rsid w:val="00F30431"/>
    <w:rsid w:val="00F32935"/>
    <w:rsid w:val="00F3458C"/>
    <w:rsid w:val="00F412E2"/>
    <w:rsid w:val="00F44567"/>
    <w:rsid w:val="00F462E8"/>
    <w:rsid w:val="00F47D73"/>
    <w:rsid w:val="00F50E98"/>
    <w:rsid w:val="00F51940"/>
    <w:rsid w:val="00F54075"/>
    <w:rsid w:val="00F54635"/>
    <w:rsid w:val="00F54BAA"/>
    <w:rsid w:val="00F56088"/>
    <w:rsid w:val="00F56EF9"/>
    <w:rsid w:val="00F575A4"/>
    <w:rsid w:val="00F57648"/>
    <w:rsid w:val="00F639D4"/>
    <w:rsid w:val="00F67582"/>
    <w:rsid w:val="00F71161"/>
    <w:rsid w:val="00F76515"/>
    <w:rsid w:val="00F775BB"/>
    <w:rsid w:val="00F828AA"/>
    <w:rsid w:val="00F82A14"/>
    <w:rsid w:val="00F863D0"/>
    <w:rsid w:val="00F87D62"/>
    <w:rsid w:val="00F959AA"/>
    <w:rsid w:val="00F97170"/>
    <w:rsid w:val="00F9751B"/>
    <w:rsid w:val="00F97701"/>
    <w:rsid w:val="00FB10C5"/>
    <w:rsid w:val="00FC3F37"/>
    <w:rsid w:val="00FC4DC1"/>
    <w:rsid w:val="00FC5CE6"/>
    <w:rsid w:val="00FC7226"/>
    <w:rsid w:val="00FD0799"/>
    <w:rsid w:val="00FD615F"/>
    <w:rsid w:val="00FE573E"/>
    <w:rsid w:val="00FF1569"/>
    <w:rsid w:val="00FF6376"/>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82f84"/>
    </o:shapedefaults>
    <o:shapelayout v:ext="edit">
      <o:idmap v:ext="edit" data="1"/>
    </o:shapelayout>
  </w:shapeDefaults>
  <w:decimalSymbol w:val="."/>
  <w:listSeparator w:val=","/>
  <w14:docId w14:val="3A3A30D7"/>
  <w15:docId w15:val="{A011810F-0C74-47E4-8132-86E12691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924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01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FooterChar">
    <w:name w:val="Footer Char"/>
    <w:link w:val="Footer"/>
    <w:uiPriority w:val="99"/>
    <w:rsid w:val="00C74FCA"/>
    <w:rPr>
      <w:lang w:val="en-GB"/>
    </w:rPr>
  </w:style>
  <w:style w:type="paragraph" w:styleId="ListParagraph">
    <w:name w:val="List Paragraph"/>
    <w:aliases w:val="NRA List Paragraph,NRA List Paragra"/>
    <w:basedOn w:val="Normal"/>
    <w:link w:val="ListParagraphChar"/>
    <w:uiPriority w:val="34"/>
    <w:qFormat/>
    <w:rsid w:val="004B15DE"/>
    <w:pPr>
      <w:ind w:left="720"/>
      <w:contextualSpacing/>
    </w:pPr>
    <w:rPr>
      <w:rFonts w:ascii="Verdana" w:hAnsi="Verdana"/>
      <w:sz w:val="24"/>
      <w:szCs w:val="24"/>
    </w:rPr>
  </w:style>
  <w:style w:type="paragraph" w:styleId="BodyText">
    <w:name w:val="Body Text"/>
    <w:basedOn w:val="Normal"/>
    <w:link w:val="BodyTextChar"/>
    <w:rsid w:val="004B15DE"/>
    <w:pPr>
      <w:jc w:val="both"/>
    </w:pPr>
    <w:rPr>
      <w:rFonts w:ascii="Garamond" w:hAnsi="Garamond"/>
      <w:sz w:val="24"/>
      <w:szCs w:val="24"/>
      <w:lang w:val="en-US"/>
    </w:rPr>
  </w:style>
  <w:style w:type="character" w:customStyle="1" w:styleId="BodyTextChar">
    <w:name w:val="Body Text Char"/>
    <w:link w:val="BodyText"/>
    <w:rsid w:val="004B15DE"/>
    <w:rPr>
      <w:rFonts w:ascii="Garamond" w:hAnsi="Garamond"/>
      <w:sz w:val="24"/>
      <w:szCs w:val="24"/>
    </w:rPr>
  </w:style>
  <w:style w:type="table" w:styleId="TableGrid">
    <w:name w:val="Table Grid"/>
    <w:basedOn w:val="TableNormal"/>
    <w:uiPriority w:val="39"/>
    <w:rsid w:val="004F6FEF"/>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2FAC"/>
    <w:rPr>
      <w:rFonts w:ascii="Tahoma" w:hAnsi="Tahoma" w:cs="Tahoma"/>
      <w:sz w:val="16"/>
      <w:szCs w:val="16"/>
    </w:rPr>
  </w:style>
  <w:style w:type="character" w:customStyle="1" w:styleId="BalloonTextChar">
    <w:name w:val="Balloon Text Char"/>
    <w:basedOn w:val="DefaultParagraphFont"/>
    <w:link w:val="BalloonText"/>
    <w:uiPriority w:val="99"/>
    <w:semiHidden/>
    <w:rsid w:val="002A2FAC"/>
    <w:rPr>
      <w:rFonts w:ascii="Tahoma" w:hAnsi="Tahoma" w:cs="Tahoma"/>
      <w:sz w:val="16"/>
      <w:szCs w:val="16"/>
      <w:lang w:val="en-GB"/>
    </w:rPr>
  </w:style>
  <w:style w:type="character" w:styleId="CommentReference">
    <w:name w:val="annotation reference"/>
    <w:basedOn w:val="DefaultParagraphFont"/>
    <w:uiPriority w:val="99"/>
    <w:semiHidden/>
    <w:unhideWhenUsed/>
    <w:rsid w:val="001825AF"/>
    <w:rPr>
      <w:sz w:val="16"/>
      <w:szCs w:val="16"/>
    </w:rPr>
  </w:style>
  <w:style w:type="paragraph" w:styleId="CommentText">
    <w:name w:val="annotation text"/>
    <w:basedOn w:val="Normal"/>
    <w:link w:val="CommentTextChar"/>
    <w:uiPriority w:val="99"/>
    <w:semiHidden/>
    <w:unhideWhenUsed/>
    <w:rsid w:val="001825AF"/>
  </w:style>
  <w:style w:type="character" w:customStyle="1" w:styleId="CommentTextChar">
    <w:name w:val="Comment Text Char"/>
    <w:basedOn w:val="DefaultParagraphFont"/>
    <w:link w:val="CommentText"/>
    <w:uiPriority w:val="99"/>
    <w:semiHidden/>
    <w:rsid w:val="001825AF"/>
    <w:rPr>
      <w:lang w:val="en-GB"/>
    </w:rPr>
  </w:style>
  <w:style w:type="paragraph" w:styleId="CommentSubject">
    <w:name w:val="annotation subject"/>
    <w:basedOn w:val="CommentText"/>
    <w:next w:val="CommentText"/>
    <w:link w:val="CommentSubjectChar"/>
    <w:uiPriority w:val="99"/>
    <w:semiHidden/>
    <w:unhideWhenUsed/>
    <w:rsid w:val="001825AF"/>
    <w:rPr>
      <w:b/>
      <w:bCs/>
    </w:rPr>
  </w:style>
  <w:style w:type="character" w:customStyle="1" w:styleId="CommentSubjectChar">
    <w:name w:val="Comment Subject Char"/>
    <w:basedOn w:val="CommentTextChar"/>
    <w:link w:val="CommentSubject"/>
    <w:uiPriority w:val="99"/>
    <w:semiHidden/>
    <w:rsid w:val="001825AF"/>
    <w:rPr>
      <w:b/>
      <w:bCs/>
      <w:lang w:val="en-GB"/>
    </w:rPr>
  </w:style>
  <w:style w:type="character" w:customStyle="1" w:styleId="Heading1Char">
    <w:name w:val="Heading 1 Char"/>
    <w:basedOn w:val="DefaultParagraphFont"/>
    <w:link w:val="Heading1"/>
    <w:uiPriority w:val="9"/>
    <w:rsid w:val="00092426"/>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uiPriority w:val="10"/>
    <w:qFormat/>
    <w:rsid w:val="000924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426"/>
    <w:rPr>
      <w:rFonts w:asciiTheme="majorHAnsi" w:eastAsiaTheme="majorEastAsia" w:hAnsiTheme="majorHAnsi" w:cstheme="majorBidi"/>
      <w:color w:val="17365D" w:themeColor="text2" w:themeShade="BF"/>
      <w:spacing w:val="5"/>
      <w:kern w:val="28"/>
      <w:sz w:val="52"/>
      <w:szCs w:val="52"/>
      <w:lang w:val="en-GB"/>
    </w:rPr>
  </w:style>
  <w:style w:type="paragraph" w:styleId="Revision">
    <w:name w:val="Revision"/>
    <w:hidden/>
    <w:uiPriority w:val="99"/>
    <w:semiHidden/>
    <w:rsid w:val="00B91A6D"/>
    <w:rPr>
      <w:lang w:val="en-GB"/>
    </w:rPr>
  </w:style>
  <w:style w:type="paragraph" w:customStyle="1" w:styleId="Default">
    <w:name w:val="Default"/>
    <w:rsid w:val="00C364B6"/>
    <w:pPr>
      <w:autoSpaceDE w:val="0"/>
      <w:autoSpaceDN w:val="0"/>
      <w:adjustRightInd w:val="0"/>
    </w:pPr>
    <w:rPr>
      <w:rFonts w:ascii="Verdana" w:eastAsiaTheme="minorHAnsi" w:hAnsi="Verdana" w:cs="Verdana"/>
      <w:color w:val="000000"/>
      <w:sz w:val="24"/>
      <w:szCs w:val="24"/>
    </w:rPr>
  </w:style>
  <w:style w:type="character" w:customStyle="1" w:styleId="Heading2Char">
    <w:name w:val="Heading 2 Char"/>
    <w:basedOn w:val="DefaultParagraphFont"/>
    <w:link w:val="Heading2"/>
    <w:uiPriority w:val="9"/>
    <w:rsid w:val="0030016D"/>
    <w:rPr>
      <w:rFonts w:asciiTheme="majorHAnsi" w:eastAsiaTheme="majorEastAsia" w:hAnsiTheme="majorHAnsi" w:cstheme="majorBidi"/>
      <w:color w:val="365F91" w:themeColor="accent1" w:themeShade="BF"/>
      <w:sz w:val="26"/>
      <w:szCs w:val="26"/>
      <w:lang w:val="en-GB"/>
    </w:rPr>
  </w:style>
  <w:style w:type="paragraph" w:styleId="FootnoteText">
    <w:name w:val="footnote text"/>
    <w:basedOn w:val="Normal"/>
    <w:link w:val="FootnoteTextChar"/>
    <w:uiPriority w:val="99"/>
    <w:unhideWhenUsed/>
    <w:rsid w:val="0030016D"/>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30016D"/>
    <w:rPr>
      <w:rFonts w:asciiTheme="minorHAnsi" w:eastAsiaTheme="minorHAnsi" w:hAnsiTheme="minorHAnsi" w:cstheme="minorBidi"/>
      <w:lang w:val="en-GB"/>
    </w:rPr>
  </w:style>
  <w:style w:type="character" w:styleId="FootnoteReference">
    <w:name w:val="footnote reference"/>
    <w:basedOn w:val="DefaultParagraphFont"/>
    <w:uiPriority w:val="99"/>
    <w:unhideWhenUsed/>
    <w:rsid w:val="0030016D"/>
    <w:rPr>
      <w:vertAlign w:val="superscript"/>
    </w:rPr>
  </w:style>
  <w:style w:type="character" w:styleId="UnresolvedMention">
    <w:name w:val="Unresolved Mention"/>
    <w:basedOn w:val="DefaultParagraphFont"/>
    <w:uiPriority w:val="99"/>
    <w:semiHidden/>
    <w:unhideWhenUsed/>
    <w:rsid w:val="006E59F2"/>
    <w:rPr>
      <w:color w:val="605E5C"/>
      <w:shd w:val="clear" w:color="auto" w:fill="E1DFDD"/>
    </w:rPr>
  </w:style>
  <w:style w:type="character" w:customStyle="1" w:styleId="ListParagraphChar">
    <w:name w:val="List Paragraph Char"/>
    <w:aliases w:val="NRA List Paragraph Char,NRA List Paragra Char"/>
    <w:basedOn w:val="DefaultParagraphFont"/>
    <w:link w:val="ListParagraph"/>
    <w:uiPriority w:val="34"/>
    <w:rsid w:val="00BD01CC"/>
    <w:rPr>
      <w:rFonts w:ascii="Verdana" w:hAnsi="Verdana"/>
      <w:sz w:val="24"/>
      <w:szCs w:val="24"/>
      <w:lang w:val="en-GB"/>
    </w:rPr>
  </w:style>
  <w:style w:type="paragraph" w:styleId="NormalWeb">
    <w:name w:val="Normal (Web)"/>
    <w:basedOn w:val="Normal"/>
    <w:uiPriority w:val="99"/>
    <w:unhideWhenUsed/>
    <w:rsid w:val="00C54FEF"/>
    <w:pPr>
      <w:spacing w:before="100" w:beforeAutospacing="1" w:after="100" w:afterAutospacing="1"/>
    </w:pPr>
    <w:rPr>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11034">
      <w:bodyDiv w:val="1"/>
      <w:marLeft w:val="0"/>
      <w:marRight w:val="0"/>
      <w:marTop w:val="0"/>
      <w:marBottom w:val="0"/>
      <w:divBdr>
        <w:top w:val="none" w:sz="0" w:space="0" w:color="auto"/>
        <w:left w:val="none" w:sz="0" w:space="0" w:color="auto"/>
        <w:bottom w:val="none" w:sz="0" w:space="0" w:color="auto"/>
        <w:right w:val="none" w:sz="0" w:space="0" w:color="auto"/>
      </w:divBdr>
    </w:div>
    <w:div w:id="137850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ima.ky/guidance-notes" TargetMode="External"/><Relationship Id="rId2" Type="http://schemas.openxmlformats.org/officeDocument/2006/relationships/hyperlink" Target="http://www.fatf-gafi.org/publications/methodsandtrends/documents/nationalmoneylaunderingandterroristfinancingriskassessment.html" TargetMode="External"/><Relationship Id="rId1" Type="http://schemas.openxmlformats.org/officeDocument/2006/relationships/hyperlink" Target="http://www.fatf-gafi.org/publications/fatfrecommendations/documents/risk-based-approach-banking-sector.html" TargetMode="External"/><Relationship Id="rId6" Type="http://schemas.openxmlformats.org/officeDocument/2006/relationships/hyperlink" Target="https://www.baselgovernance.org/basel-aml-index/public-ranking" TargetMode="External"/><Relationship Id="rId5" Type="http://schemas.openxmlformats.org/officeDocument/2006/relationships/hyperlink" Target="https://www.un.org/securitycouncil/sanctions/information" TargetMode="External"/><Relationship Id="rId4" Type="http://schemas.openxmlformats.org/officeDocument/2006/relationships/hyperlink" Target="http://www.fatf-gafi.org/count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B4E32-FDCC-4F3F-9AAE-772FA4DB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3837</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PRESS RELEASE</vt:lpstr>
    </vt:vector>
  </TitlesOfParts>
  <Company>Cayman Islands Monetary Authority</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Glidden, Gloria</dc:creator>
  <cp:lastModifiedBy>Maynard, Juliette</cp:lastModifiedBy>
  <cp:revision>4</cp:revision>
  <cp:lastPrinted>2020-02-03T17:37:00Z</cp:lastPrinted>
  <dcterms:created xsi:type="dcterms:W3CDTF">2020-02-04T21:12:00Z</dcterms:created>
  <dcterms:modified xsi:type="dcterms:W3CDTF">2020-02-04T21:13:00Z</dcterms:modified>
</cp:coreProperties>
</file>