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1CAC1" w14:textId="6440A04B" w:rsidR="00C8353A" w:rsidRPr="0030016D" w:rsidRDefault="00C8353A" w:rsidP="00C8353A">
      <w:pPr>
        <w:pStyle w:val="Title"/>
        <w:rPr>
          <w:rFonts w:ascii="Verdana" w:hAnsi="Verdana"/>
          <w:sz w:val="32"/>
          <w:szCs w:val="32"/>
          <w:lang w:val="en-US"/>
        </w:rPr>
      </w:pPr>
      <w:r>
        <w:rPr>
          <w:rFonts w:ascii="Verdana" w:hAnsi="Verdana"/>
          <w:sz w:val="32"/>
          <w:szCs w:val="32"/>
          <w:lang w:val="en-US"/>
        </w:rPr>
        <w:t xml:space="preserve">Cayman Islands Trust and Corporate Service Providers - </w:t>
      </w:r>
      <w:r w:rsidRPr="0030016D">
        <w:rPr>
          <w:rFonts w:ascii="Verdana" w:hAnsi="Verdana"/>
          <w:sz w:val="32"/>
          <w:szCs w:val="32"/>
          <w:lang w:val="en-US"/>
        </w:rPr>
        <w:t xml:space="preserve">Sector Risk Assessment – </w:t>
      </w:r>
      <w:r>
        <w:rPr>
          <w:rFonts w:ascii="Verdana" w:hAnsi="Verdana"/>
          <w:sz w:val="32"/>
          <w:szCs w:val="32"/>
          <w:lang w:val="en-US"/>
        </w:rPr>
        <w:t>January</w:t>
      </w:r>
      <w:r w:rsidRPr="0030016D">
        <w:rPr>
          <w:rFonts w:ascii="Verdana" w:hAnsi="Verdana"/>
          <w:sz w:val="32"/>
          <w:szCs w:val="32"/>
          <w:lang w:val="en-US"/>
        </w:rPr>
        <w:t xml:space="preserve"> 20</w:t>
      </w:r>
      <w:r>
        <w:rPr>
          <w:rFonts w:ascii="Verdana" w:hAnsi="Verdana"/>
          <w:sz w:val="32"/>
          <w:szCs w:val="32"/>
          <w:lang w:val="en-US"/>
        </w:rPr>
        <w:t>20</w:t>
      </w:r>
      <w:r w:rsidR="00C202D4">
        <w:rPr>
          <w:rFonts w:ascii="Verdana" w:hAnsi="Verdana"/>
          <w:sz w:val="32"/>
          <w:szCs w:val="32"/>
          <w:lang w:val="en-US"/>
        </w:rPr>
        <w:t xml:space="preserve"> (DRAFT)</w:t>
      </w:r>
    </w:p>
    <w:p w14:paraId="4EBA0800" w14:textId="77777777" w:rsidR="00C8353A" w:rsidRPr="00C8353A" w:rsidRDefault="00C8353A" w:rsidP="00210B28">
      <w:pPr>
        <w:pStyle w:val="NormalWeb"/>
        <w:jc w:val="center"/>
        <w:rPr>
          <w:rFonts w:ascii="Verdana" w:hAnsi="Verdana"/>
          <w:b/>
          <w:bCs/>
          <w:color w:val="000000" w:themeColor="text1"/>
        </w:rPr>
      </w:pPr>
    </w:p>
    <w:p w14:paraId="72A0B625" w14:textId="5FB871C6" w:rsidR="005B6722" w:rsidRPr="00C8353A" w:rsidRDefault="005B6722" w:rsidP="00C8353A">
      <w:pPr>
        <w:pStyle w:val="Heading2"/>
        <w:ind w:left="936"/>
        <w:rPr>
          <w:rFonts w:ascii="Verdana" w:hAnsi="Verdana"/>
          <w:b/>
          <w:bCs/>
          <w:sz w:val="24"/>
          <w:szCs w:val="24"/>
          <w:lang w:val="en-US"/>
        </w:rPr>
      </w:pPr>
      <w:r w:rsidRPr="00C8353A">
        <w:rPr>
          <w:rFonts w:ascii="Verdana" w:hAnsi="Verdana"/>
          <w:b/>
          <w:bCs/>
          <w:sz w:val="24"/>
          <w:szCs w:val="24"/>
          <w:lang w:val="en-US"/>
        </w:rPr>
        <w:t>Introduction</w:t>
      </w:r>
    </w:p>
    <w:p w14:paraId="1826BDC4" w14:textId="7A4C76F3" w:rsidR="001B5414" w:rsidRPr="00C8353A" w:rsidRDefault="00F119B2" w:rsidP="0075449E">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The purpose of this </w:t>
      </w:r>
      <w:r w:rsidR="00AF7E0A" w:rsidRPr="00C8353A">
        <w:rPr>
          <w:rFonts w:ascii="Verdana" w:eastAsiaTheme="minorHAnsi" w:hAnsi="Verdana" w:cs="Times New Roman"/>
          <w:color w:val="000000" w:themeColor="text1"/>
          <w:sz w:val="20"/>
          <w:szCs w:val="20"/>
          <w:lang w:val="en-US" w:eastAsia="en-US"/>
        </w:rPr>
        <w:t>Trust and Corporate Service Providers (TCSPs)</w:t>
      </w:r>
      <w:r w:rsidR="00824BAB" w:rsidRPr="00C8353A">
        <w:rPr>
          <w:rFonts w:ascii="Verdana" w:eastAsiaTheme="minorHAnsi" w:hAnsi="Verdana" w:cs="Times New Roman"/>
          <w:color w:val="000000" w:themeColor="text1"/>
          <w:sz w:val="20"/>
          <w:szCs w:val="20"/>
          <w:lang w:val="en-US" w:eastAsia="en-US"/>
        </w:rPr>
        <w:t xml:space="preserve"> </w:t>
      </w:r>
      <w:r w:rsidR="00AF7E0A" w:rsidRPr="00C8353A">
        <w:rPr>
          <w:rFonts w:ascii="Verdana" w:eastAsiaTheme="minorHAnsi" w:hAnsi="Verdana" w:cs="Times New Roman"/>
          <w:color w:val="000000" w:themeColor="text1"/>
          <w:sz w:val="20"/>
          <w:szCs w:val="20"/>
          <w:lang w:val="en-US" w:eastAsia="en-US"/>
        </w:rPr>
        <w:t xml:space="preserve">Sector </w:t>
      </w:r>
      <w:r w:rsidR="00824BAB" w:rsidRPr="00C8353A">
        <w:rPr>
          <w:rFonts w:ascii="Verdana" w:eastAsiaTheme="minorHAnsi" w:hAnsi="Verdana" w:cs="Times New Roman"/>
          <w:color w:val="000000" w:themeColor="text1"/>
          <w:sz w:val="20"/>
          <w:szCs w:val="20"/>
          <w:lang w:val="en-US" w:eastAsia="en-US"/>
        </w:rPr>
        <w:t>Risk Assessment</w:t>
      </w:r>
      <w:r w:rsidRPr="00C8353A">
        <w:rPr>
          <w:rFonts w:ascii="Verdana" w:eastAsiaTheme="minorHAnsi" w:hAnsi="Verdana" w:cs="Times New Roman"/>
          <w:color w:val="000000" w:themeColor="text1"/>
          <w:sz w:val="20"/>
          <w:szCs w:val="20"/>
          <w:lang w:val="en-US" w:eastAsia="en-US"/>
        </w:rPr>
        <w:t xml:space="preserve"> </w:t>
      </w:r>
      <w:r w:rsidR="00A16B1B" w:rsidRPr="00C8353A">
        <w:rPr>
          <w:rFonts w:ascii="Verdana" w:eastAsiaTheme="minorHAnsi" w:hAnsi="Verdana" w:cs="Times New Roman"/>
          <w:color w:val="000000" w:themeColor="text1"/>
          <w:sz w:val="20"/>
          <w:szCs w:val="20"/>
          <w:lang w:val="en-US" w:eastAsia="en-US"/>
        </w:rPr>
        <w:t xml:space="preserve">conducted by the Cayman Islands Monetary Authority (CIMA) </w:t>
      </w:r>
      <w:r w:rsidR="00F42DFE" w:rsidRPr="00C8353A">
        <w:rPr>
          <w:rFonts w:ascii="Verdana" w:eastAsiaTheme="minorHAnsi" w:hAnsi="Verdana" w:cs="Times New Roman"/>
          <w:color w:val="000000" w:themeColor="text1"/>
          <w:sz w:val="20"/>
          <w:szCs w:val="20"/>
          <w:lang w:val="en-US" w:eastAsia="en-US"/>
        </w:rPr>
        <w:t xml:space="preserve">is </w:t>
      </w:r>
      <w:r w:rsidRPr="00C8353A">
        <w:rPr>
          <w:rFonts w:ascii="Verdana" w:eastAsiaTheme="minorHAnsi" w:hAnsi="Verdana" w:cs="Times New Roman"/>
          <w:color w:val="000000" w:themeColor="text1"/>
          <w:sz w:val="20"/>
          <w:szCs w:val="20"/>
          <w:lang w:val="en-US" w:eastAsia="en-US"/>
        </w:rPr>
        <w:t xml:space="preserve">to identify and </w:t>
      </w:r>
      <w:r w:rsidR="0030156B" w:rsidRPr="00C8353A">
        <w:rPr>
          <w:rFonts w:ascii="Verdana" w:eastAsiaTheme="minorHAnsi" w:hAnsi="Verdana" w:cs="Times New Roman"/>
          <w:color w:val="000000" w:themeColor="text1"/>
          <w:sz w:val="20"/>
          <w:szCs w:val="20"/>
          <w:lang w:val="en-US" w:eastAsia="en-US"/>
        </w:rPr>
        <w:t>assess</w:t>
      </w:r>
      <w:r w:rsidRPr="00C8353A">
        <w:rPr>
          <w:rFonts w:ascii="Verdana" w:eastAsiaTheme="minorHAnsi" w:hAnsi="Verdana" w:cs="Times New Roman"/>
          <w:color w:val="000000" w:themeColor="text1"/>
          <w:sz w:val="20"/>
          <w:szCs w:val="20"/>
          <w:lang w:val="en-US" w:eastAsia="en-US"/>
        </w:rPr>
        <w:t xml:space="preserve"> the </w:t>
      </w:r>
      <w:r w:rsidR="00F42DFE" w:rsidRPr="00C8353A">
        <w:rPr>
          <w:rFonts w:ascii="Verdana" w:eastAsiaTheme="minorHAnsi" w:hAnsi="Verdana" w:cs="Times New Roman"/>
          <w:color w:val="000000" w:themeColor="text1"/>
          <w:sz w:val="20"/>
          <w:szCs w:val="20"/>
          <w:lang w:val="en-US" w:eastAsia="en-US"/>
        </w:rPr>
        <w:t>Money Laundering/ Terrorist Financing (“</w:t>
      </w:r>
      <w:r w:rsidRPr="00C8353A">
        <w:rPr>
          <w:rFonts w:ascii="Verdana" w:eastAsiaTheme="minorHAnsi" w:hAnsi="Verdana" w:cs="Times New Roman"/>
          <w:color w:val="000000" w:themeColor="text1"/>
          <w:sz w:val="20"/>
          <w:szCs w:val="20"/>
          <w:lang w:val="en-US" w:eastAsia="en-US"/>
        </w:rPr>
        <w:t>ML/TF</w:t>
      </w:r>
      <w:r w:rsidR="00F42DFE" w:rsidRPr="00C8353A">
        <w:rPr>
          <w:rFonts w:ascii="Verdana" w:eastAsiaTheme="minorHAnsi" w:hAnsi="Verdana" w:cs="Times New Roman"/>
          <w:color w:val="000000" w:themeColor="text1"/>
          <w:sz w:val="20"/>
          <w:szCs w:val="20"/>
          <w:lang w:val="en-US" w:eastAsia="en-US"/>
        </w:rPr>
        <w:t>”)</w:t>
      </w:r>
      <w:r w:rsidRPr="00C8353A">
        <w:rPr>
          <w:rFonts w:ascii="Verdana" w:eastAsiaTheme="minorHAnsi" w:hAnsi="Verdana" w:cs="Times New Roman"/>
          <w:color w:val="000000" w:themeColor="text1"/>
          <w:sz w:val="20"/>
          <w:szCs w:val="20"/>
          <w:lang w:val="en-US" w:eastAsia="en-US"/>
        </w:rPr>
        <w:t xml:space="preserve"> risks faced by the </w:t>
      </w:r>
      <w:r w:rsidR="00AF7E0A" w:rsidRPr="00C8353A">
        <w:rPr>
          <w:rFonts w:ascii="Verdana" w:eastAsiaTheme="minorHAnsi" w:hAnsi="Verdana" w:cs="Times New Roman"/>
          <w:color w:val="000000" w:themeColor="text1"/>
          <w:sz w:val="20"/>
          <w:szCs w:val="20"/>
          <w:lang w:val="en-US" w:eastAsia="en-US"/>
        </w:rPr>
        <w:t>TCSP</w:t>
      </w:r>
      <w:r w:rsidRPr="00C8353A">
        <w:rPr>
          <w:rFonts w:ascii="Verdana" w:eastAsiaTheme="minorHAnsi" w:hAnsi="Verdana" w:cs="Times New Roman"/>
          <w:color w:val="000000" w:themeColor="text1"/>
          <w:sz w:val="20"/>
          <w:szCs w:val="20"/>
          <w:lang w:val="en-US" w:eastAsia="en-US"/>
        </w:rPr>
        <w:t xml:space="preserve"> sector in </w:t>
      </w:r>
      <w:r w:rsidR="0004279D" w:rsidRPr="00C8353A">
        <w:rPr>
          <w:rFonts w:ascii="Verdana" w:eastAsiaTheme="minorHAnsi" w:hAnsi="Verdana" w:cs="Times New Roman"/>
          <w:color w:val="000000" w:themeColor="text1"/>
          <w:sz w:val="20"/>
          <w:szCs w:val="20"/>
          <w:lang w:val="en-US" w:eastAsia="en-US"/>
        </w:rPr>
        <w:t xml:space="preserve">the </w:t>
      </w:r>
      <w:r w:rsidR="00E06EDD" w:rsidRPr="00C8353A">
        <w:rPr>
          <w:rFonts w:ascii="Verdana" w:eastAsiaTheme="minorHAnsi" w:hAnsi="Verdana" w:cs="Times New Roman"/>
          <w:color w:val="000000" w:themeColor="text1"/>
          <w:sz w:val="20"/>
          <w:szCs w:val="20"/>
          <w:lang w:val="en-US" w:eastAsia="en-US"/>
        </w:rPr>
        <w:t>Cayman Islands</w:t>
      </w:r>
      <w:r w:rsidRPr="00C8353A">
        <w:rPr>
          <w:rFonts w:ascii="Verdana" w:eastAsiaTheme="minorHAnsi" w:hAnsi="Verdana" w:cs="Times New Roman"/>
          <w:color w:val="000000" w:themeColor="text1"/>
          <w:sz w:val="20"/>
          <w:szCs w:val="20"/>
          <w:lang w:val="en-US" w:eastAsia="en-US"/>
        </w:rPr>
        <w:t xml:space="preserve">. Identifying the risks is the first step </w:t>
      </w:r>
      <w:r w:rsidR="000B1964" w:rsidRPr="00C8353A">
        <w:rPr>
          <w:rFonts w:ascii="Verdana" w:eastAsiaTheme="minorHAnsi" w:hAnsi="Verdana" w:cs="Times New Roman"/>
          <w:color w:val="000000" w:themeColor="text1"/>
          <w:sz w:val="20"/>
          <w:szCs w:val="20"/>
          <w:lang w:val="en-US" w:eastAsia="en-US"/>
        </w:rPr>
        <w:t xml:space="preserve">in the development and </w:t>
      </w:r>
      <w:r w:rsidR="000942D3">
        <w:rPr>
          <w:rFonts w:ascii="Verdana" w:eastAsiaTheme="minorHAnsi" w:hAnsi="Verdana" w:cs="Times New Roman"/>
          <w:color w:val="000000" w:themeColor="text1"/>
          <w:sz w:val="20"/>
          <w:szCs w:val="20"/>
          <w:lang w:val="en-US" w:eastAsia="en-US"/>
        </w:rPr>
        <w:t xml:space="preserve">proper </w:t>
      </w:r>
      <w:r w:rsidR="000B1964" w:rsidRPr="00C8353A">
        <w:rPr>
          <w:rFonts w:ascii="Verdana" w:eastAsiaTheme="minorHAnsi" w:hAnsi="Verdana" w:cs="Times New Roman"/>
          <w:color w:val="000000" w:themeColor="text1"/>
          <w:sz w:val="20"/>
          <w:szCs w:val="20"/>
          <w:lang w:val="en-US" w:eastAsia="en-US"/>
        </w:rPr>
        <w:t xml:space="preserve">application of a </w:t>
      </w:r>
      <w:r w:rsidRPr="00C8353A">
        <w:rPr>
          <w:rFonts w:ascii="Verdana" w:eastAsiaTheme="minorHAnsi" w:hAnsi="Verdana" w:cs="Times New Roman"/>
          <w:color w:val="000000" w:themeColor="text1"/>
          <w:sz w:val="20"/>
          <w:szCs w:val="20"/>
          <w:lang w:val="en-US" w:eastAsia="en-US"/>
        </w:rPr>
        <w:t xml:space="preserve">risk-based approach </w:t>
      </w:r>
      <w:r w:rsidR="000B1964" w:rsidRPr="00C8353A">
        <w:rPr>
          <w:rFonts w:ascii="Verdana" w:eastAsiaTheme="minorHAnsi" w:hAnsi="Verdana" w:cs="Times New Roman"/>
          <w:color w:val="000000" w:themeColor="text1"/>
          <w:sz w:val="20"/>
          <w:szCs w:val="20"/>
          <w:lang w:val="en-US" w:eastAsia="en-US"/>
        </w:rPr>
        <w:t>to compliance and thus towards combating ML/TF</w:t>
      </w:r>
      <w:r w:rsidRPr="00C8353A">
        <w:rPr>
          <w:rFonts w:ascii="Verdana" w:eastAsiaTheme="minorHAnsi" w:hAnsi="Verdana" w:cs="Times New Roman"/>
          <w:color w:val="000000" w:themeColor="text1"/>
          <w:sz w:val="20"/>
          <w:szCs w:val="20"/>
          <w:lang w:val="en-US" w:eastAsia="en-US"/>
        </w:rPr>
        <w:t>.</w:t>
      </w:r>
      <w:r w:rsidR="00F753C4" w:rsidRPr="00C8353A">
        <w:rPr>
          <w:rFonts w:ascii="Verdana" w:eastAsiaTheme="minorHAnsi" w:hAnsi="Verdana" w:cs="Times New Roman"/>
          <w:color w:val="000000" w:themeColor="text1"/>
          <w:sz w:val="20"/>
          <w:szCs w:val="20"/>
          <w:lang w:val="en-US" w:eastAsia="en-US"/>
        </w:rPr>
        <w:t xml:space="preserve"> </w:t>
      </w:r>
    </w:p>
    <w:p w14:paraId="61BDBB9C" w14:textId="2EC16D11" w:rsidR="00F65513" w:rsidRPr="00C8353A" w:rsidRDefault="004F3C6F" w:rsidP="0075449E">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Under </w:t>
      </w:r>
      <w:r w:rsidR="001B5414" w:rsidRPr="00C8353A">
        <w:rPr>
          <w:rFonts w:ascii="Verdana" w:eastAsiaTheme="minorHAnsi" w:hAnsi="Verdana" w:cs="Times New Roman"/>
          <w:color w:val="000000" w:themeColor="text1"/>
          <w:sz w:val="20"/>
          <w:szCs w:val="20"/>
          <w:lang w:val="en-US" w:eastAsia="en-US"/>
        </w:rPr>
        <w:t xml:space="preserve">the Cayman Islands Anti-Money Laundering Regulations, </w:t>
      </w:r>
      <w:r w:rsidR="00AF7E0A" w:rsidRPr="00C8353A">
        <w:rPr>
          <w:rFonts w:ascii="Verdana" w:eastAsiaTheme="minorHAnsi" w:hAnsi="Verdana" w:cs="Times New Roman"/>
          <w:color w:val="000000" w:themeColor="text1"/>
          <w:sz w:val="20"/>
          <w:szCs w:val="20"/>
          <w:lang w:val="en-US" w:eastAsia="en-US"/>
        </w:rPr>
        <w:t>TCSPs</w:t>
      </w:r>
      <w:r w:rsidR="00570666" w:rsidRPr="00C8353A">
        <w:rPr>
          <w:rFonts w:ascii="Verdana" w:eastAsiaTheme="minorHAnsi" w:hAnsi="Verdana" w:cs="Times New Roman"/>
          <w:color w:val="000000" w:themeColor="text1"/>
          <w:sz w:val="20"/>
          <w:szCs w:val="20"/>
          <w:lang w:val="en-US" w:eastAsia="en-US"/>
        </w:rPr>
        <w:t xml:space="preserve"> </w:t>
      </w:r>
      <w:r w:rsidR="001B5414" w:rsidRPr="00C8353A">
        <w:rPr>
          <w:rFonts w:ascii="Verdana" w:eastAsiaTheme="minorHAnsi" w:hAnsi="Verdana" w:cs="Times New Roman"/>
          <w:color w:val="000000" w:themeColor="text1"/>
          <w:sz w:val="20"/>
          <w:szCs w:val="20"/>
          <w:lang w:val="en-US" w:eastAsia="en-US"/>
        </w:rPr>
        <w:t xml:space="preserve">are required to </w:t>
      </w:r>
      <w:r w:rsidR="00F65513" w:rsidRPr="00C8353A">
        <w:rPr>
          <w:rFonts w:ascii="Verdana" w:eastAsiaTheme="minorHAnsi" w:hAnsi="Verdana" w:cs="Times New Roman"/>
          <w:color w:val="000000" w:themeColor="text1"/>
          <w:sz w:val="20"/>
          <w:szCs w:val="20"/>
          <w:lang w:val="en-US" w:eastAsia="en-US"/>
        </w:rPr>
        <w:t>take steps to identify, assess, and understand their ML/TF risks in relation to customers, geographic areas, products, services and transactions, and delivery channels</w:t>
      </w:r>
      <w:r w:rsidRPr="00C8353A">
        <w:rPr>
          <w:rFonts w:ascii="Verdana" w:eastAsiaTheme="minorHAnsi" w:hAnsi="Verdana" w:cs="Times New Roman"/>
          <w:color w:val="000000" w:themeColor="text1"/>
          <w:sz w:val="20"/>
          <w:szCs w:val="20"/>
          <w:lang w:val="en-US" w:eastAsia="en-US"/>
        </w:rPr>
        <w:t>;</w:t>
      </w:r>
      <w:r w:rsidR="00F65513" w:rsidRPr="00C8353A">
        <w:rPr>
          <w:rFonts w:ascii="Verdana" w:eastAsiaTheme="minorHAnsi" w:hAnsi="Verdana" w:cs="Times New Roman"/>
          <w:color w:val="000000" w:themeColor="text1"/>
          <w:sz w:val="20"/>
          <w:szCs w:val="20"/>
          <w:lang w:val="en-US" w:eastAsia="en-US"/>
        </w:rPr>
        <w:t xml:space="preserve"> and to align all aspects of their internal controls and procedures with th</w:t>
      </w:r>
      <w:r w:rsidRPr="00C8353A">
        <w:rPr>
          <w:rFonts w:ascii="Verdana" w:eastAsiaTheme="minorHAnsi" w:hAnsi="Verdana" w:cs="Times New Roman"/>
          <w:color w:val="000000" w:themeColor="text1"/>
          <w:sz w:val="20"/>
          <w:szCs w:val="20"/>
          <w:lang w:val="en-US" w:eastAsia="en-US"/>
        </w:rPr>
        <w:t>e</w:t>
      </w:r>
      <w:r w:rsidR="00F65513" w:rsidRPr="00C8353A">
        <w:rPr>
          <w:rFonts w:ascii="Verdana" w:eastAsiaTheme="minorHAnsi" w:hAnsi="Verdana" w:cs="Times New Roman"/>
          <w:color w:val="000000" w:themeColor="text1"/>
          <w:sz w:val="20"/>
          <w:szCs w:val="20"/>
          <w:lang w:val="en-US" w:eastAsia="en-US"/>
        </w:rPr>
        <w:t>i</w:t>
      </w:r>
      <w:r w:rsidRPr="00C8353A">
        <w:rPr>
          <w:rFonts w:ascii="Verdana" w:eastAsiaTheme="minorHAnsi" w:hAnsi="Verdana" w:cs="Times New Roman"/>
          <w:color w:val="000000" w:themeColor="text1"/>
          <w:sz w:val="20"/>
          <w:szCs w:val="20"/>
          <w:lang w:val="en-US" w:eastAsia="en-US"/>
        </w:rPr>
        <w:t>r</w:t>
      </w:r>
      <w:r w:rsidR="00F65513" w:rsidRPr="00C8353A">
        <w:rPr>
          <w:rFonts w:ascii="Verdana" w:eastAsiaTheme="minorHAnsi" w:hAnsi="Verdana" w:cs="Times New Roman"/>
          <w:color w:val="000000" w:themeColor="text1"/>
          <w:sz w:val="20"/>
          <w:szCs w:val="20"/>
          <w:lang w:val="en-US" w:eastAsia="en-US"/>
        </w:rPr>
        <w:t xml:space="preserve"> risk understanding, including customer due diligence procedures, transaction monitoring systems, </w:t>
      </w:r>
      <w:r w:rsidRPr="00C8353A">
        <w:rPr>
          <w:rFonts w:ascii="Verdana" w:eastAsiaTheme="minorHAnsi" w:hAnsi="Verdana" w:cs="Times New Roman"/>
          <w:color w:val="000000" w:themeColor="text1"/>
          <w:sz w:val="20"/>
          <w:szCs w:val="20"/>
          <w:lang w:val="en-US" w:eastAsia="en-US"/>
        </w:rPr>
        <w:t xml:space="preserve">and </w:t>
      </w:r>
      <w:r w:rsidR="00F65513" w:rsidRPr="00C8353A">
        <w:rPr>
          <w:rFonts w:ascii="Verdana" w:eastAsiaTheme="minorHAnsi" w:hAnsi="Verdana" w:cs="Times New Roman"/>
          <w:color w:val="000000" w:themeColor="text1"/>
          <w:sz w:val="20"/>
          <w:szCs w:val="20"/>
          <w:lang w:val="en-US" w:eastAsia="en-US"/>
        </w:rPr>
        <w:t xml:space="preserve">the independent audit function. This sectorial risk assessment is aimed to inform </w:t>
      </w:r>
      <w:r w:rsidR="00AF7E0A" w:rsidRPr="00C8353A">
        <w:rPr>
          <w:rFonts w:ascii="Verdana" w:eastAsiaTheme="minorHAnsi" w:hAnsi="Verdana" w:cs="Times New Roman"/>
          <w:color w:val="000000" w:themeColor="text1"/>
          <w:sz w:val="20"/>
          <w:szCs w:val="20"/>
          <w:lang w:val="en-US" w:eastAsia="en-US"/>
        </w:rPr>
        <w:t>TCSPs</w:t>
      </w:r>
      <w:r w:rsidR="00F65513" w:rsidRPr="00C8353A">
        <w:rPr>
          <w:rFonts w:ascii="Verdana" w:eastAsiaTheme="minorHAnsi" w:hAnsi="Verdana" w:cs="Times New Roman"/>
          <w:color w:val="000000" w:themeColor="text1"/>
          <w:sz w:val="20"/>
          <w:szCs w:val="20"/>
          <w:lang w:val="en-US" w:eastAsia="en-US"/>
        </w:rPr>
        <w:t>’ efforts</w:t>
      </w:r>
      <w:r w:rsidRPr="00C8353A">
        <w:rPr>
          <w:rFonts w:ascii="Verdana" w:eastAsiaTheme="minorHAnsi" w:hAnsi="Verdana" w:cs="Times New Roman"/>
          <w:color w:val="000000" w:themeColor="text1"/>
          <w:sz w:val="20"/>
          <w:szCs w:val="20"/>
          <w:lang w:val="en-US" w:eastAsia="en-US"/>
        </w:rPr>
        <w:t xml:space="preserve"> with regards to their business wide risk assessment and the</w:t>
      </w:r>
      <w:r w:rsidR="00F65513" w:rsidRPr="00C8353A">
        <w:rPr>
          <w:rFonts w:ascii="Verdana" w:eastAsiaTheme="minorHAnsi" w:hAnsi="Verdana" w:cs="Times New Roman"/>
          <w:color w:val="000000" w:themeColor="text1"/>
          <w:sz w:val="20"/>
          <w:szCs w:val="20"/>
          <w:lang w:val="en-US" w:eastAsia="en-US"/>
        </w:rPr>
        <w:t xml:space="preserve"> develop</w:t>
      </w:r>
      <w:r w:rsidRPr="00C8353A">
        <w:rPr>
          <w:rFonts w:ascii="Verdana" w:eastAsiaTheme="minorHAnsi" w:hAnsi="Verdana" w:cs="Times New Roman"/>
          <w:color w:val="000000" w:themeColor="text1"/>
          <w:sz w:val="20"/>
          <w:szCs w:val="20"/>
          <w:lang w:val="en-US" w:eastAsia="en-US"/>
        </w:rPr>
        <w:t>ment of</w:t>
      </w:r>
      <w:r w:rsidR="00F65513" w:rsidRPr="00C8353A">
        <w:rPr>
          <w:rFonts w:ascii="Verdana" w:eastAsiaTheme="minorHAnsi" w:hAnsi="Verdana" w:cs="Times New Roman"/>
          <w:color w:val="000000" w:themeColor="text1"/>
          <w:sz w:val="20"/>
          <w:szCs w:val="20"/>
          <w:lang w:val="en-US" w:eastAsia="en-US"/>
        </w:rPr>
        <w:t xml:space="preserve"> a </w:t>
      </w:r>
      <w:r w:rsidR="00F6745F" w:rsidRPr="00C8353A">
        <w:rPr>
          <w:rFonts w:ascii="Verdana" w:eastAsiaTheme="minorHAnsi" w:hAnsi="Verdana" w:cs="Times New Roman"/>
          <w:color w:val="000000" w:themeColor="text1"/>
          <w:sz w:val="20"/>
          <w:szCs w:val="20"/>
          <w:lang w:val="en-US" w:eastAsia="en-US"/>
        </w:rPr>
        <w:t>risk-based</w:t>
      </w:r>
      <w:r w:rsidR="00F65513" w:rsidRPr="00C8353A">
        <w:rPr>
          <w:rFonts w:ascii="Verdana" w:eastAsiaTheme="minorHAnsi" w:hAnsi="Verdana" w:cs="Times New Roman"/>
          <w:color w:val="000000" w:themeColor="text1"/>
          <w:sz w:val="20"/>
          <w:szCs w:val="20"/>
          <w:lang w:val="en-US" w:eastAsia="en-US"/>
        </w:rPr>
        <w:t xml:space="preserve"> approach to compliance</w:t>
      </w:r>
      <w:r w:rsidR="00980D4E" w:rsidRPr="00C8353A">
        <w:rPr>
          <w:rFonts w:ascii="Verdana" w:eastAsiaTheme="minorHAnsi" w:hAnsi="Verdana" w:cs="Times New Roman"/>
          <w:color w:val="000000" w:themeColor="text1"/>
          <w:sz w:val="20"/>
          <w:szCs w:val="20"/>
          <w:lang w:val="en-US" w:eastAsia="en-US"/>
        </w:rPr>
        <w:t xml:space="preserve"> with the Anti-Money Laundering Regulations</w:t>
      </w:r>
      <w:r w:rsidR="00570666" w:rsidRPr="00C8353A">
        <w:rPr>
          <w:rFonts w:ascii="Verdana" w:eastAsiaTheme="minorHAnsi" w:hAnsi="Verdana" w:cs="Times New Roman"/>
          <w:color w:val="000000" w:themeColor="text1"/>
          <w:sz w:val="20"/>
          <w:szCs w:val="20"/>
          <w:lang w:val="en-US" w:eastAsia="en-US"/>
        </w:rPr>
        <w:t xml:space="preserve">. </w:t>
      </w:r>
    </w:p>
    <w:p w14:paraId="219740B8" w14:textId="31FDD287" w:rsidR="00570666" w:rsidRPr="00C8353A" w:rsidRDefault="00570666" w:rsidP="0075449E">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Assessing the risks within each supervised sector </w:t>
      </w:r>
      <w:r w:rsidR="0030156B" w:rsidRPr="00C8353A">
        <w:rPr>
          <w:rFonts w:ascii="Verdana" w:eastAsiaTheme="minorHAnsi" w:hAnsi="Verdana" w:cs="Times New Roman"/>
          <w:color w:val="000000" w:themeColor="text1"/>
          <w:sz w:val="20"/>
          <w:szCs w:val="20"/>
          <w:lang w:val="en-US" w:eastAsia="en-US"/>
        </w:rPr>
        <w:t xml:space="preserve">also </w:t>
      </w:r>
      <w:r w:rsidRPr="00C8353A">
        <w:rPr>
          <w:rFonts w:ascii="Verdana" w:eastAsiaTheme="minorHAnsi" w:hAnsi="Verdana" w:cs="Times New Roman"/>
          <w:color w:val="000000" w:themeColor="text1"/>
          <w:sz w:val="20"/>
          <w:szCs w:val="20"/>
          <w:lang w:val="en-US" w:eastAsia="en-US"/>
        </w:rPr>
        <w:t>enables</w:t>
      </w:r>
      <w:r w:rsidR="007A1EDC" w:rsidRPr="00C8353A">
        <w:rPr>
          <w:rFonts w:ascii="Verdana" w:eastAsiaTheme="minorHAnsi" w:hAnsi="Verdana" w:cs="Times New Roman"/>
          <w:color w:val="000000" w:themeColor="text1"/>
          <w:sz w:val="20"/>
          <w:szCs w:val="20"/>
          <w:lang w:val="en-US" w:eastAsia="en-US"/>
        </w:rPr>
        <w:t xml:space="preserve"> </w:t>
      </w:r>
      <w:r w:rsidR="00A16B1B" w:rsidRPr="00C8353A">
        <w:rPr>
          <w:rFonts w:ascii="Verdana" w:eastAsiaTheme="minorHAnsi" w:hAnsi="Verdana" w:cs="Times New Roman"/>
          <w:color w:val="000000" w:themeColor="text1"/>
          <w:sz w:val="20"/>
          <w:szCs w:val="20"/>
          <w:lang w:val="en-US" w:eastAsia="en-US"/>
        </w:rPr>
        <w:t xml:space="preserve">CIMA </w:t>
      </w:r>
      <w:r w:rsidRPr="00C8353A">
        <w:rPr>
          <w:rFonts w:ascii="Verdana" w:eastAsiaTheme="minorHAnsi" w:hAnsi="Verdana" w:cs="Times New Roman"/>
          <w:color w:val="000000" w:themeColor="text1"/>
          <w:sz w:val="20"/>
          <w:szCs w:val="20"/>
          <w:lang w:val="en-US" w:eastAsia="en-US"/>
        </w:rPr>
        <w:t xml:space="preserve">to efficiently allocate </w:t>
      </w:r>
      <w:r w:rsidR="00BC68EC" w:rsidRPr="00C8353A">
        <w:rPr>
          <w:rFonts w:ascii="Verdana" w:eastAsiaTheme="minorHAnsi" w:hAnsi="Verdana" w:cs="Times New Roman"/>
          <w:color w:val="000000" w:themeColor="text1"/>
          <w:sz w:val="20"/>
          <w:szCs w:val="20"/>
          <w:lang w:val="en-US" w:eastAsia="en-US"/>
        </w:rPr>
        <w:t>its</w:t>
      </w:r>
      <w:r w:rsidRPr="00C8353A">
        <w:rPr>
          <w:rFonts w:ascii="Verdana" w:eastAsiaTheme="minorHAnsi" w:hAnsi="Verdana" w:cs="Times New Roman"/>
          <w:color w:val="000000" w:themeColor="text1"/>
          <w:sz w:val="20"/>
          <w:szCs w:val="20"/>
          <w:lang w:val="en-US" w:eastAsia="en-US"/>
        </w:rPr>
        <w:t xml:space="preserve"> resources.</w:t>
      </w:r>
      <w:r w:rsidR="00F753C4" w:rsidRPr="00C8353A">
        <w:rPr>
          <w:rFonts w:ascii="Verdana" w:eastAsiaTheme="minorHAnsi" w:hAnsi="Verdana" w:cs="Times New Roman"/>
          <w:color w:val="000000" w:themeColor="text1"/>
          <w:sz w:val="20"/>
          <w:szCs w:val="20"/>
          <w:lang w:val="en-US" w:eastAsia="en-US"/>
        </w:rPr>
        <w:t xml:space="preserve"> </w:t>
      </w:r>
      <w:r w:rsidR="0030156B" w:rsidRPr="00C8353A">
        <w:rPr>
          <w:rFonts w:ascii="Verdana" w:eastAsiaTheme="minorHAnsi" w:hAnsi="Verdana" w:cs="Times New Roman"/>
          <w:color w:val="000000" w:themeColor="text1"/>
          <w:sz w:val="20"/>
          <w:szCs w:val="20"/>
          <w:lang w:val="en-US" w:eastAsia="en-US"/>
        </w:rPr>
        <w:t xml:space="preserve">On a national level, the </w:t>
      </w:r>
      <w:r w:rsidR="00AF7E0A" w:rsidRPr="00C8353A">
        <w:rPr>
          <w:rFonts w:ascii="Verdana" w:eastAsiaTheme="minorHAnsi" w:hAnsi="Verdana" w:cs="Times New Roman"/>
          <w:color w:val="000000" w:themeColor="text1"/>
          <w:sz w:val="20"/>
          <w:szCs w:val="20"/>
          <w:lang w:val="en-US" w:eastAsia="en-US"/>
        </w:rPr>
        <w:t>TCSP</w:t>
      </w:r>
      <w:r w:rsidR="00AB6571" w:rsidRPr="00C8353A">
        <w:rPr>
          <w:rFonts w:ascii="Verdana" w:eastAsiaTheme="minorHAnsi" w:hAnsi="Verdana" w:cs="Times New Roman"/>
          <w:color w:val="000000" w:themeColor="text1"/>
          <w:sz w:val="20"/>
          <w:szCs w:val="20"/>
          <w:lang w:val="en-US" w:eastAsia="en-US"/>
        </w:rPr>
        <w:t xml:space="preserve"> Sector Risk </w:t>
      </w:r>
      <w:r w:rsidR="00F42DFE" w:rsidRPr="00C8353A">
        <w:rPr>
          <w:rFonts w:ascii="Verdana" w:eastAsiaTheme="minorHAnsi" w:hAnsi="Verdana" w:cs="Times New Roman"/>
          <w:color w:val="000000" w:themeColor="text1"/>
          <w:sz w:val="20"/>
          <w:szCs w:val="20"/>
          <w:lang w:val="en-US" w:eastAsia="en-US"/>
        </w:rPr>
        <w:t>Assessment will</w:t>
      </w:r>
      <w:r w:rsidRPr="00C8353A">
        <w:rPr>
          <w:rFonts w:ascii="Verdana" w:eastAsiaTheme="minorHAnsi" w:hAnsi="Verdana" w:cs="Times New Roman"/>
          <w:color w:val="000000" w:themeColor="text1"/>
          <w:sz w:val="20"/>
          <w:szCs w:val="20"/>
          <w:lang w:val="en-US" w:eastAsia="en-US"/>
        </w:rPr>
        <w:t xml:space="preserve"> </w:t>
      </w:r>
      <w:r w:rsidR="007A1EDC" w:rsidRPr="00C8353A">
        <w:rPr>
          <w:rFonts w:ascii="Verdana" w:eastAsiaTheme="minorHAnsi" w:hAnsi="Verdana" w:cs="Times New Roman"/>
          <w:color w:val="000000" w:themeColor="text1"/>
          <w:sz w:val="20"/>
          <w:szCs w:val="20"/>
          <w:lang w:val="en-US" w:eastAsia="en-US"/>
        </w:rPr>
        <w:t>further enhance the Cayman Islands´</w:t>
      </w:r>
      <w:r w:rsidR="0030156B" w:rsidRPr="00C8353A">
        <w:rPr>
          <w:rFonts w:ascii="Verdana" w:eastAsiaTheme="minorHAnsi" w:hAnsi="Verdana" w:cs="Times New Roman"/>
          <w:color w:val="000000" w:themeColor="text1"/>
          <w:sz w:val="20"/>
          <w:szCs w:val="20"/>
          <w:lang w:val="en-US" w:eastAsia="en-US"/>
        </w:rPr>
        <w:t xml:space="preserve"> </w:t>
      </w:r>
      <w:r w:rsidR="007A1EDC" w:rsidRPr="00C8353A">
        <w:rPr>
          <w:rFonts w:ascii="Verdana" w:eastAsiaTheme="minorHAnsi" w:hAnsi="Verdana" w:cs="Times New Roman"/>
          <w:color w:val="000000" w:themeColor="text1"/>
          <w:sz w:val="20"/>
          <w:szCs w:val="20"/>
          <w:lang w:val="en-US" w:eastAsia="en-US"/>
        </w:rPr>
        <w:t>risk understanding</w:t>
      </w:r>
      <w:r w:rsidRPr="00C8353A">
        <w:rPr>
          <w:rFonts w:ascii="Verdana" w:eastAsiaTheme="minorHAnsi" w:hAnsi="Verdana" w:cs="Times New Roman"/>
          <w:color w:val="000000" w:themeColor="text1"/>
          <w:sz w:val="20"/>
          <w:szCs w:val="20"/>
          <w:lang w:val="en-US" w:eastAsia="en-US"/>
        </w:rPr>
        <w:t xml:space="preserve"> and inform and assist </w:t>
      </w:r>
      <w:r w:rsidR="00980D4E" w:rsidRPr="00C8353A">
        <w:rPr>
          <w:rFonts w:ascii="Verdana" w:eastAsiaTheme="minorHAnsi" w:hAnsi="Verdana" w:cs="Times New Roman"/>
          <w:color w:val="000000" w:themeColor="text1"/>
          <w:sz w:val="20"/>
          <w:szCs w:val="20"/>
          <w:lang w:val="en-US" w:eastAsia="en-US"/>
        </w:rPr>
        <w:t xml:space="preserve">policy making and supervision in the area of </w:t>
      </w:r>
      <w:r w:rsidR="00F42DFE" w:rsidRPr="00C8353A">
        <w:rPr>
          <w:rFonts w:ascii="Verdana" w:eastAsiaTheme="minorHAnsi" w:hAnsi="Verdana" w:cs="Times New Roman"/>
          <w:color w:val="000000" w:themeColor="text1"/>
          <w:sz w:val="20"/>
          <w:szCs w:val="20"/>
          <w:lang w:val="en-US" w:eastAsia="en-US"/>
        </w:rPr>
        <w:t>Anti-Money Laundering/Counter-Financing of Terrorism (“</w:t>
      </w:r>
      <w:r w:rsidRPr="00C8353A">
        <w:rPr>
          <w:rFonts w:ascii="Verdana" w:eastAsiaTheme="minorHAnsi" w:hAnsi="Verdana" w:cs="Times New Roman"/>
          <w:color w:val="000000" w:themeColor="text1"/>
          <w:sz w:val="20"/>
          <w:szCs w:val="20"/>
          <w:lang w:val="en-US" w:eastAsia="en-US"/>
        </w:rPr>
        <w:t>AML/CFT</w:t>
      </w:r>
      <w:r w:rsidR="00F42DFE" w:rsidRPr="00C8353A">
        <w:rPr>
          <w:rFonts w:ascii="Verdana" w:eastAsiaTheme="minorHAnsi" w:hAnsi="Verdana" w:cs="Times New Roman"/>
          <w:color w:val="000000" w:themeColor="text1"/>
          <w:sz w:val="20"/>
          <w:szCs w:val="20"/>
          <w:lang w:val="en-US" w:eastAsia="en-US"/>
        </w:rPr>
        <w:t>”)</w:t>
      </w:r>
      <w:r w:rsidRPr="00C8353A">
        <w:rPr>
          <w:rFonts w:ascii="Verdana" w:eastAsiaTheme="minorHAnsi" w:hAnsi="Verdana" w:cs="Times New Roman"/>
          <w:color w:val="000000" w:themeColor="text1"/>
          <w:sz w:val="20"/>
          <w:szCs w:val="20"/>
          <w:lang w:val="en-US" w:eastAsia="en-US"/>
        </w:rPr>
        <w:t xml:space="preserve">. </w:t>
      </w:r>
    </w:p>
    <w:p w14:paraId="1E86A3AA" w14:textId="096DABEA" w:rsidR="00EC5005" w:rsidRPr="00C8353A" w:rsidRDefault="00D8117F" w:rsidP="0075449E">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In addition to the data sources utilized for the 2017 Risk Assessment, </w:t>
      </w:r>
      <w:proofErr w:type="gramStart"/>
      <w:r w:rsidRPr="00C8353A">
        <w:rPr>
          <w:rFonts w:ascii="Verdana" w:eastAsiaTheme="minorHAnsi" w:hAnsi="Verdana" w:cs="Times New Roman"/>
          <w:color w:val="000000" w:themeColor="text1"/>
          <w:sz w:val="20"/>
          <w:szCs w:val="20"/>
          <w:lang w:val="en-US" w:eastAsia="en-US"/>
        </w:rPr>
        <w:t>a number of</w:t>
      </w:r>
      <w:proofErr w:type="gramEnd"/>
      <w:r w:rsidRPr="00C8353A">
        <w:rPr>
          <w:rFonts w:ascii="Verdana" w:eastAsiaTheme="minorHAnsi" w:hAnsi="Verdana" w:cs="Times New Roman"/>
          <w:color w:val="000000" w:themeColor="text1"/>
          <w:sz w:val="20"/>
          <w:szCs w:val="20"/>
          <w:lang w:val="en-US" w:eastAsia="en-US"/>
        </w:rPr>
        <w:t xml:space="preserve"> </w:t>
      </w:r>
      <w:r w:rsidR="00E117FC" w:rsidRPr="00C8353A">
        <w:rPr>
          <w:rFonts w:ascii="Verdana" w:eastAsiaTheme="minorHAnsi" w:hAnsi="Verdana" w:cs="Times New Roman"/>
          <w:color w:val="000000" w:themeColor="text1"/>
          <w:sz w:val="20"/>
          <w:szCs w:val="20"/>
          <w:lang w:val="en-US" w:eastAsia="en-US"/>
        </w:rPr>
        <w:t>key data points</w:t>
      </w:r>
      <w:r w:rsidRPr="00C8353A">
        <w:rPr>
          <w:rFonts w:ascii="Verdana" w:eastAsiaTheme="minorHAnsi" w:hAnsi="Verdana" w:cs="Times New Roman"/>
          <w:color w:val="000000" w:themeColor="text1"/>
          <w:sz w:val="20"/>
          <w:szCs w:val="20"/>
          <w:lang w:val="en-US" w:eastAsia="en-US"/>
        </w:rPr>
        <w:t xml:space="preserve"> have been </w:t>
      </w:r>
      <w:r w:rsidR="00980D4E" w:rsidRPr="00C8353A">
        <w:rPr>
          <w:rFonts w:ascii="Verdana" w:eastAsiaTheme="minorHAnsi" w:hAnsi="Verdana" w:cs="Times New Roman"/>
          <w:color w:val="000000" w:themeColor="text1"/>
          <w:sz w:val="20"/>
          <w:szCs w:val="20"/>
          <w:lang w:val="en-US" w:eastAsia="en-US"/>
        </w:rPr>
        <w:t>analyzed</w:t>
      </w:r>
      <w:r w:rsidRPr="00C8353A">
        <w:rPr>
          <w:rFonts w:ascii="Verdana" w:eastAsiaTheme="minorHAnsi" w:hAnsi="Verdana" w:cs="Times New Roman"/>
          <w:color w:val="000000" w:themeColor="text1"/>
          <w:sz w:val="20"/>
          <w:szCs w:val="20"/>
          <w:lang w:val="en-US" w:eastAsia="en-US"/>
        </w:rPr>
        <w:t xml:space="preserve"> </w:t>
      </w:r>
      <w:r w:rsidR="00980D4E" w:rsidRPr="00C8353A">
        <w:rPr>
          <w:rFonts w:ascii="Verdana" w:eastAsiaTheme="minorHAnsi" w:hAnsi="Verdana" w:cs="Times New Roman"/>
          <w:color w:val="000000" w:themeColor="text1"/>
          <w:sz w:val="20"/>
          <w:szCs w:val="20"/>
          <w:lang w:val="en-US" w:eastAsia="en-US"/>
        </w:rPr>
        <w:t xml:space="preserve">and taken into account </w:t>
      </w:r>
      <w:r w:rsidRPr="00C8353A">
        <w:rPr>
          <w:rFonts w:ascii="Verdana" w:eastAsiaTheme="minorHAnsi" w:hAnsi="Verdana" w:cs="Times New Roman"/>
          <w:color w:val="000000" w:themeColor="text1"/>
          <w:sz w:val="20"/>
          <w:szCs w:val="20"/>
          <w:lang w:val="en-US" w:eastAsia="en-US"/>
        </w:rPr>
        <w:t xml:space="preserve">to further strengthen the quantitative elements of </w:t>
      </w:r>
      <w:r w:rsidR="00EC5005" w:rsidRPr="00C8353A">
        <w:rPr>
          <w:rFonts w:ascii="Verdana" w:eastAsiaTheme="minorHAnsi" w:hAnsi="Verdana" w:cs="Times New Roman"/>
          <w:color w:val="000000" w:themeColor="text1"/>
          <w:sz w:val="20"/>
          <w:szCs w:val="20"/>
          <w:lang w:val="en-US" w:eastAsia="en-US"/>
        </w:rPr>
        <w:t xml:space="preserve">this </w:t>
      </w:r>
      <w:r w:rsidR="00AF7E0A" w:rsidRPr="00C8353A">
        <w:rPr>
          <w:rFonts w:ascii="Verdana" w:eastAsiaTheme="minorHAnsi" w:hAnsi="Verdana" w:cs="Times New Roman"/>
          <w:color w:val="000000" w:themeColor="text1"/>
          <w:sz w:val="20"/>
          <w:szCs w:val="20"/>
          <w:lang w:val="en-US" w:eastAsia="en-US"/>
        </w:rPr>
        <w:t>TCSP</w:t>
      </w:r>
      <w:r w:rsidR="00EC5005" w:rsidRPr="00C8353A">
        <w:rPr>
          <w:rFonts w:ascii="Verdana" w:eastAsiaTheme="minorHAnsi" w:hAnsi="Verdana" w:cs="Times New Roman"/>
          <w:color w:val="000000" w:themeColor="text1"/>
          <w:sz w:val="20"/>
          <w:szCs w:val="20"/>
          <w:lang w:val="en-US" w:eastAsia="en-US"/>
        </w:rPr>
        <w:t xml:space="preserve"> Sector Risk Assessment: </w:t>
      </w:r>
    </w:p>
    <w:p w14:paraId="2E41814F" w14:textId="634A0C2B" w:rsidR="00EC5005" w:rsidRPr="00C8353A" w:rsidRDefault="00EC5005" w:rsidP="0090487E">
      <w:pPr>
        <w:pStyle w:val="Heading2"/>
        <w:numPr>
          <w:ilvl w:val="0"/>
          <w:numId w:val="4"/>
        </w:numPr>
        <w:spacing w:before="0" w:after="0" w:line="276" w:lineRule="auto"/>
        <w:ind w:left="714" w:right="-6" w:hanging="357"/>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The National Risk Assessment</w:t>
      </w:r>
      <w:r w:rsidR="00A16B1B" w:rsidRPr="00C8353A">
        <w:rPr>
          <w:rFonts w:ascii="Verdana" w:eastAsiaTheme="minorHAnsi" w:hAnsi="Verdana" w:cs="Times New Roman"/>
          <w:color w:val="000000" w:themeColor="text1"/>
          <w:sz w:val="20"/>
          <w:szCs w:val="20"/>
          <w:lang w:val="en-US" w:eastAsia="en-US"/>
        </w:rPr>
        <w:t>;</w:t>
      </w:r>
      <w:r w:rsidRPr="00C8353A">
        <w:rPr>
          <w:rFonts w:ascii="Verdana" w:eastAsiaTheme="minorHAnsi" w:hAnsi="Verdana" w:cs="Times New Roman"/>
          <w:color w:val="000000" w:themeColor="text1"/>
          <w:sz w:val="20"/>
          <w:szCs w:val="20"/>
          <w:lang w:val="en-US" w:eastAsia="en-US"/>
        </w:rPr>
        <w:t xml:space="preserve"> </w:t>
      </w:r>
    </w:p>
    <w:p w14:paraId="05A90990" w14:textId="7E14C8CC" w:rsidR="00EC5005" w:rsidRPr="00C8353A" w:rsidRDefault="00392C3F" w:rsidP="0090487E">
      <w:pPr>
        <w:pStyle w:val="Heading2"/>
        <w:numPr>
          <w:ilvl w:val="0"/>
          <w:numId w:val="4"/>
        </w:numPr>
        <w:spacing w:before="0" w:after="0" w:line="276" w:lineRule="auto"/>
        <w:ind w:left="714" w:right="-6" w:hanging="357"/>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I</w:t>
      </w:r>
      <w:r w:rsidR="00EC5005" w:rsidRPr="00C8353A">
        <w:rPr>
          <w:rFonts w:ascii="Verdana" w:eastAsiaTheme="minorHAnsi" w:hAnsi="Verdana" w:cs="Times New Roman"/>
          <w:color w:val="000000" w:themeColor="text1"/>
          <w:sz w:val="20"/>
          <w:szCs w:val="20"/>
          <w:lang w:val="en-US" w:eastAsia="en-US"/>
        </w:rPr>
        <w:t>nternational guidance document</w:t>
      </w:r>
      <w:r w:rsidR="00A16B1B" w:rsidRPr="00C8353A">
        <w:rPr>
          <w:rFonts w:ascii="Verdana" w:eastAsiaTheme="minorHAnsi" w:hAnsi="Verdana" w:cs="Times New Roman"/>
          <w:color w:val="000000" w:themeColor="text1"/>
          <w:sz w:val="20"/>
          <w:szCs w:val="20"/>
          <w:lang w:val="en-US" w:eastAsia="en-US"/>
        </w:rPr>
        <w:t>s;</w:t>
      </w:r>
      <w:r w:rsidR="00EC5005" w:rsidRPr="00C8353A">
        <w:rPr>
          <w:rFonts w:ascii="Verdana" w:eastAsiaTheme="minorHAnsi" w:hAnsi="Verdana" w:cs="Times New Roman"/>
          <w:color w:val="000000" w:themeColor="text1"/>
          <w:sz w:val="20"/>
          <w:szCs w:val="20"/>
          <w:lang w:val="en-US" w:eastAsia="en-US"/>
        </w:rPr>
        <w:t xml:space="preserve"> </w:t>
      </w:r>
    </w:p>
    <w:p w14:paraId="0451B2DB" w14:textId="5DEBB677" w:rsidR="00EC5005" w:rsidRPr="00C8353A" w:rsidRDefault="00EC5005" w:rsidP="0090487E">
      <w:pPr>
        <w:pStyle w:val="Heading2"/>
        <w:numPr>
          <w:ilvl w:val="0"/>
          <w:numId w:val="4"/>
        </w:numPr>
        <w:spacing w:before="0" w:after="0" w:line="276" w:lineRule="auto"/>
        <w:ind w:left="714" w:right="-6" w:hanging="357"/>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Annual AML/CFT reporting </w:t>
      </w:r>
      <w:r w:rsidR="00812D41" w:rsidRPr="00C8353A">
        <w:rPr>
          <w:rFonts w:ascii="Verdana" w:eastAsiaTheme="minorHAnsi" w:hAnsi="Verdana" w:cs="Times New Roman"/>
          <w:color w:val="000000" w:themeColor="text1"/>
          <w:sz w:val="20"/>
          <w:szCs w:val="20"/>
          <w:lang w:val="en-US" w:eastAsia="en-US"/>
        </w:rPr>
        <w:t>data</w:t>
      </w:r>
      <w:r w:rsidR="00042D50" w:rsidRPr="00C8353A">
        <w:rPr>
          <w:rFonts w:ascii="Verdana" w:eastAsiaTheme="minorHAnsi" w:hAnsi="Verdana" w:cs="Times New Roman"/>
          <w:color w:val="000000" w:themeColor="text1"/>
          <w:sz w:val="20"/>
          <w:szCs w:val="20"/>
          <w:lang w:val="en-US" w:eastAsia="en-US"/>
        </w:rPr>
        <w:t xml:space="preserve"> from </w:t>
      </w:r>
      <w:r w:rsidR="00AF7E0A" w:rsidRPr="00C8353A">
        <w:rPr>
          <w:rFonts w:ascii="Verdana" w:eastAsiaTheme="minorHAnsi" w:hAnsi="Verdana" w:cs="Times New Roman"/>
          <w:color w:val="000000" w:themeColor="text1"/>
          <w:sz w:val="20"/>
          <w:szCs w:val="20"/>
          <w:lang w:val="en-US" w:eastAsia="en-US"/>
        </w:rPr>
        <w:t>TCSPS</w:t>
      </w:r>
      <w:r w:rsidR="00D8117F" w:rsidRPr="00C8353A">
        <w:rPr>
          <w:rFonts w:ascii="Verdana" w:eastAsiaTheme="minorHAnsi" w:hAnsi="Verdana" w:cs="Times New Roman"/>
          <w:color w:val="000000" w:themeColor="text1"/>
          <w:sz w:val="20"/>
          <w:szCs w:val="20"/>
          <w:lang w:val="en-US" w:eastAsia="en-US"/>
        </w:rPr>
        <w:t xml:space="preserve"> (more granular submissions)</w:t>
      </w:r>
      <w:r w:rsidR="00A16B1B" w:rsidRPr="00C8353A">
        <w:rPr>
          <w:rFonts w:ascii="Verdana" w:eastAsiaTheme="minorHAnsi" w:hAnsi="Verdana" w:cs="Times New Roman"/>
          <w:color w:val="000000" w:themeColor="text1"/>
          <w:sz w:val="20"/>
          <w:szCs w:val="20"/>
          <w:lang w:val="en-US" w:eastAsia="en-US"/>
        </w:rPr>
        <w:t>;</w:t>
      </w:r>
    </w:p>
    <w:p w14:paraId="4D473840" w14:textId="20897A40" w:rsidR="00EC5005" w:rsidRPr="00C8353A" w:rsidRDefault="00042D50" w:rsidP="0090487E">
      <w:pPr>
        <w:pStyle w:val="Heading2"/>
        <w:numPr>
          <w:ilvl w:val="0"/>
          <w:numId w:val="4"/>
        </w:numPr>
        <w:spacing w:before="0" w:after="0" w:line="276" w:lineRule="auto"/>
        <w:ind w:left="714" w:right="-6" w:hanging="357"/>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Supervisory judgment and expertise by </w:t>
      </w:r>
      <w:r w:rsidR="00EC5005" w:rsidRPr="00C8353A">
        <w:rPr>
          <w:rFonts w:ascii="Verdana" w:eastAsiaTheme="minorHAnsi" w:hAnsi="Verdana" w:cs="Times New Roman"/>
          <w:color w:val="000000" w:themeColor="text1"/>
          <w:sz w:val="20"/>
          <w:szCs w:val="20"/>
          <w:lang w:val="en-US" w:eastAsia="en-US"/>
        </w:rPr>
        <w:t xml:space="preserve">CIMA </w:t>
      </w:r>
      <w:r w:rsidRPr="00C8353A">
        <w:rPr>
          <w:rFonts w:ascii="Verdana" w:eastAsiaTheme="minorHAnsi" w:hAnsi="Verdana" w:cs="Times New Roman"/>
          <w:color w:val="000000" w:themeColor="text1"/>
          <w:sz w:val="20"/>
          <w:szCs w:val="20"/>
          <w:lang w:val="en-US" w:eastAsia="en-US"/>
        </w:rPr>
        <w:t>staff</w:t>
      </w:r>
      <w:r w:rsidR="00A16B1B" w:rsidRPr="00C8353A">
        <w:rPr>
          <w:rFonts w:ascii="Verdana" w:eastAsiaTheme="minorHAnsi" w:hAnsi="Verdana" w:cs="Times New Roman"/>
          <w:color w:val="000000" w:themeColor="text1"/>
          <w:sz w:val="20"/>
          <w:szCs w:val="20"/>
          <w:lang w:val="en-US" w:eastAsia="en-US"/>
        </w:rPr>
        <w:t>;</w:t>
      </w:r>
      <w:r w:rsidR="00EC5005" w:rsidRPr="00C8353A">
        <w:rPr>
          <w:rFonts w:ascii="Verdana" w:eastAsiaTheme="minorHAnsi" w:hAnsi="Verdana" w:cs="Times New Roman"/>
          <w:color w:val="000000" w:themeColor="text1"/>
          <w:sz w:val="20"/>
          <w:szCs w:val="20"/>
          <w:lang w:val="en-US" w:eastAsia="en-US"/>
        </w:rPr>
        <w:t xml:space="preserve"> </w:t>
      </w:r>
      <w:r w:rsidR="000942D3">
        <w:rPr>
          <w:rFonts w:ascii="Verdana" w:eastAsiaTheme="minorHAnsi" w:hAnsi="Verdana" w:cs="Times New Roman"/>
          <w:color w:val="000000" w:themeColor="text1"/>
          <w:sz w:val="20"/>
          <w:szCs w:val="20"/>
          <w:lang w:val="en-US" w:eastAsia="en-US"/>
        </w:rPr>
        <w:t>and</w:t>
      </w:r>
    </w:p>
    <w:p w14:paraId="6C734E10" w14:textId="4D2BC93A" w:rsidR="00EC5005" w:rsidRPr="00C8353A" w:rsidRDefault="00EC5005" w:rsidP="0090487E">
      <w:pPr>
        <w:pStyle w:val="Heading2"/>
        <w:numPr>
          <w:ilvl w:val="0"/>
          <w:numId w:val="4"/>
        </w:numPr>
        <w:spacing w:before="0" w:after="0" w:line="276" w:lineRule="auto"/>
        <w:ind w:left="714" w:right="-6" w:hanging="357"/>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Discussions with industry representatives and consultants</w:t>
      </w:r>
      <w:r w:rsidR="00A16B1B" w:rsidRPr="00C8353A">
        <w:rPr>
          <w:rFonts w:ascii="Verdana" w:eastAsiaTheme="minorHAnsi" w:hAnsi="Verdana" w:cs="Times New Roman"/>
          <w:color w:val="000000" w:themeColor="text1"/>
          <w:sz w:val="20"/>
          <w:szCs w:val="20"/>
          <w:lang w:val="en-US" w:eastAsia="en-US"/>
        </w:rPr>
        <w:t>.</w:t>
      </w:r>
      <w:r w:rsidRPr="00C8353A">
        <w:rPr>
          <w:rFonts w:ascii="Verdana" w:eastAsiaTheme="minorHAnsi" w:hAnsi="Verdana" w:cs="Times New Roman"/>
          <w:color w:val="000000" w:themeColor="text1"/>
          <w:sz w:val="20"/>
          <w:szCs w:val="20"/>
          <w:lang w:val="en-US" w:eastAsia="en-US"/>
        </w:rPr>
        <w:t xml:space="preserve"> </w:t>
      </w:r>
    </w:p>
    <w:p w14:paraId="64C56B83" w14:textId="77777777" w:rsidR="00F2342B" w:rsidRPr="00C8353A" w:rsidRDefault="00F2342B" w:rsidP="00F2342B">
      <w:pPr>
        <w:pStyle w:val="Heading2"/>
        <w:numPr>
          <w:ilvl w:val="0"/>
          <w:numId w:val="0"/>
        </w:numPr>
        <w:spacing w:before="0" w:after="0" w:line="276" w:lineRule="auto"/>
        <w:ind w:right="-6"/>
        <w:jc w:val="both"/>
        <w:rPr>
          <w:rFonts w:ascii="Verdana" w:eastAsiaTheme="minorHAnsi" w:hAnsi="Verdana" w:cs="Times New Roman"/>
          <w:color w:val="000000" w:themeColor="text1"/>
          <w:sz w:val="20"/>
          <w:szCs w:val="20"/>
          <w:lang w:val="en-US" w:eastAsia="en-US"/>
        </w:rPr>
      </w:pPr>
    </w:p>
    <w:p w14:paraId="06F21601" w14:textId="6621271F" w:rsidR="00F2342B" w:rsidRPr="00C8353A" w:rsidRDefault="00F2342B" w:rsidP="0075449E">
      <w:pPr>
        <w:pStyle w:val="Heading2"/>
        <w:numPr>
          <w:ilvl w:val="0"/>
          <w:numId w:val="3"/>
        </w:numPr>
        <w:spacing w:before="0" w:after="0" w:line="276" w:lineRule="auto"/>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The process is further guided by various international guidance papers such as the </w:t>
      </w:r>
      <w:r w:rsidRPr="00C8353A">
        <w:rPr>
          <w:rFonts w:ascii="Verdana" w:eastAsiaTheme="minorHAnsi" w:hAnsi="Verdana" w:cs="Times New Roman"/>
          <w:i/>
          <w:color w:val="000000" w:themeColor="text1"/>
          <w:sz w:val="20"/>
          <w:szCs w:val="20"/>
          <w:lang w:val="en-US" w:eastAsia="en-US"/>
        </w:rPr>
        <w:t>Guidance for a Risk-Based Approach for</w:t>
      </w:r>
      <w:r w:rsidR="003A74A8" w:rsidRPr="00C8353A">
        <w:rPr>
          <w:rFonts w:ascii="Verdana" w:eastAsiaTheme="minorHAnsi" w:hAnsi="Verdana" w:cs="Times New Roman"/>
          <w:i/>
          <w:color w:val="000000" w:themeColor="text1"/>
          <w:sz w:val="20"/>
          <w:szCs w:val="20"/>
          <w:lang w:val="en-US" w:eastAsia="en-US"/>
        </w:rPr>
        <w:t xml:space="preserve"> Trust and Company Service Providers</w:t>
      </w:r>
      <w:r w:rsidRPr="00C8353A">
        <w:rPr>
          <w:rFonts w:ascii="Verdana" w:eastAsiaTheme="minorHAnsi" w:hAnsi="Verdana" w:cs="Times New Roman"/>
          <w:color w:val="000000" w:themeColor="text1"/>
          <w:sz w:val="20"/>
          <w:szCs w:val="20"/>
          <w:lang w:val="en-US" w:eastAsia="en-US"/>
        </w:rPr>
        <w:t xml:space="preserve"> and the </w:t>
      </w:r>
      <w:r w:rsidRPr="00C8353A">
        <w:rPr>
          <w:rFonts w:ascii="Verdana" w:eastAsiaTheme="minorHAnsi" w:hAnsi="Verdana" w:cs="Times New Roman"/>
          <w:i/>
          <w:color w:val="000000" w:themeColor="text1"/>
          <w:sz w:val="20"/>
          <w:szCs w:val="20"/>
          <w:lang w:val="en-US" w:eastAsia="en-US"/>
        </w:rPr>
        <w:t>National Money Laundering and Terrorist Financing Risk Assessment</w:t>
      </w:r>
      <w:r w:rsidRPr="00C8353A">
        <w:rPr>
          <w:rStyle w:val="FootnoteReference"/>
          <w:rFonts w:ascii="Verdana" w:eastAsiaTheme="minorHAnsi" w:hAnsi="Verdana" w:cs="Times New Roman"/>
          <w:color w:val="000000" w:themeColor="text1"/>
          <w:sz w:val="20"/>
          <w:szCs w:val="20"/>
          <w:lang w:val="en-US" w:eastAsia="en-US"/>
        </w:rPr>
        <w:footnoteReference w:id="2"/>
      </w:r>
      <w:r w:rsidRPr="00C8353A">
        <w:rPr>
          <w:rFonts w:ascii="Verdana" w:eastAsiaTheme="minorHAnsi" w:hAnsi="Verdana" w:cs="Times New Roman"/>
          <w:color w:val="000000" w:themeColor="text1"/>
          <w:sz w:val="20"/>
          <w:szCs w:val="20"/>
          <w:lang w:val="en-US" w:eastAsia="en-US"/>
        </w:rPr>
        <w:t xml:space="preserve"> and takes into account both the supervisory judgment and expertise of CIMA staff and various guidance documents issued by CIMA.</w:t>
      </w:r>
      <w:r w:rsidRPr="00C8353A">
        <w:rPr>
          <w:rStyle w:val="FootnoteReference"/>
          <w:rFonts w:ascii="Verdana" w:eastAsiaTheme="minorHAnsi" w:hAnsi="Verdana" w:cs="Times New Roman"/>
          <w:color w:val="000000" w:themeColor="text1"/>
          <w:sz w:val="20"/>
          <w:szCs w:val="20"/>
          <w:lang w:val="en-US" w:eastAsia="en-US"/>
        </w:rPr>
        <w:footnoteReference w:id="3"/>
      </w:r>
    </w:p>
    <w:p w14:paraId="20E6ACCD" w14:textId="4C7FF476" w:rsidR="00E816F4" w:rsidRPr="00C8353A" w:rsidRDefault="00E816F4" w:rsidP="0075449E">
      <w:pPr>
        <w:pStyle w:val="Heading2"/>
        <w:numPr>
          <w:ilvl w:val="0"/>
          <w:numId w:val="0"/>
        </w:numPr>
        <w:spacing w:before="0" w:after="0" w:line="276" w:lineRule="auto"/>
        <w:ind w:left="1440"/>
        <w:jc w:val="both"/>
        <w:rPr>
          <w:rFonts w:ascii="Verdana" w:eastAsiaTheme="minorHAnsi" w:hAnsi="Verdana" w:cs="Times New Roman"/>
          <w:color w:val="000000" w:themeColor="text1"/>
          <w:sz w:val="20"/>
          <w:szCs w:val="20"/>
          <w:lang w:val="en-US" w:eastAsia="en-US"/>
        </w:rPr>
      </w:pPr>
    </w:p>
    <w:p w14:paraId="2262CAC6" w14:textId="77777777" w:rsidR="0075449E" w:rsidRDefault="005E789C" w:rsidP="0075449E">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The </w:t>
      </w:r>
      <w:r w:rsidR="003A74A8" w:rsidRPr="00C8353A">
        <w:rPr>
          <w:rFonts w:ascii="Verdana" w:eastAsiaTheme="minorHAnsi" w:hAnsi="Verdana" w:cs="Times New Roman"/>
          <w:color w:val="000000" w:themeColor="text1"/>
          <w:sz w:val="20"/>
          <w:szCs w:val="20"/>
          <w:lang w:val="en-US" w:eastAsia="en-US"/>
        </w:rPr>
        <w:t xml:space="preserve">TCSP </w:t>
      </w:r>
      <w:r w:rsidRPr="00C8353A">
        <w:rPr>
          <w:rFonts w:ascii="Verdana" w:eastAsiaTheme="minorHAnsi" w:hAnsi="Verdana" w:cs="Times New Roman"/>
          <w:color w:val="000000" w:themeColor="text1"/>
          <w:sz w:val="20"/>
          <w:szCs w:val="20"/>
          <w:lang w:val="en-US" w:eastAsia="en-US"/>
        </w:rPr>
        <w:t xml:space="preserve">Sector Risk Assessment is not intended to cover risks that may be specific to the circumstances of individual </w:t>
      </w:r>
      <w:r w:rsidR="00843AB5" w:rsidRPr="00C8353A">
        <w:rPr>
          <w:rFonts w:ascii="Verdana" w:eastAsiaTheme="minorHAnsi" w:hAnsi="Verdana" w:cs="Times New Roman"/>
          <w:color w:val="000000" w:themeColor="text1"/>
          <w:sz w:val="20"/>
          <w:szCs w:val="20"/>
          <w:lang w:val="en-US" w:eastAsia="en-US"/>
        </w:rPr>
        <w:t>entities</w:t>
      </w:r>
      <w:r w:rsidR="00A16B1B" w:rsidRPr="00C8353A">
        <w:rPr>
          <w:rFonts w:ascii="Verdana" w:eastAsiaTheme="minorHAnsi" w:hAnsi="Verdana" w:cs="Times New Roman"/>
          <w:color w:val="000000" w:themeColor="text1"/>
          <w:sz w:val="20"/>
          <w:szCs w:val="20"/>
          <w:lang w:val="en-US" w:eastAsia="en-US"/>
        </w:rPr>
        <w:t xml:space="preserve"> but evaluates risks from a </w:t>
      </w:r>
      <w:r w:rsidR="00737EEC" w:rsidRPr="00C8353A">
        <w:rPr>
          <w:rFonts w:ascii="Verdana" w:eastAsiaTheme="minorHAnsi" w:hAnsi="Verdana" w:cs="Times New Roman"/>
          <w:color w:val="000000" w:themeColor="text1"/>
          <w:sz w:val="20"/>
          <w:szCs w:val="20"/>
          <w:lang w:val="en-US" w:eastAsia="en-US"/>
        </w:rPr>
        <w:t xml:space="preserve">sectoral </w:t>
      </w:r>
      <w:r w:rsidR="00A16B1B" w:rsidRPr="00C8353A">
        <w:rPr>
          <w:rFonts w:ascii="Verdana" w:eastAsiaTheme="minorHAnsi" w:hAnsi="Verdana" w:cs="Times New Roman"/>
          <w:color w:val="000000" w:themeColor="text1"/>
          <w:sz w:val="20"/>
          <w:szCs w:val="20"/>
          <w:lang w:val="en-US" w:eastAsia="en-US"/>
        </w:rPr>
        <w:t>perspective</w:t>
      </w:r>
      <w:r w:rsidRPr="00C8353A">
        <w:rPr>
          <w:rFonts w:ascii="Verdana" w:eastAsiaTheme="minorHAnsi" w:hAnsi="Verdana" w:cs="Times New Roman"/>
          <w:color w:val="000000" w:themeColor="text1"/>
          <w:sz w:val="20"/>
          <w:szCs w:val="20"/>
          <w:lang w:val="en-US" w:eastAsia="en-US"/>
        </w:rPr>
        <w:t xml:space="preserve">. The </w:t>
      </w:r>
      <w:r w:rsidR="003A74A8" w:rsidRPr="00C8353A">
        <w:rPr>
          <w:rFonts w:ascii="Verdana" w:eastAsiaTheme="minorHAnsi" w:hAnsi="Verdana" w:cs="Times New Roman"/>
          <w:color w:val="000000" w:themeColor="text1"/>
          <w:sz w:val="20"/>
          <w:szCs w:val="20"/>
          <w:lang w:val="en-US" w:eastAsia="en-US"/>
        </w:rPr>
        <w:t>TCSP</w:t>
      </w:r>
      <w:r w:rsidR="00504254" w:rsidRPr="00C8353A">
        <w:rPr>
          <w:rFonts w:ascii="Verdana" w:eastAsiaTheme="minorHAnsi" w:hAnsi="Verdana" w:cs="Times New Roman"/>
          <w:color w:val="000000" w:themeColor="text1"/>
          <w:sz w:val="20"/>
          <w:szCs w:val="20"/>
          <w:lang w:val="en-US" w:eastAsia="en-US"/>
        </w:rPr>
        <w:t xml:space="preserve"> </w:t>
      </w:r>
      <w:r w:rsidRPr="00C8353A">
        <w:rPr>
          <w:rFonts w:ascii="Verdana" w:eastAsiaTheme="minorHAnsi" w:hAnsi="Verdana" w:cs="Times New Roman"/>
          <w:color w:val="000000" w:themeColor="text1"/>
          <w:sz w:val="20"/>
          <w:szCs w:val="20"/>
          <w:lang w:val="en-US" w:eastAsia="en-US"/>
        </w:rPr>
        <w:t xml:space="preserve">Sector Risk Assessment </w:t>
      </w:r>
      <w:r w:rsidR="00A16B1B" w:rsidRPr="00C8353A">
        <w:rPr>
          <w:rFonts w:ascii="Verdana" w:eastAsiaTheme="minorHAnsi" w:hAnsi="Verdana" w:cs="Times New Roman"/>
          <w:color w:val="000000" w:themeColor="text1"/>
          <w:sz w:val="20"/>
          <w:szCs w:val="20"/>
          <w:lang w:val="en-US" w:eastAsia="en-US"/>
        </w:rPr>
        <w:t xml:space="preserve">also does not assess any types of risks other than those </w:t>
      </w:r>
      <w:r w:rsidRPr="00C8353A">
        <w:rPr>
          <w:rFonts w:ascii="Verdana" w:eastAsiaTheme="minorHAnsi" w:hAnsi="Verdana" w:cs="Times New Roman"/>
          <w:color w:val="000000" w:themeColor="text1"/>
          <w:sz w:val="20"/>
          <w:szCs w:val="20"/>
          <w:lang w:val="en-US" w:eastAsia="en-US"/>
        </w:rPr>
        <w:t xml:space="preserve">relating to </w:t>
      </w:r>
      <w:r w:rsidR="00980D4E" w:rsidRPr="00C8353A">
        <w:rPr>
          <w:rFonts w:ascii="Verdana" w:eastAsiaTheme="minorHAnsi" w:hAnsi="Verdana" w:cs="Times New Roman"/>
          <w:color w:val="000000" w:themeColor="text1"/>
          <w:sz w:val="20"/>
          <w:szCs w:val="20"/>
          <w:lang w:val="en-US" w:eastAsia="en-US"/>
        </w:rPr>
        <w:t>ML or TF</w:t>
      </w:r>
      <w:r w:rsidRPr="00C8353A">
        <w:rPr>
          <w:rFonts w:ascii="Verdana" w:eastAsiaTheme="minorHAnsi" w:hAnsi="Verdana" w:cs="Times New Roman"/>
          <w:color w:val="000000" w:themeColor="text1"/>
          <w:sz w:val="20"/>
          <w:szCs w:val="20"/>
          <w:lang w:val="en-US" w:eastAsia="en-US"/>
        </w:rPr>
        <w:t>.</w:t>
      </w:r>
    </w:p>
    <w:p w14:paraId="3F2E0968" w14:textId="77777777" w:rsidR="00A55AC0" w:rsidRDefault="004775E0" w:rsidP="0075449E">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75449E">
        <w:rPr>
          <w:rFonts w:ascii="Verdana" w:eastAsiaTheme="minorHAnsi" w:hAnsi="Verdana" w:cs="Times New Roman"/>
          <w:color w:val="000000" w:themeColor="text1"/>
          <w:sz w:val="20"/>
          <w:szCs w:val="20"/>
          <w:lang w:val="en-US" w:eastAsia="en-US"/>
        </w:rPr>
        <w:t xml:space="preserve">The TCSP sectoral assessment is taken at a point in time and considers the </w:t>
      </w:r>
      <w:r w:rsidR="00E219B1" w:rsidRPr="0075449E">
        <w:rPr>
          <w:rFonts w:ascii="Verdana" w:eastAsiaTheme="minorHAnsi" w:hAnsi="Verdana" w:cs="Times New Roman"/>
          <w:color w:val="000000" w:themeColor="text1"/>
          <w:sz w:val="20"/>
          <w:szCs w:val="20"/>
          <w:lang w:val="en-US" w:eastAsia="en-US"/>
        </w:rPr>
        <w:t>existing activities of the entities falling under CIMA’s supervisory remit. However, given the evolving nature of ML/TF risk, the ML/TF risk assessment of inherent risk is an iterative process.</w:t>
      </w:r>
    </w:p>
    <w:p w14:paraId="7AAED596" w14:textId="77777777" w:rsidR="00A55AC0" w:rsidRDefault="00A55AC0" w:rsidP="00A55AC0">
      <w:pPr>
        <w:pStyle w:val="Heading2"/>
        <w:numPr>
          <w:ilvl w:val="0"/>
          <w:numId w:val="0"/>
        </w:numPr>
        <w:spacing w:line="276" w:lineRule="auto"/>
        <w:jc w:val="both"/>
        <w:rPr>
          <w:rFonts w:ascii="Verdana" w:eastAsiaTheme="minorHAnsi" w:hAnsi="Verdana" w:cs="Times New Roman"/>
          <w:color w:val="000000" w:themeColor="text1"/>
          <w:sz w:val="20"/>
          <w:szCs w:val="20"/>
          <w:lang w:val="en-US" w:eastAsia="en-US"/>
        </w:rPr>
      </w:pPr>
    </w:p>
    <w:p w14:paraId="4F08F6A2" w14:textId="642BAD93" w:rsidR="004775E0" w:rsidRPr="0075449E" w:rsidRDefault="00E219B1" w:rsidP="00A55AC0">
      <w:pPr>
        <w:pStyle w:val="Heading2"/>
        <w:numPr>
          <w:ilvl w:val="0"/>
          <w:numId w:val="0"/>
        </w:numPr>
        <w:spacing w:line="276" w:lineRule="auto"/>
        <w:jc w:val="both"/>
        <w:rPr>
          <w:rFonts w:ascii="Verdana" w:eastAsiaTheme="minorHAnsi" w:hAnsi="Verdana" w:cs="Times New Roman"/>
          <w:color w:val="000000" w:themeColor="text1"/>
          <w:sz w:val="20"/>
          <w:szCs w:val="20"/>
          <w:lang w:val="en-US" w:eastAsia="en-US"/>
        </w:rPr>
      </w:pPr>
      <w:r w:rsidRPr="0075449E">
        <w:rPr>
          <w:rFonts w:ascii="Verdana" w:eastAsiaTheme="minorHAnsi" w:hAnsi="Verdana" w:cs="Times New Roman"/>
          <w:color w:val="000000" w:themeColor="text1"/>
          <w:sz w:val="20"/>
          <w:szCs w:val="20"/>
          <w:lang w:val="en-US" w:eastAsia="en-US"/>
        </w:rPr>
        <w:t xml:space="preserve"> </w:t>
      </w:r>
    </w:p>
    <w:p w14:paraId="6B8B511F" w14:textId="77777777" w:rsidR="00FC307D" w:rsidRPr="00C8353A" w:rsidRDefault="00FC307D" w:rsidP="00C8353A">
      <w:pPr>
        <w:pStyle w:val="Heading2"/>
        <w:ind w:left="936"/>
        <w:rPr>
          <w:rFonts w:ascii="Verdana" w:hAnsi="Verdana"/>
          <w:b/>
          <w:bCs/>
          <w:sz w:val="24"/>
          <w:szCs w:val="24"/>
          <w:lang w:val="en-US"/>
        </w:rPr>
      </w:pPr>
      <w:r w:rsidRPr="00C8353A">
        <w:rPr>
          <w:rFonts w:ascii="Verdana" w:hAnsi="Verdana"/>
          <w:b/>
          <w:bCs/>
          <w:sz w:val="24"/>
          <w:szCs w:val="24"/>
          <w:lang w:val="en-US"/>
        </w:rPr>
        <w:t>Risk Assessment Methodology</w:t>
      </w:r>
    </w:p>
    <w:p w14:paraId="167D4CF1" w14:textId="77777777" w:rsidR="0075449E" w:rsidRDefault="00FC307D" w:rsidP="0075449E">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The </w:t>
      </w:r>
      <w:r w:rsidR="003A74A8" w:rsidRPr="00C8353A">
        <w:rPr>
          <w:rFonts w:ascii="Verdana" w:eastAsiaTheme="minorHAnsi" w:hAnsi="Verdana" w:cs="Times New Roman"/>
          <w:color w:val="000000" w:themeColor="text1"/>
          <w:sz w:val="20"/>
          <w:szCs w:val="20"/>
          <w:lang w:val="en-US" w:eastAsia="en-US"/>
        </w:rPr>
        <w:t>TCSP</w:t>
      </w:r>
      <w:r w:rsidRPr="00C8353A">
        <w:rPr>
          <w:rFonts w:ascii="Verdana" w:eastAsiaTheme="minorHAnsi" w:hAnsi="Verdana" w:cs="Times New Roman"/>
          <w:color w:val="000000" w:themeColor="text1"/>
          <w:sz w:val="20"/>
          <w:szCs w:val="20"/>
          <w:lang w:val="en-US" w:eastAsia="en-US"/>
        </w:rPr>
        <w:t xml:space="preserve"> Sector Risk Assessment examines the inherent ML/TF risks that the</w:t>
      </w:r>
      <w:r w:rsidR="00A16B1B" w:rsidRPr="00C8353A">
        <w:rPr>
          <w:rFonts w:ascii="Verdana" w:eastAsiaTheme="minorHAnsi" w:hAnsi="Verdana" w:cs="Times New Roman"/>
          <w:color w:val="000000" w:themeColor="text1"/>
          <w:sz w:val="20"/>
          <w:szCs w:val="20"/>
          <w:lang w:val="en-US" w:eastAsia="en-US"/>
        </w:rPr>
        <w:t xml:space="preserve"> Cayman Islands’</w:t>
      </w:r>
      <w:r w:rsidRPr="00C8353A">
        <w:rPr>
          <w:rFonts w:ascii="Verdana" w:eastAsiaTheme="minorHAnsi" w:hAnsi="Verdana" w:cs="Times New Roman"/>
          <w:color w:val="000000" w:themeColor="text1"/>
          <w:sz w:val="20"/>
          <w:szCs w:val="20"/>
          <w:lang w:val="en-US" w:eastAsia="en-US"/>
        </w:rPr>
        <w:t xml:space="preserve"> </w:t>
      </w:r>
      <w:r w:rsidR="003A74A8" w:rsidRPr="00C8353A">
        <w:rPr>
          <w:rFonts w:ascii="Verdana" w:eastAsiaTheme="minorHAnsi" w:hAnsi="Verdana" w:cs="Times New Roman"/>
          <w:color w:val="000000" w:themeColor="text1"/>
          <w:sz w:val="20"/>
          <w:szCs w:val="20"/>
          <w:lang w:val="en-US" w:eastAsia="en-US"/>
        </w:rPr>
        <w:t>TCSP</w:t>
      </w:r>
      <w:r w:rsidRPr="00C8353A">
        <w:rPr>
          <w:rFonts w:ascii="Verdana" w:eastAsiaTheme="minorHAnsi" w:hAnsi="Verdana" w:cs="Times New Roman"/>
          <w:color w:val="000000" w:themeColor="text1"/>
          <w:sz w:val="20"/>
          <w:szCs w:val="20"/>
          <w:lang w:val="en-US" w:eastAsia="en-US"/>
        </w:rPr>
        <w:t xml:space="preserve"> sector faces. Inherent risk is the risk that a </w:t>
      </w:r>
      <w:proofErr w:type="gramStart"/>
      <w:r w:rsidRPr="00C8353A">
        <w:rPr>
          <w:rFonts w:ascii="Verdana" w:eastAsiaTheme="minorHAnsi" w:hAnsi="Verdana" w:cs="Times New Roman"/>
          <w:color w:val="000000" w:themeColor="text1"/>
          <w:sz w:val="20"/>
          <w:szCs w:val="20"/>
          <w:lang w:val="en-US" w:eastAsia="en-US"/>
        </w:rPr>
        <w:t>particular product/service</w:t>
      </w:r>
      <w:proofErr w:type="gramEnd"/>
      <w:r w:rsidRPr="00C8353A">
        <w:rPr>
          <w:rFonts w:ascii="Verdana" w:eastAsiaTheme="minorHAnsi" w:hAnsi="Verdana" w:cs="Times New Roman"/>
          <w:color w:val="000000" w:themeColor="text1"/>
          <w:sz w:val="20"/>
          <w:szCs w:val="20"/>
          <w:lang w:val="en-US" w:eastAsia="en-US"/>
        </w:rPr>
        <w:t xml:space="preserve">, customer, delivery channel or activity poses, regardless of the </w:t>
      </w:r>
      <w:r w:rsidR="009F1563" w:rsidRPr="00C8353A">
        <w:rPr>
          <w:rFonts w:ascii="Verdana" w:eastAsiaTheme="minorHAnsi" w:hAnsi="Verdana" w:cs="Times New Roman"/>
          <w:color w:val="000000" w:themeColor="text1"/>
          <w:sz w:val="20"/>
          <w:szCs w:val="20"/>
          <w:lang w:val="en-US" w:eastAsia="en-US"/>
        </w:rPr>
        <w:t>TCSP</w:t>
      </w:r>
      <w:r w:rsidRPr="00C8353A">
        <w:rPr>
          <w:rFonts w:ascii="Verdana" w:eastAsiaTheme="minorHAnsi" w:hAnsi="Verdana" w:cs="Times New Roman"/>
          <w:color w:val="000000" w:themeColor="text1"/>
          <w:sz w:val="20"/>
          <w:szCs w:val="20"/>
          <w:lang w:val="en-US" w:eastAsia="en-US"/>
        </w:rPr>
        <w:t xml:space="preserve"> that offers it and </w:t>
      </w:r>
      <w:r w:rsidR="006D7588" w:rsidRPr="00C8353A">
        <w:rPr>
          <w:rFonts w:ascii="Verdana" w:eastAsiaTheme="minorHAnsi" w:hAnsi="Verdana" w:cs="Times New Roman"/>
          <w:color w:val="000000" w:themeColor="text1"/>
          <w:sz w:val="20"/>
          <w:szCs w:val="20"/>
          <w:lang w:val="en-US" w:eastAsia="en-US"/>
        </w:rPr>
        <w:t>a</w:t>
      </w:r>
      <w:r w:rsidRPr="00C8353A">
        <w:rPr>
          <w:rFonts w:ascii="Verdana" w:eastAsiaTheme="minorHAnsi" w:hAnsi="Verdana" w:cs="Times New Roman"/>
          <w:color w:val="000000" w:themeColor="text1"/>
          <w:sz w:val="20"/>
          <w:szCs w:val="20"/>
          <w:lang w:val="en-US" w:eastAsia="en-US"/>
        </w:rPr>
        <w:t xml:space="preserve">ny risk mitigating controls that may be in place. This approach allows for the creation of peer groups and for the </w:t>
      </w:r>
      <w:r w:rsidR="00F42DFE" w:rsidRPr="00C8353A">
        <w:rPr>
          <w:rFonts w:ascii="Verdana" w:eastAsiaTheme="minorHAnsi" w:hAnsi="Verdana" w:cs="Times New Roman"/>
          <w:color w:val="000000" w:themeColor="text1"/>
          <w:sz w:val="20"/>
          <w:szCs w:val="20"/>
          <w:lang w:val="en-US" w:eastAsia="en-US"/>
        </w:rPr>
        <w:t>benchmarking</w:t>
      </w:r>
      <w:r w:rsidRPr="00C8353A">
        <w:rPr>
          <w:rFonts w:ascii="Verdana" w:eastAsiaTheme="minorHAnsi" w:hAnsi="Verdana" w:cs="Times New Roman"/>
          <w:color w:val="000000" w:themeColor="text1"/>
          <w:sz w:val="20"/>
          <w:szCs w:val="20"/>
          <w:lang w:val="en-US" w:eastAsia="en-US"/>
        </w:rPr>
        <w:t xml:space="preserve"> of expected controls. The actual controls </w:t>
      </w:r>
      <w:r w:rsidR="00CB2BA9" w:rsidRPr="00C8353A">
        <w:rPr>
          <w:rFonts w:ascii="Verdana" w:eastAsiaTheme="minorHAnsi" w:hAnsi="Verdana" w:cs="Times New Roman"/>
          <w:color w:val="000000" w:themeColor="text1"/>
          <w:sz w:val="20"/>
          <w:szCs w:val="20"/>
          <w:lang w:val="en-US" w:eastAsia="en-US"/>
        </w:rPr>
        <w:t xml:space="preserve">in place </w:t>
      </w:r>
      <w:r w:rsidRPr="00C8353A">
        <w:rPr>
          <w:rFonts w:ascii="Verdana" w:eastAsiaTheme="minorHAnsi" w:hAnsi="Verdana" w:cs="Times New Roman"/>
          <w:color w:val="000000" w:themeColor="text1"/>
          <w:sz w:val="20"/>
          <w:szCs w:val="20"/>
          <w:lang w:val="en-US" w:eastAsia="en-US"/>
        </w:rPr>
        <w:t xml:space="preserve">will vary significantly from </w:t>
      </w:r>
      <w:r w:rsidR="009F1563" w:rsidRPr="00C8353A">
        <w:rPr>
          <w:rFonts w:ascii="Verdana" w:eastAsiaTheme="minorHAnsi" w:hAnsi="Verdana" w:cs="Times New Roman"/>
          <w:color w:val="000000" w:themeColor="text1"/>
          <w:sz w:val="20"/>
          <w:szCs w:val="20"/>
          <w:lang w:val="en-US" w:eastAsia="en-US"/>
        </w:rPr>
        <w:t>TCSP</w:t>
      </w:r>
      <w:r w:rsidRPr="00C8353A">
        <w:rPr>
          <w:rFonts w:ascii="Verdana" w:eastAsiaTheme="minorHAnsi" w:hAnsi="Verdana" w:cs="Times New Roman"/>
          <w:color w:val="000000" w:themeColor="text1"/>
          <w:sz w:val="20"/>
          <w:szCs w:val="20"/>
          <w:lang w:val="en-US" w:eastAsia="en-US"/>
        </w:rPr>
        <w:t xml:space="preserve"> to </w:t>
      </w:r>
      <w:r w:rsidR="009F1563" w:rsidRPr="00C8353A">
        <w:rPr>
          <w:rFonts w:ascii="Verdana" w:eastAsiaTheme="minorHAnsi" w:hAnsi="Verdana" w:cs="Times New Roman"/>
          <w:color w:val="000000" w:themeColor="text1"/>
          <w:sz w:val="20"/>
          <w:szCs w:val="20"/>
          <w:lang w:val="en-US" w:eastAsia="en-US"/>
        </w:rPr>
        <w:t>TCSP</w:t>
      </w:r>
      <w:r w:rsidRPr="00C8353A">
        <w:rPr>
          <w:rFonts w:ascii="Verdana" w:eastAsiaTheme="minorHAnsi" w:hAnsi="Verdana" w:cs="Times New Roman"/>
          <w:color w:val="000000" w:themeColor="text1"/>
          <w:sz w:val="20"/>
          <w:szCs w:val="20"/>
          <w:lang w:val="en-US" w:eastAsia="en-US"/>
        </w:rPr>
        <w:t xml:space="preserve"> and </w:t>
      </w:r>
      <w:r w:rsidR="00A16B1B" w:rsidRPr="00C8353A">
        <w:rPr>
          <w:rFonts w:ascii="Verdana" w:eastAsiaTheme="minorHAnsi" w:hAnsi="Verdana" w:cs="Times New Roman"/>
          <w:color w:val="000000" w:themeColor="text1"/>
          <w:sz w:val="20"/>
          <w:szCs w:val="20"/>
          <w:lang w:val="en-US" w:eastAsia="en-US"/>
        </w:rPr>
        <w:t>are</w:t>
      </w:r>
      <w:r w:rsidRPr="00C8353A">
        <w:rPr>
          <w:rFonts w:ascii="Verdana" w:eastAsiaTheme="minorHAnsi" w:hAnsi="Verdana" w:cs="Times New Roman"/>
          <w:color w:val="000000" w:themeColor="text1"/>
          <w:sz w:val="20"/>
          <w:szCs w:val="20"/>
          <w:lang w:val="en-US" w:eastAsia="en-US"/>
        </w:rPr>
        <w:t xml:space="preserve"> expected to be commensurate with the inherent risk that each </w:t>
      </w:r>
      <w:r w:rsidR="009F1563" w:rsidRPr="00C8353A">
        <w:rPr>
          <w:rFonts w:ascii="Verdana" w:eastAsiaTheme="minorHAnsi" w:hAnsi="Verdana" w:cs="Times New Roman"/>
          <w:color w:val="000000" w:themeColor="text1"/>
          <w:sz w:val="20"/>
          <w:szCs w:val="20"/>
          <w:lang w:val="en-US" w:eastAsia="en-US"/>
        </w:rPr>
        <w:t>TCSP</w:t>
      </w:r>
      <w:r w:rsidRPr="00C8353A">
        <w:rPr>
          <w:rFonts w:ascii="Verdana" w:eastAsiaTheme="minorHAnsi" w:hAnsi="Verdana" w:cs="Times New Roman"/>
          <w:color w:val="000000" w:themeColor="text1"/>
          <w:sz w:val="20"/>
          <w:szCs w:val="20"/>
          <w:lang w:val="en-US" w:eastAsia="en-US"/>
        </w:rPr>
        <w:t xml:space="preserve"> faces</w:t>
      </w:r>
      <w:r w:rsidR="007F0484" w:rsidRPr="00C8353A">
        <w:rPr>
          <w:rFonts w:ascii="Verdana" w:eastAsiaTheme="minorHAnsi" w:hAnsi="Verdana" w:cs="Times New Roman"/>
          <w:color w:val="000000" w:themeColor="text1"/>
          <w:sz w:val="20"/>
          <w:szCs w:val="20"/>
          <w:lang w:val="en-US" w:eastAsia="en-US"/>
        </w:rPr>
        <w:t xml:space="preserve">. </w:t>
      </w:r>
    </w:p>
    <w:p w14:paraId="47860460" w14:textId="145831DB" w:rsidR="00FC307D" w:rsidRPr="0075449E" w:rsidRDefault="00FC307D" w:rsidP="0075449E">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75449E">
        <w:rPr>
          <w:rFonts w:ascii="Verdana" w:eastAsiaTheme="minorHAnsi" w:hAnsi="Verdana" w:cs="Times New Roman"/>
          <w:color w:val="000000" w:themeColor="text1"/>
          <w:sz w:val="20"/>
          <w:szCs w:val="20"/>
          <w:lang w:val="en-US" w:eastAsia="en-US"/>
        </w:rPr>
        <w:t>Risk factors in the following categories are considered for purposes of this ML/TF risk assessment: </w:t>
      </w:r>
    </w:p>
    <w:p w14:paraId="7B62BB93" w14:textId="77777777" w:rsidR="00FC307D" w:rsidRPr="00C8353A" w:rsidRDefault="00FC307D" w:rsidP="0075449E">
      <w:pPr>
        <w:pStyle w:val="Heading2"/>
        <w:numPr>
          <w:ilvl w:val="0"/>
          <w:numId w:val="4"/>
        </w:numPr>
        <w:spacing w:before="0" w:after="0" w:line="276" w:lineRule="auto"/>
        <w:ind w:left="714"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Nature and size of the sector</w:t>
      </w:r>
    </w:p>
    <w:p w14:paraId="15C2FB67" w14:textId="77777777" w:rsidR="00FC307D" w:rsidRPr="00C8353A" w:rsidRDefault="00FC307D" w:rsidP="0075449E">
      <w:pPr>
        <w:pStyle w:val="Heading2"/>
        <w:numPr>
          <w:ilvl w:val="0"/>
          <w:numId w:val="4"/>
        </w:numPr>
        <w:spacing w:before="0" w:after="0" w:line="276" w:lineRule="auto"/>
        <w:ind w:left="714"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Types of customers</w:t>
      </w:r>
    </w:p>
    <w:p w14:paraId="743361C7" w14:textId="2DD9BC8A" w:rsidR="00FC307D" w:rsidRPr="00C8353A" w:rsidRDefault="00090E71" w:rsidP="0075449E">
      <w:pPr>
        <w:pStyle w:val="Heading2"/>
        <w:numPr>
          <w:ilvl w:val="0"/>
          <w:numId w:val="4"/>
        </w:numPr>
        <w:spacing w:before="0" w:after="0" w:line="276" w:lineRule="auto"/>
        <w:ind w:left="714"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P</w:t>
      </w:r>
      <w:r w:rsidR="00737EEC" w:rsidRPr="00C8353A">
        <w:rPr>
          <w:rFonts w:ascii="Verdana" w:eastAsiaTheme="minorHAnsi" w:hAnsi="Verdana" w:cs="Times New Roman"/>
          <w:color w:val="000000" w:themeColor="text1"/>
          <w:sz w:val="20"/>
          <w:szCs w:val="20"/>
          <w:lang w:val="en-US" w:eastAsia="en-US"/>
        </w:rPr>
        <w:t>roducts and services</w:t>
      </w:r>
    </w:p>
    <w:p w14:paraId="250F5B89" w14:textId="1D658ABB" w:rsidR="00FC307D" w:rsidRPr="00C8353A" w:rsidRDefault="00FC307D" w:rsidP="0075449E">
      <w:pPr>
        <w:pStyle w:val="Heading2"/>
        <w:numPr>
          <w:ilvl w:val="0"/>
          <w:numId w:val="4"/>
        </w:numPr>
        <w:spacing w:before="0" w:after="0" w:line="276" w:lineRule="auto"/>
        <w:ind w:left="714"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Delivery channels</w:t>
      </w:r>
    </w:p>
    <w:p w14:paraId="67D00BCE" w14:textId="07B95B05" w:rsidR="00F2342B" w:rsidRPr="00C8353A" w:rsidRDefault="00F2342B" w:rsidP="0075449E">
      <w:pPr>
        <w:pStyle w:val="Heading2"/>
        <w:numPr>
          <w:ilvl w:val="0"/>
          <w:numId w:val="0"/>
        </w:numPr>
        <w:spacing w:before="0" w:after="0" w:line="276" w:lineRule="auto"/>
        <w:jc w:val="both"/>
        <w:rPr>
          <w:rFonts w:ascii="Verdana" w:eastAsiaTheme="minorHAnsi" w:hAnsi="Verdana" w:cs="Times New Roman"/>
          <w:color w:val="000000" w:themeColor="text1"/>
          <w:sz w:val="20"/>
          <w:szCs w:val="20"/>
          <w:lang w:val="en-US" w:eastAsia="en-US"/>
        </w:rPr>
      </w:pPr>
    </w:p>
    <w:p w14:paraId="1CD4F843" w14:textId="6FA96B46" w:rsidR="00CB2BA9" w:rsidRPr="00C8353A" w:rsidRDefault="00FC307D" w:rsidP="0075449E">
      <w:pPr>
        <w:pStyle w:val="Heading2"/>
        <w:numPr>
          <w:ilvl w:val="0"/>
          <w:numId w:val="3"/>
        </w:numPr>
        <w:spacing w:before="0" w:after="0" w:line="276" w:lineRule="auto"/>
        <w:ind w:left="0" w:firstLine="0"/>
        <w:jc w:val="both"/>
        <w:rPr>
          <w:rFonts w:ascii="Verdana" w:eastAsiaTheme="minorHAnsi" w:hAnsi="Verdana"/>
          <w:color w:val="000000" w:themeColor="text1"/>
          <w:sz w:val="20"/>
          <w:szCs w:val="20"/>
          <w:lang w:eastAsia="en-US"/>
        </w:rPr>
      </w:pPr>
      <w:r w:rsidRPr="00C8353A">
        <w:rPr>
          <w:rFonts w:ascii="Verdana" w:eastAsiaTheme="minorHAnsi" w:hAnsi="Verdana"/>
          <w:color w:val="000000" w:themeColor="text1"/>
          <w:sz w:val="20"/>
          <w:szCs w:val="20"/>
          <w:lang w:eastAsia="en-US"/>
        </w:rPr>
        <w:t>For each of the</w:t>
      </w:r>
      <w:r w:rsidR="00A16B1B" w:rsidRPr="00C8353A">
        <w:rPr>
          <w:rFonts w:ascii="Verdana" w:eastAsiaTheme="minorHAnsi" w:hAnsi="Verdana"/>
          <w:color w:val="000000" w:themeColor="text1"/>
          <w:sz w:val="20"/>
          <w:szCs w:val="20"/>
          <w:lang w:eastAsia="en-US"/>
        </w:rPr>
        <w:t xml:space="preserve"> listed </w:t>
      </w:r>
      <w:r w:rsidRPr="00C8353A">
        <w:rPr>
          <w:rFonts w:ascii="Verdana" w:eastAsiaTheme="minorHAnsi" w:hAnsi="Verdana"/>
          <w:color w:val="000000" w:themeColor="text1"/>
          <w:sz w:val="20"/>
          <w:szCs w:val="20"/>
          <w:lang w:eastAsia="en-US"/>
        </w:rPr>
        <w:t xml:space="preserve">risk </w:t>
      </w:r>
      <w:r w:rsidR="00A16B1B" w:rsidRPr="00C8353A">
        <w:rPr>
          <w:rFonts w:ascii="Verdana" w:eastAsiaTheme="minorHAnsi" w:hAnsi="Verdana"/>
          <w:color w:val="000000" w:themeColor="text1"/>
          <w:sz w:val="20"/>
          <w:szCs w:val="20"/>
          <w:lang w:eastAsia="en-US"/>
        </w:rPr>
        <w:t>categories</w:t>
      </w:r>
      <w:r w:rsidRPr="00C8353A">
        <w:rPr>
          <w:rFonts w:ascii="Verdana" w:eastAsiaTheme="minorHAnsi" w:hAnsi="Verdana"/>
          <w:color w:val="000000" w:themeColor="text1"/>
          <w:sz w:val="20"/>
          <w:szCs w:val="20"/>
          <w:lang w:eastAsia="en-US"/>
        </w:rPr>
        <w:t xml:space="preserve">, </w:t>
      </w:r>
      <w:r w:rsidR="00A16B1B" w:rsidRPr="00C8353A">
        <w:rPr>
          <w:rFonts w:ascii="Verdana" w:eastAsiaTheme="minorHAnsi" w:hAnsi="Verdana"/>
          <w:color w:val="000000" w:themeColor="text1"/>
          <w:sz w:val="20"/>
          <w:szCs w:val="20"/>
          <w:lang w:eastAsia="en-US"/>
        </w:rPr>
        <w:t xml:space="preserve">risk </w:t>
      </w:r>
      <w:r w:rsidRPr="00C8353A">
        <w:rPr>
          <w:rFonts w:ascii="Verdana" w:eastAsiaTheme="minorHAnsi" w:hAnsi="Verdana"/>
          <w:color w:val="000000" w:themeColor="text1"/>
          <w:sz w:val="20"/>
          <w:szCs w:val="20"/>
          <w:lang w:eastAsia="en-US"/>
        </w:rPr>
        <w:t xml:space="preserve">increasing and decreasing </w:t>
      </w:r>
      <w:r w:rsidR="00A16B1B" w:rsidRPr="00C8353A">
        <w:rPr>
          <w:rFonts w:ascii="Verdana" w:eastAsiaTheme="minorHAnsi" w:hAnsi="Verdana"/>
          <w:color w:val="000000" w:themeColor="text1"/>
          <w:sz w:val="20"/>
          <w:szCs w:val="20"/>
          <w:lang w:eastAsia="en-US"/>
        </w:rPr>
        <w:t>factors are</w:t>
      </w:r>
      <w:r w:rsidR="001C37C6" w:rsidRPr="00C8353A">
        <w:rPr>
          <w:rFonts w:ascii="Verdana" w:eastAsiaTheme="minorHAnsi" w:hAnsi="Verdana"/>
          <w:color w:val="000000" w:themeColor="text1"/>
          <w:sz w:val="20"/>
          <w:szCs w:val="20"/>
          <w:lang w:eastAsia="en-US"/>
        </w:rPr>
        <w:t xml:space="preserve"> </w:t>
      </w:r>
      <w:r w:rsidRPr="00C8353A">
        <w:rPr>
          <w:rFonts w:ascii="Verdana" w:eastAsiaTheme="minorHAnsi" w:hAnsi="Verdana"/>
          <w:color w:val="000000" w:themeColor="text1"/>
          <w:sz w:val="20"/>
          <w:szCs w:val="20"/>
          <w:lang w:eastAsia="en-US"/>
        </w:rPr>
        <w:t xml:space="preserve">listed in the below table </w:t>
      </w:r>
      <w:r w:rsidR="00A16B1B" w:rsidRPr="00C8353A">
        <w:rPr>
          <w:rFonts w:ascii="Verdana" w:eastAsiaTheme="minorHAnsi" w:hAnsi="Verdana"/>
          <w:color w:val="000000" w:themeColor="text1"/>
          <w:sz w:val="20"/>
          <w:szCs w:val="20"/>
          <w:lang w:eastAsia="en-US"/>
        </w:rPr>
        <w:t xml:space="preserve">and </w:t>
      </w:r>
      <w:r w:rsidRPr="00C8353A">
        <w:rPr>
          <w:rFonts w:ascii="Verdana" w:eastAsiaTheme="minorHAnsi" w:hAnsi="Verdana"/>
          <w:color w:val="000000" w:themeColor="text1"/>
          <w:sz w:val="20"/>
          <w:szCs w:val="20"/>
          <w:lang w:eastAsia="en-US"/>
        </w:rPr>
        <w:t xml:space="preserve">help guide the assessment of inherent ML/TF risks. </w:t>
      </w:r>
    </w:p>
    <w:p w14:paraId="18542113" w14:textId="75AA416D" w:rsidR="00530419" w:rsidRDefault="00530419">
      <w:pPr>
        <w:rPr>
          <w:rFonts w:ascii="Verdana" w:hAnsi="Verdana" w:cs="Times New Roman"/>
          <w:color w:val="000000" w:themeColor="text1"/>
          <w:sz w:val="20"/>
          <w:szCs w:val="20"/>
          <w:lang w:val="en-US"/>
        </w:rPr>
      </w:pPr>
      <w:r>
        <w:rPr>
          <w:rFonts w:ascii="Verdana" w:hAnsi="Verdana" w:cs="Times New Roman"/>
          <w:color w:val="000000" w:themeColor="text1"/>
          <w:sz w:val="20"/>
          <w:szCs w:val="20"/>
          <w:lang w:val="en-US"/>
        </w:rPr>
        <w:br w:type="page"/>
      </w:r>
    </w:p>
    <w:p w14:paraId="1F9CD967" w14:textId="77777777" w:rsidR="00FC307D" w:rsidRPr="00C8353A" w:rsidRDefault="00FC307D" w:rsidP="00C369A8">
      <w:pPr>
        <w:pStyle w:val="Heading2"/>
        <w:numPr>
          <w:ilvl w:val="0"/>
          <w:numId w:val="0"/>
        </w:numPr>
        <w:spacing w:before="0" w:after="0" w:line="276" w:lineRule="auto"/>
        <w:ind w:right="-6"/>
        <w:jc w:val="both"/>
        <w:rPr>
          <w:rFonts w:ascii="Verdana" w:eastAsiaTheme="minorHAnsi" w:hAnsi="Verdana" w:cs="Times New Roman"/>
          <w:color w:val="000000" w:themeColor="text1"/>
          <w:sz w:val="20"/>
          <w:szCs w:val="20"/>
          <w:lang w:val="en-US" w:eastAsia="en-US"/>
        </w:rPr>
      </w:pPr>
    </w:p>
    <w:tbl>
      <w:tblPr>
        <w:tblStyle w:val="TableGrid"/>
        <w:tblW w:w="0" w:type="auto"/>
        <w:tblLook w:val="04A0" w:firstRow="1" w:lastRow="0" w:firstColumn="1" w:lastColumn="0" w:noHBand="0" w:noVBand="1"/>
      </w:tblPr>
      <w:tblGrid>
        <w:gridCol w:w="2830"/>
        <w:gridCol w:w="3176"/>
        <w:gridCol w:w="3004"/>
      </w:tblGrid>
      <w:tr w:rsidR="00FC307D" w:rsidRPr="00C8353A" w14:paraId="5BA90E54" w14:textId="77777777" w:rsidTr="00850590">
        <w:tc>
          <w:tcPr>
            <w:tcW w:w="2830" w:type="dxa"/>
          </w:tcPr>
          <w:p w14:paraId="6E858DCC" w14:textId="77777777" w:rsidR="00FC307D" w:rsidRPr="00C8353A" w:rsidRDefault="00FC307D" w:rsidP="00850590">
            <w:pPr>
              <w:pStyle w:val="NormalWeb"/>
              <w:jc w:val="both"/>
              <w:rPr>
                <w:rFonts w:ascii="Verdana" w:hAnsi="Verdana"/>
                <w:color w:val="191919"/>
                <w:sz w:val="20"/>
                <w:szCs w:val="20"/>
              </w:rPr>
            </w:pPr>
            <w:r w:rsidRPr="00C8353A">
              <w:rPr>
                <w:rFonts w:ascii="Verdana" w:hAnsi="Verdana"/>
                <w:color w:val="191919"/>
                <w:sz w:val="20"/>
                <w:szCs w:val="20"/>
              </w:rPr>
              <w:t>Risk factor</w:t>
            </w:r>
          </w:p>
        </w:tc>
        <w:tc>
          <w:tcPr>
            <w:tcW w:w="3176" w:type="dxa"/>
          </w:tcPr>
          <w:p w14:paraId="149DB848" w14:textId="77777777" w:rsidR="00FC307D" w:rsidRPr="00C8353A" w:rsidRDefault="00FC307D" w:rsidP="00850590">
            <w:pPr>
              <w:pStyle w:val="NormalWeb"/>
              <w:jc w:val="both"/>
              <w:rPr>
                <w:rFonts w:ascii="Verdana" w:hAnsi="Verdana"/>
                <w:color w:val="191919"/>
                <w:sz w:val="20"/>
                <w:szCs w:val="20"/>
              </w:rPr>
            </w:pPr>
            <w:r w:rsidRPr="00C8353A">
              <w:rPr>
                <w:rFonts w:ascii="Verdana" w:hAnsi="Verdana"/>
                <w:color w:val="191919"/>
                <w:sz w:val="20"/>
                <w:szCs w:val="20"/>
              </w:rPr>
              <w:t>Risk increasing aspects</w:t>
            </w:r>
          </w:p>
        </w:tc>
        <w:tc>
          <w:tcPr>
            <w:tcW w:w="3004" w:type="dxa"/>
          </w:tcPr>
          <w:p w14:paraId="01B36EAA" w14:textId="77777777" w:rsidR="00FC307D" w:rsidRPr="00C8353A" w:rsidRDefault="00FC307D" w:rsidP="00850590">
            <w:pPr>
              <w:pStyle w:val="NormalWeb"/>
              <w:jc w:val="both"/>
              <w:rPr>
                <w:rFonts w:ascii="Verdana" w:hAnsi="Verdana"/>
                <w:sz w:val="20"/>
                <w:szCs w:val="20"/>
              </w:rPr>
            </w:pPr>
            <w:r w:rsidRPr="00C8353A">
              <w:rPr>
                <w:rFonts w:ascii="Verdana" w:hAnsi="Verdana"/>
                <w:sz w:val="20"/>
                <w:szCs w:val="20"/>
              </w:rPr>
              <w:t>Risk decreasing aspects</w:t>
            </w:r>
          </w:p>
        </w:tc>
      </w:tr>
      <w:tr w:rsidR="009F1563" w:rsidRPr="00C8353A" w14:paraId="72378686" w14:textId="77777777" w:rsidTr="009F1563">
        <w:trPr>
          <w:trHeight w:val="770"/>
        </w:trPr>
        <w:tc>
          <w:tcPr>
            <w:tcW w:w="2830" w:type="dxa"/>
          </w:tcPr>
          <w:p w14:paraId="7F978A8D" w14:textId="49F73D23" w:rsidR="009F1563" w:rsidRPr="00C8353A" w:rsidRDefault="009F1563" w:rsidP="009F1563">
            <w:pPr>
              <w:pStyle w:val="NormalWeb"/>
              <w:jc w:val="both"/>
              <w:rPr>
                <w:rFonts w:ascii="Verdana" w:hAnsi="Verdana"/>
                <w:color w:val="191919"/>
                <w:sz w:val="20"/>
                <w:szCs w:val="20"/>
              </w:rPr>
            </w:pPr>
            <w:r w:rsidRPr="00C8353A">
              <w:rPr>
                <w:rFonts w:ascii="Verdana" w:hAnsi="Verdana"/>
                <w:color w:val="191919"/>
                <w:sz w:val="20"/>
                <w:szCs w:val="20"/>
              </w:rPr>
              <w:t xml:space="preserve">Nature and size of the sector </w:t>
            </w:r>
          </w:p>
        </w:tc>
        <w:tc>
          <w:tcPr>
            <w:tcW w:w="3176" w:type="dxa"/>
          </w:tcPr>
          <w:p w14:paraId="6842A28D" w14:textId="1522C297" w:rsidR="001E08FC" w:rsidRPr="00C8353A" w:rsidRDefault="001E08FC"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No physical presence</w:t>
            </w:r>
          </w:p>
          <w:p w14:paraId="1598BC93" w14:textId="77777777" w:rsidR="001E08FC" w:rsidRPr="00C8353A" w:rsidRDefault="001E08FC"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Complexity of group structure</w:t>
            </w:r>
          </w:p>
          <w:p w14:paraId="7DDD3C1E" w14:textId="581C88CA" w:rsidR="001E08FC" w:rsidRPr="00C8353A" w:rsidRDefault="001E08FC"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Parent in high-risk jurisdiction</w:t>
            </w:r>
          </w:p>
          <w:p w14:paraId="02DC918B" w14:textId="22B7BD13"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Non-Cayman</w:t>
            </w:r>
          </w:p>
          <w:p w14:paraId="6C68898C"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 xml:space="preserve">Non-regulated businesses </w:t>
            </w:r>
          </w:p>
          <w:p w14:paraId="18F430AB" w14:textId="7F2AADDF"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 xml:space="preserve">Acceptance of physical cash </w:t>
            </w:r>
          </w:p>
        </w:tc>
        <w:tc>
          <w:tcPr>
            <w:tcW w:w="3004" w:type="dxa"/>
          </w:tcPr>
          <w:p w14:paraId="419E3112"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 xml:space="preserve">Only Cayman originating business (local) </w:t>
            </w:r>
          </w:p>
          <w:p w14:paraId="5BF57287" w14:textId="1A8F0B12"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Only regulated business</w:t>
            </w:r>
          </w:p>
        </w:tc>
      </w:tr>
      <w:tr w:rsidR="009F1563" w:rsidRPr="00C8353A" w14:paraId="001BDE37" w14:textId="77777777" w:rsidTr="009F1563">
        <w:trPr>
          <w:trHeight w:val="455"/>
        </w:trPr>
        <w:tc>
          <w:tcPr>
            <w:tcW w:w="2830" w:type="dxa"/>
          </w:tcPr>
          <w:p w14:paraId="5730A895" w14:textId="031227D3" w:rsidR="009F1563" w:rsidRPr="00C8353A" w:rsidRDefault="009F1563" w:rsidP="009F1563">
            <w:pPr>
              <w:pStyle w:val="NormalWeb"/>
              <w:jc w:val="both"/>
              <w:rPr>
                <w:rFonts w:ascii="Verdana" w:hAnsi="Verdana"/>
                <w:color w:val="009149"/>
                <w:position w:val="-6"/>
                <w:sz w:val="20"/>
                <w:szCs w:val="20"/>
              </w:rPr>
            </w:pPr>
            <w:r w:rsidRPr="00C8353A">
              <w:rPr>
                <w:rFonts w:ascii="Verdana" w:hAnsi="Verdana"/>
                <w:color w:val="191919"/>
                <w:position w:val="-6"/>
                <w:sz w:val="20"/>
                <w:szCs w:val="20"/>
              </w:rPr>
              <w:t xml:space="preserve">Types of Customers </w:t>
            </w:r>
          </w:p>
        </w:tc>
        <w:tc>
          <w:tcPr>
            <w:tcW w:w="3176" w:type="dxa"/>
          </w:tcPr>
          <w:p w14:paraId="2AA85F60"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 xml:space="preserve">PEPs </w:t>
            </w:r>
          </w:p>
          <w:p w14:paraId="0139FE96"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 xml:space="preserve">Cash intensive </w:t>
            </w:r>
          </w:p>
          <w:p w14:paraId="2823A5DC" w14:textId="43747F37" w:rsidR="009F1563" w:rsidRPr="00C8353A" w:rsidRDefault="009F1563" w:rsidP="00A95BEC">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 xml:space="preserve">NGOs, charities </w:t>
            </w:r>
          </w:p>
          <w:p w14:paraId="714B9ABE"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High risk industries</w:t>
            </w:r>
          </w:p>
          <w:p w14:paraId="575F117B" w14:textId="029326F4" w:rsidR="001E08FC" w:rsidRPr="00C8353A" w:rsidRDefault="001E08FC"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H</w:t>
            </w:r>
            <w:r w:rsidR="00A95BEC" w:rsidRPr="00C8353A">
              <w:rPr>
                <w:rFonts w:ascii="Verdana" w:eastAsia="Times New Roman" w:hAnsi="Verdana" w:cs="Times New Roman"/>
                <w:sz w:val="20"/>
                <w:szCs w:val="20"/>
                <w:lang w:val="en-US" w:eastAsia="en-GB"/>
              </w:rPr>
              <w:t>igh Ne</w:t>
            </w:r>
            <w:r w:rsidR="00E62FD4" w:rsidRPr="00C8353A">
              <w:rPr>
                <w:rFonts w:ascii="Verdana" w:eastAsia="Times New Roman" w:hAnsi="Verdana" w:cs="Times New Roman"/>
                <w:sz w:val="20"/>
                <w:szCs w:val="20"/>
                <w:lang w:val="en-US" w:eastAsia="en-GB"/>
              </w:rPr>
              <w:t>t</w:t>
            </w:r>
            <w:r w:rsidR="00A95BEC" w:rsidRPr="00C8353A">
              <w:rPr>
                <w:rFonts w:ascii="Verdana" w:eastAsia="Times New Roman" w:hAnsi="Verdana" w:cs="Times New Roman"/>
                <w:sz w:val="20"/>
                <w:szCs w:val="20"/>
                <w:lang w:val="en-US" w:eastAsia="en-GB"/>
              </w:rPr>
              <w:t xml:space="preserve"> Worth individuals </w:t>
            </w:r>
          </w:p>
          <w:p w14:paraId="694A020F" w14:textId="1D6573EA" w:rsidR="001E08FC" w:rsidRPr="00C8353A" w:rsidRDefault="001E08FC"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 xml:space="preserve">Complex corporate </w:t>
            </w:r>
            <w:r w:rsidR="00E62FD4" w:rsidRPr="00C8353A">
              <w:rPr>
                <w:rFonts w:ascii="Verdana" w:eastAsia="Times New Roman" w:hAnsi="Verdana" w:cs="Times New Roman"/>
                <w:sz w:val="20"/>
                <w:szCs w:val="20"/>
                <w:lang w:val="en-US" w:eastAsia="en-GB"/>
              </w:rPr>
              <w:t>structures</w:t>
            </w:r>
          </w:p>
          <w:p w14:paraId="2B92A140" w14:textId="2F27637E" w:rsidR="001E08FC" w:rsidRPr="00C8353A" w:rsidRDefault="001E08FC"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 xml:space="preserve">Hedge funds, SPVS, </w:t>
            </w:r>
            <w:proofErr w:type="spellStart"/>
            <w:r w:rsidRPr="00C8353A">
              <w:rPr>
                <w:rFonts w:ascii="Verdana" w:eastAsia="Times New Roman" w:hAnsi="Verdana" w:cs="Times New Roman"/>
                <w:sz w:val="20"/>
                <w:szCs w:val="20"/>
                <w:lang w:val="en-US" w:eastAsia="en-GB"/>
              </w:rPr>
              <w:t>etc</w:t>
            </w:r>
            <w:proofErr w:type="spellEnd"/>
          </w:p>
          <w:p w14:paraId="3340E121" w14:textId="77777777" w:rsidR="001E08FC" w:rsidRPr="00C8353A" w:rsidRDefault="001E08FC" w:rsidP="001E08FC">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 xml:space="preserve">Customers based in/controlled or owned by persons based in high-risk jurisdictions </w:t>
            </w:r>
          </w:p>
          <w:p w14:paraId="79BC6848" w14:textId="5B097066" w:rsidR="001E08FC" w:rsidRPr="00C8353A" w:rsidRDefault="001E08FC" w:rsidP="001E08FC">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Large overseas customer base</w:t>
            </w:r>
          </w:p>
        </w:tc>
        <w:tc>
          <w:tcPr>
            <w:tcW w:w="3004" w:type="dxa"/>
          </w:tcPr>
          <w:p w14:paraId="41236476"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Only dealing with own group</w:t>
            </w:r>
          </w:p>
          <w:p w14:paraId="26D6A6F9"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Government clients</w:t>
            </w:r>
          </w:p>
          <w:p w14:paraId="18E0B8BD" w14:textId="089EE102" w:rsidR="001E08FC" w:rsidRPr="00C8353A" w:rsidRDefault="001E08FC"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sz w:val="20"/>
                <w:szCs w:val="20"/>
                <w:lang w:val="en-US" w:eastAsia="en-GB"/>
              </w:rPr>
            </w:pPr>
            <w:r w:rsidRPr="00C8353A">
              <w:rPr>
                <w:rFonts w:ascii="Verdana" w:eastAsia="Times New Roman" w:hAnsi="Verdana" w:cs="Times New Roman"/>
                <w:sz w:val="20"/>
                <w:szCs w:val="20"/>
                <w:lang w:val="en-US" w:eastAsia="en-GB"/>
              </w:rPr>
              <w:t xml:space="preserve">Single customer </w:t>
            </w:r>
          </w:p>
        </w:tc>
      </w:tr>
      <w:tr w:rsidR="009F1563" w:rsidRPr="00C8353A" w14:paraId="29DD0C63" w14:textId="77777777" w:rsidTr="00850590">
        <w:tc>
          <w:tcPr>
            <w:tcW w:w="2830" w:type="dxa"/>
          </w:tcPr>
          <w:p w14:paraId="48289642" w14:textId="0F20AA07" w:rsidR="009F1563" w:rsidRPr="00C8353A" w:rsidRDefault="009F1563" w:rsidP="009F1563">
            <w:pPr>
              <w:pStyle w:val="NormalWeb"/>
              <w:jc w:val="both"/>
              <w:rPr>
                <w:rFonts w:ascii="Verdana" w:hAnsi="Verdana"/>
                <w:color w:val="191919"/>
                <w:sz w:val="20"/>
                <w:szCs w:val="20"/>
              </w:rPr>
            </w:pPr>
            <w:r w:rsidRPr="00C8353A">
              <w:rPr>
                <w:rFonts w:ascii="Verdana" w:hAnsi="Verdana"/>
                <w:color w:val="191919"/>
                <w:sz w:val="20"/>
                <w:szCs w:val="20"/>
              </w:rPr>
              <w:t xml:space="preserve">Transactions, products and services </w:t>
            </w:r>
          </w:p>
        </w:tc>
        <w:tc>
          <w:tcPr>
            <w:tcW w:w="3176" w:type="dxa"/>
          </w:tcPr>
          <w:p w14:paraId="26D3826B" w14:textId="7640FCD2"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 xml:space="preserve">Trusteeships </w:t>
            </w:r>
          </w:p>
          <w:p w14:paraId="4B95DC2C"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Provision of registered offices</w:t>
            </w:r>
          </w:p>
          <w:p w14:paraId="4DAC0F87"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Investment manager</w:t>
            </w:r>
          </w:p>
          <w:p w14:paraId="38690A25"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 xml:space="preserve">Allowing nominee companies to settle trusts </w:t>
            </w:r>
          </w:p>
          <w:p w14:paraId="1BD7CF17"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 xml:space="preserve">Allowing clients to control accounts </w:t>
            </w:r>
          </w:p>
          <w:p w14:paraId="5F391445" w14:textId="76EF337F"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Nondiscretionary trust</w:t>
            </w:r>
          </w:p>
        </w:tc>
        <w:tc>
          <w:tcPr>
            <w:tcW w:w="3004" w:type="dxa"/>
          </w:tcPr>
          <w:p w14:paraId="50CCC25D"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Directorships</w:t>
            </w:r>
          </w:p>
          <w:p w14:paraId="2B9CFAD0"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Investment advice</w:t>
            </w:r>
          </w:p>
          <w:p w14:paraId="6B795C76" w14:textId="404ECC9D"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 xml:space="preserve">Discretionary trust </w:t>
            </w:r>
          </w:p>
        </w:tc>
      </w:tr>
      <w:tr w:rsidR="009F1563" w:rsidRPr="00C8353A" w14:paraId="72824F1B" w14:textId="77777777" w:rsidTr="00850590">
        <w:tc>
          <w:tcPr>
            <w:tcW w:w="2830" w:type="dxa"/>
          </w:tcPr>
          <w:p w14:paraId="2030ECA3" w14:textId="38D36B5F" w:rsidR="009F1563" w:rsidRPr="00C8353A" w:rsidRDefault="009F1563" w:rsidP="009F1563">
            <w:pPr>
              <w:pStyle w:val="NormalWeb"/>
              <w:jc w:val="both"/>
              <w:rPr>
                <w:rFonts w:ascii="Verdana" w:hAnsi="Verdana"/>
                <w:color w:val="191919"/>
                <w:sz w:val="20"/>
                <w:szCs w:val="20"/>
              </w:rPr>
            </w:pPr>
            <w:r w:rsidRPr="00C8353A">
              <w:rPr>
                <w:rFonts w:ascii="Verdana" w:hAnsi="Verdana"/>
                <w:color w:val="191919"/>
                <w:position w:val="-6"/>
                <w:sz w:val="20"/>
                <w:szCs w:val="20"/>
              </w:rPr>
              <w:t xml:space="preserve">Delivery channels </w:t>
            </w:r>
          </w:p>
        </w:tc>
        <w:tc>
          <w:tcPr>
            <w:tcW w:w="3176" w:type="dxa"/>
          </w:tcPr>
          <w:p w14:paraId="52346E7A"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 xml:space="preserve">Non-face to face business </w:t>
            </w:r>
          </w:p>
          <w:p w14:paraId="0FDF523F" w14:textId="77777777"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 xml:space="preserve">Eligible introducers </w:t>
            </w:r>
          </w:p>
          <w:p w14:paraId="0F80DA61" w14:textId="05630093"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Online platforms</w:t>
            </w:r>
          </w:p>
        </w:tc>
        <w:tc>
          <w:tcPr>
            <w:tcW w:w="3004" w:type="dxa"/>
          </w:tcPr>
          <w:p w14:paraId="5D4671A2" w14:textId="3A00277D" w:rsidR="009F1563" w:rsidRPr="00C8353A" w:rsidRDefault="009F1563" w:rsidP="009F1563">
            <w:pPr>
              <w:pStyle w:val="ListParagraph"/>
              <w:numPr>
                <w:ilvl w:val="0"/>
                <w:numId w:val="2"/>
              </w:numPr>
              <w:spacing w:before="100" w:beforeAutospacing="1" w:after="100" w:afterAutospacing="1"/>
              <w:ind w:left="144" w:hanging="142"/>
              <w:jc w:val="both"/>
              <w:rPr>
                <w:rFonts w:ascii="Verdana" w:eastAsia="Times New Roman" w:hAnsi="Verdana" w:cs="Times New Roman"/>
                <w:color w:val="191919"/>
                <w:sz w:val="20"/>
                <w:szCs w:val="20"/>
                <w:lang w:val="en-US" w:eastAsia="en-GB"/>
              </w:rPr>
            </w:pPr>
            <w:r w:rsidRPr="00C8353A">
              <w:rPr>
                <w:rFonts w:ascii="Verdana" w:eastAsia="Times New Roman" w:hAnsi="Verdana" w:cs="Times New Roman"/>
                <w:color w:val="191919"/>
                <w:sz w:val="20"/>
                <w:szCs w:val="20"/>
                <w:lang w:val="en-US" w:eastAsia="en-GB"/>
              </w:rPr>
              <w:t>Face-to-face onboarding</w:t>
            </w:r>
          </w:p>
        </w:tc>
      </w:tr>
    </w:tbl>
    <w:p w14:paraId="01822428" w14:textId="77777777" w:rsidR="00E816F4" w:rsidRPr="00C8353A" w:rsidRDefault="00E816F4" w:rsidP="00E816F4">
      <w:pPr>
        <w:pStyle w:val="Heading2"/>
        <w:numPr>
          <w:ilvl w:val="0"/>
          <w:numId w:val="0"/>
        </w:numPr>
        <w:spacing w:before="0" w:after="0" w:line="276" w:lineRule="auto"/>
        <w:ind w:right="-6"/>
        <w:jc w:val="both"/>
        <w:rPr>
          <w:rFonts w:ascii="Verdana" w:eastAsiaTheme="minorHAnsi" w:hAnsi="Verdana" w:cs="Times New Roman"/>
          <w:color w:val="000000" w:themeColor="text1"/>
          <w:sz w:val="20"/>
          <w:szCs w:val="20"/>
          <w:lang w:val="en-US" w:eastAsia="en-US"/>
        </w:rPr>
      </w:pPr>
    </w:p>
    <w:p w14:paraId="1D5DF503" w14:textId="7287EE56" w:rsidR="00F2342B" w:rsidRPr="00C8353A" w:rsidRDefault="00F2342B" w:rsidP="0075449E">
      <w:pPr>
        <w:pStyle w:val="Heading2"/>
        <w:numPr>
          <w:ilvl w:val="0"/>
          <w:numId w:val="3"/>
        </w:numPr>
        <w:spacing w:before="0" w:after="0"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Geographical risk factors are considered in the context of each of the above categories as </w:t>
      </w:r>
      <w:r w:rsidRPr="00C8353A">
        <w:rPr>
          <w:rFonts w:ascii="Verdana" w:eastAsiaTheme="minorHAnsi" w:hAnsi="Verdana"/>
          <w:color w:val="000000" w:themeColor="text1"/>
          <w:sz w:val="20"/>
          <w:szCs w:val="20"/>
          <w:lang w:eastAsia="en-US"/>
        </w:rPr>
        <w:t>geography is an overarching dimension of each risk category. To allow for a structured analysis of available data according to geographic exposure, it was necessary to define the term “high risk jurisdiction.” Countries with weak or insufficient AML/CFT measures present a higher ML/TF risk as do countries associated with high degrees of bribery and corruption, tax evasion, terrorism, conflict zones and organized crime. Countries focused on for purposes of this analysis were therefore those on the FATF list of high-risk and other monitored jurisdictions,</w:t>
      </w:r>
      <w:r w:rsidRPr="00C8353A">
        <w:rPr>
          <w:rFonts w:ascii="Verdana" w:eastAsiaTheme="minorHAnsi" w:hAnsi="Verdana"/>
          <w:sz w:val="20"/>
          <w:szCs w:val="20"/>
          <w:vertAlign w:val="superscript"/>
        </w:rPr>
        <w:footnoteReference w:id="4"/>
      </w:r>
      <w:r w:rsidRPr="00C8353A">
        <w:rPr>
          <w:rFonts w:ascii="Verdana" w:eastAsiaTheme="minorHAnsi" w:hAnsi="Verdana"/>
          <w:color w:val="000000" w:themeColor="text1"/>
          <w:sz w:val="20"/>
          <w:szCs w:val="20"/>
          <w:lang w:eastAsia="en-US"/>
        </w:rPr>
        <w:t xml:space="preserve"> countries against which the United Nations has imposed sanctions</w:t>
      </w:r>
      <w:r w:rsidRPr="00C8353A">
        <w:rPr>
          <w:rFonts w:ascii="Verdana" w:eastAsiaTheme="minorHAnsi" w:hAnsi="Verdana"/>
          <w:sz w:val="20"/>
          <w:szCs w:val="20"/>
          <w:vertAlign w:val="superscript"/>
        </w:rPr>
        <w:footnoteReference w:id="5"/>
      </w:r>
      <w:r w:rsidRPr="00C8353A">
        <w:rPr>
          <w:rFonts w:ascii="Verdana" w:eastAsiaTheme="minorHAnsi" w:hAnsi="Verdana"/>
          <w:color w:val="000000" w:themeColor="text1"/>
          <w:sz w:val="20"/>
          <w:szCs w:val="20"/>
          <w:lang w:eastAsia="en-US"/>
        </w:rPr>
        <w:t>, and the first 20 countries on the Basel AML Index issued by the Basel Institute on Governance</w:t>
      </w:r>
      <w:r w:rsidRPr="00C8353A">
        <w:rPr>
          <w:rFonts w:ascii="Verdana" w:eastAsiaTheme="minorHAnsi" w:hAnsi="Verdana"/>
          <w:sz w:val="20"/>
          <w:szCs w:val="20"/>
          <w:vertAlign w:val="superscript"/>
        </w:rPr>
        <w:footnoteReference w:id="6"/>
      </w:r>
      <w:r w:rsidRPr="00C8353A">
        <w:rPr>
          <w:rFonts w:ascii="Verdana" w:eastAsiaTheme="minorHAnsi" w:hAnsi="Verdana"/>
          <w:color w:val="000000" w:themeColor="text1"/>
          <w:sz w:val="20"/>
          <w:szCs w:val="20"/>
          <w:lang w:eastAsia="en-US"/>
        </w:rPr>
        <w:t>.</w:t>
      </w:r>
    </w:p>
    <w:p w14:paraId="214BC2C2" w14:textId="62AB47D1" w:rsidR="00E816F4" w:rsidRPr="00C8353A" w:rsidRDefault="00FC307D" w:rsidP="0075449E">
      <w:pPr>
        <w:pStyle w:val="Heading2"/>
        <w:numPr>
          <w:ilvl w:val="0"/>
          <w:numId w:val="3"/>
        </w:numPr>
        <w:spacing w:line="276" w:lineRule="auto"/>
        <w:ind w:left="0" w:firstLine="0"/>
        <w:jc w:val="both"/>
        <w:rPr>
          <w:rFonts w:ascii="Verdana" w:hAnsi="Verdana"/>
          <w:color w:val="000000" w:themeColor="text1"/>
          <w:sz w:val="20"/>
          <w:szCs w:val="20"/>
        </w:rPr>
      </w:pPr>
      <w:r w:rsidRPr="00C8353A">
        <w:rPr>
          <w:rFonts w:ascii="Verdana" w:eastAsiaTheme="minorHAnsi" w:hAnsi="Verdana" w:cs="Times New Roman"/>
          <w:color w:val="000000" w:themeColor="text1"/>
          <w:sz w:val="20"/>
          <w:szCs w:val="20"/>
          <w:lang w:val="en-US" w:eastAsia="en-US"/>
        </w:rPr>
        <w:t xml:space="preserve">Per the abovementioned risk factors, each subsector of the </w:t>
      </w:r>
      <w:r w:rsidR="00C12D9A" w:rsidRPr="00C8353A">
        <w:rPr>
          <w:rFonts w:ascii="Verdana" w:eastAsiaTheme="minorHAnsi" w:hAnsi="Verdana" w:cs="Times New Roman"/>
          <w:color w:val="000000" w:themeColor="text1"/>
          <w:sz w:val="20"/>
          <w:szCs w:val="20"/>
          <w:lang w:val="en-US" w:eastAsia="en-US"/>
        </w:rPr>
        <w:t>TCSP</w:t>
      </w:r>
      <w:r w:rsidRPr="00C8353A">
        <w:rPr>
          <w:rFonts w:ascii="Verdana" w:eastAsiaTheme="minorHAnsi" w:hAnsi="Verdana" w:cs="Times New Roman"/>
          <w:color w:val="000000" w:themeColor="text1"/>
          <w:sz w:val="20"/>
          <w:szCs w:val="20"/>
          <w:lang w:val="en-US" w:eastAsia="en-US"/>
        </w:rPr>
        <w:t xml:space="preserve"> sector has been given one of the four risk ratings </w:t>
      </w:r>
      <w:r w:rsidRPr="00C8353A">
        <w:rPr>
          <w:rFonts w:ascii="Verdana" w:eastAsiaTheme="minorHAnsi" w:hAnsi="Verdana" w:cs="Times New Roman"/>
          <w:b/>
          <w:i/>
          <w:color w:val="000000" w:themeColor="text1"/>
          <w:sz w:val="20"/>
          <w:szCs w:val="20"/>
          <w:lang w:val="en-US" w:eastAsia="en-US"/>
        </w:rPr>
        <w:t>low, medium-low, medium-high, high</w:t>
      </w:r>
      <w:r w:rsidRPr="00C8353A">
        <w:rPr>
          <w:rFonts w:ascii="Verdana" w:eastAsiaTheme="minorHAnsi" w:hAnsi="Verdana" w:cs="Times New Roman"/>
          <w:color w:val="000000" w:themeColor="text1"/>
          <w:sz w:val="20"/>
          <w:szCs w:val="20"/>
          <w:lang w:val="en-US" w:eastAsia="en-US"/>
        </w:rPr>
        <w:t xml:space="preserve">. This approach is in line with the </w:t>
      </w:r>
      <w:r w:rsidR="00A16B1B" w:rsidRPr="00C8353A">
        <w:rPr>
          <w:rFonts w:ascii="Verdana" w:eastAsiaTheme="minorHAnsi" w:hAnsi="Verdana" w:cs="Times New Roman"/>
          <w:color w:val="000000" w:themeColor="text1"/>
          <w:sz w:val="20"/>
          <w:szCs w:val="20"/>
          <w:lang w:val="en-US" w:eastAsia="en-US"/>
        </w:rPr>
        <w:t>CIMA</w:t>
      </w:r>
      <w:r w:rsidRPr="00C8353A">
        <w:rPr>
          <w:rFonts w:ascii="Verdana" w:eastAsiaTheme="minorHAnsi" w:hAnsi="Verdana" w:cs="Times New Roman"/>
          <w:color w:val="000000" w:themeColor="text1"/>
          <w:sz w:val="20"/>
          <w:szCs w:val="20"/>
          <w:lang w:val="en-US" w:eastAsia="en-US"/>
        </w:rPr>
        <w:t xml:space="preserve"> 2017 AML/CFT Sector Specific Risk Assessments. </w:t>
      </w:r>
    </w:p>
    <w:p w14:paraId="5FEF0D77" w14:textId="3C067835" w:rsidR="00E816F4" w:rsidRDefault="00E816F4" w:rsidP="00E816F4">
      <w:pPr>
        <w:pStyle w:val="Heading2"/>
        <w:numPr>
          <w:ilvl w:val="0"/>
          <w:numId w:val="0"/>
        </w:numPr>
        <w:spacing w:line="276" w:lineRule="auto"/>
        <w:ind w:left="360" w:right="-6"/>
        <w:jc w:val="both"/>
        <w:rPr>
          <w:rFonts w:ascii="Verdana" w:hAnsi="Verdana"/>
          <w:color w:val="000000" w:themeColor="text1"/>
          <w:sz w:val="20"/>
          <w:szCs w:val="20"/>
        </w:rPr>
      </w:pPr>
    </w:p>
    <w:p w14:paraId="5F3E63FE" w14:textId="77777777" w:rsidR="00A55AC0" w:rsidRPr="00C8353A" w:rsidRDefault="00A55AC0" w:rsidP="00E816F4">
      <w:pPr>
        <w:pStyle w:val="Heading2"/>
        <w:numPr>
          <w:ilvl w:val="0"/>
          <w:numId w:val="0"/>
        </w:numPr>
        <w:spacing w:line="276" w:lineRule="auto"/>
        <w:ind w:left="360" w:right="-6"/>
        <w:jc w:val="both"/>
        <w:rPr>
          <w:rFonts w:ascii="Verdana" w:hAnsi="Verdana"/>
          <w:color w:val="000000" w:themeColor="text1"/>
          <w:sz w:val="20"/>
          <w:szCs w:val="20"/>
        </w:rPr>
      </w:pPr>
    </w:p>
    <w:p w14:paraId="1D3E9C04" w14:textId="2B3C47F5" w:rsidR="009E354B" w:rsidRPr="000D24F3" w:rsidRDefault="009E354B" w:rsidP="000D24F3">
      <w:pPr>
        <w:pStyle w:val="Heading2"/>
        <w:ind w:left="936"/>
        <w:rPr>
          <w:rFonts w:ascii="Verdana" w:hAnsi="Verdana"/>
          <w:b/>
          <w:bCs/>
          <w:sz w:val="24"/>
          <w:szCs w:val="24"/>
          <w:lang w:val="en-US"/>
        </w:rPr>
      </w:pPr>
      <w:r w:rsidRPr="000D24F3">
        <w:rPr>
          <w:rFonts w:ascii="Verdana" w:hAnsi="Verdana"/>
          <w:b/>
          <w:bCs/>
          <w:sz w:val="24"/>
          <w:szCs w:val="24"/>
          <w:lang w:val="en-US"/>
        </w:rPr>
        <w:t xml:space="preserve">Description of </w:t>
      </w:r>
      <w:r w:rsidR="004F5203" w:rsidRPr="000D24F3">
        <w:rPr>
          <w:rFonts w:ascii="Verdana" w:hAnsi="Verdana"/>
          <w:b/>
          <w:bCs/>
          <w:sz w:val="24"/>
          <w:szCs w:val="24"/>
          <w:lang w:val="en-US"/>
        </w:rPr>
        <w:t xml:space="preserve">the </w:t>
      </w:r>
      <w:r w:rsidR="00C12D9A" w:rsidRPr="000D24F3">
        <w:rPr>
          <w:rFonts w:ascii="Verdana" w:hAnsi="Verdana"/>
          <w:b/>
          <w:bCs/>
          <w:sz w:val="24"/>
          <w:szCs w:val="24"/>
          <w:lang w:val="en-US"/>
        </w:rPr>
        <w:t>TCSP</w:t>
      </w:r>
      <w:r w:rsidRPr="000D24F3">
        <w:rPr>
          <w:rFonts w:ascii="Verdana" w:hAnsi="Verdana"/>
          <w:b/>
          <w:bCs/>
          <w:sz w:val="24"/>
          <w:szCs w:val="24"/>
          <w:lang w:val="en-US"/>
        </w:rPr>
        <w:t xml:space="preserve"> </w:t>
      </w:r>
      <w:r w:rsidR="004F5203" w:rsidRPr="000D24F3">
        <w:rPr>
          <w:rFonts w:ascii="Verdana" w:hAnsi="Verdana"/>
          <w:b/>
          <w:bCs/>
          <w:sz w:val="24"/>
          <w:szCs w:val="24"/>
          <w:lang w:val="en-US"/>
        </w:rPr>
        <w:t>Sector</w:t>
      </w:r>
    </w:p>
    <w:p w14:paraId="76A41F09" w14:textId="3AD25A20" w:rsidR="007818E5" w:rsidRPr="00C8353A" w:rsidRDefault="007818E5" w:rsidP="00A42C7B">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TCSPs </w:t>
      </w:r>
      <w:proofErr w:type="gramStart"/>
      <w:r w:rsidRPr="00C8353A">
        <w:rPr>
          <w:rFonts w:ascii="Verdana" w:eastAsiaTheme="minorHAnsi" w:hAnsi="Verdana" w:cs="Times New Roman"/>
          <w:color w:val="000000" w:themeColor="text1"/>
          <w:sz w:val="20"/>
          <w:szCs w:val="20"/>
          <w:lang w:val="en-US" w:eastAsia="en-US"/>
        </w:rPr>
        <w:t>provide assistance</w:t>
      </w:r>
      <w:proofErr w:type="gramEnd"/>
      <w:r w:rsidRPr="00C8353A">
        <w:rPr>
          <w:rFonts w:ascii="Verdana" w:eastAsiaTheme="minorHAnsi" w:hAnsi="Verdana" w:cs="Times New Roman"/>
          <w:color w:val="000000" w:themeColor="text1"/>
          <w:sz w:val="20"/>
          <w:szCs w:val="20"/>
          <w:lang w:val="en-US" w:eastAsia="en-US"/>
        </w:rPr>
        <w:t xml:space="preserve"> in the management of their </w:t>
      </w:r>
      <w:r w:rsidR="00D64649">
        <w:rPr>
          <w:rFonts w:ascii="Verdana" w:eastAsiaTheme="minorHAnsi" w:hAnsi="Verdana" w:cs="Times New Roman"/>
          <w:color w:val="000000" w:themeColor="text1"/>
          <w:sz w:val="20"/>
          <w:szCs w:val="20"/>
          <w:lang w:val="en-US" w:eastAsia="en-US"/>
        </w:rPr>
        <w:t xml:space="preserve">clients’ </w:t>
      </w:r>
      <w:r w:rsidRPr="00C8353A">
        <w:rPr>
          <w:rFonts w:ascii="Verdana" w:eastAsiaTheme="minorHAnsi" w:hAnsi="Verdana" w:cs="Times New Roman"/>
          <w:color w:val="000000" w:themeColor="text1"/>
          <w:sz w:val="20"/>
          <w:szCs w:val="20"/>
          <w:lang w:val="en-US" w:eastAsia="en-US"/>
        </w:rPr>
        <w:t>financial affairs by facilitat</w:t>
      </w:r>
      <w:r w:rsidR="00D64649">
        <w:rPr>
          <w:rFonts w:ascii="Verdana" w:eastAsiaTheme="minorHAnsi" w:hAnsi="Verdana" w:cs="Times New Roman"/>
          <w:color w:val="000000" w:themeColor="text1"/>
          <w:sz w:val="20"/>
          <w:szCs w:val="20"/>
          <w:lang w:val="en-US" w:eastAsia="en-US"/>
        </w:rPr>
        <w:t>ing, through their range of services,</w:t>
      </w:r>
      <w:r w:rsidRPr="00C8353A">
        <w:rPr>
          <w:rFonts w:ascii="Verdana" w:eastAsiaTheme="minorHAnsi" w:hAnsi="Verdana" w:cs="Times New Roman"/>
          <w:color w:val="000000" w:themeColor="text1"/>
          <w:sz w:val="20"/>
          <w:szCs w:val="20"/>
          <w:lang w:val="en-US" w:eastAsia="en-US"/>
        </w:rPr>
        <w:t xml:space="preserve"> the formation and operation of companies</w:t>
      </w:r>
      <w:r w:rsidR="00D64649">
        <w:rPr>
          <w:rFonts w:ascii="Verdana" w:eastAsiaTheme="minorHAnsi" w:hAnsi="Verdana" w:cs="Times New Roman"/>
          <w:color w:val="000000" w:themeColor="text1"/>
          <w:sz w:val="20"/>
          <w:szCs w:val="20"/>
          <w:lang w:val="en-US" w:eastAsia="en-US"/>
        </w:rPr>
        <w:t xml:space="preserve"> and trusts. </w:t>
      </w:r>
      <w:r w:rsidRPr="00C8353A">
        <w:rPr>
          <w:rFonts w:ascii="Verdana" w:eastAsiaTheme="minorHAnsi" w:hAnsi="Verdana" w:cs="Times New Roman"/>
          <w:color w:val="000000" w:themeColor="text1"/>
          <w:sz w:val="20"/>
          <w:szCs w:val="20"/>
          <w:lang w:val="en-US" w:eastAsia="en-US"/>
        </w:rPr>
        <w:t xml:space="preserve"> </w:t>
      </w:r>
      <w:r w:rsidR="00D64649">
        <w:rPr>
          <w:rFonts w:ascii="Verdana" w:eastAsiaTheme="minorHAnsi" w:hAnsi="Verdana" w:cs="Times New Roman"/>
          <w:color w:val="000000" w:themeColor="text1"/>
          <w:sz w:val="20"/>
          <w:szCs w:val="20"/>
          <w:lang w:val="en-US" w:eastAsia="en-US"/>
        </w:rPr>
        <w:t>A</w:t>
      </w:r>
      <w:r w:rsidRPr="00C8353A">
        <w:rPr>
          <w:rFonts w:ascii="Verdana" w:eastAsiaTheme="minorHAnsi" w:hAnsi="Verdana" w:cs="Times New Roman"/>
          <w:color w:val="000000" w:themeColor="text1"/>
          <w:sz w:val="20"/>
          <w:szCs w:val="20"/>
          <w:lang w:val="en-US" w:eastAsia="en-US"/>
        </w:rPr>
        <w:t>s a result</w:t>
      </w:r>
      <w:r w:rsidR="00D64649">
        <w:rPr>
          <w:rFonts w:ascii="Verdana" w:eastAsiaTheme="minorHAnsi" w:hAnsi="Verdana" w:cs="Times New Roman"/>
          <w:color w:val="000000" w:themeColor="text1"/>
          <w:sz w:val="20"/>
          <w:szCs w:val="20"/>
          <w:lang w:val="en-US" w:eastAsia="en-US"/>
        </w:rPr>
        <w:t>, TCSPs</w:t>
      </w:r>
      <w:r w:rsidRPr="00C8353A">
        <w:rPr>
          <w:rFonts w:ascii="Verdana" w:eastAsiaTheme="minorHAnsi" w:hAnsi="Verdana" w:cs="Times New Roman"/>
          <w:color w:val="000000" w:themeColor="text1"/>
          <w:sz w:val="20"/>
          <w:szCs w:val="20"/>
          <w:lang w:val="en-US" w:eastAsia="en-US"/>
        </w:rPr>
        <w:t xml:space="preserve"> can significantly impact transactional flows through the financial system. While TCSPs </w:t>
      </w:r>
      <w:r w:rsidR="00225B38" w:rsidRPr="00C8353A">
        <w:rPr>
          <w:rFonts w:ascii="Verdana" w:eastAsiaTheme="minorHAnsi" w:hAnsi="Verdana" w:cs="Times New Roman"/>
          <w:color w:val="000000" w:themeColor="text1"/>
          <w:sz w:val="20"/>
          <w:szCs w:val="20"/>
          <w:lang w:val="en-US" w:eastAsia="en-US"/>
        </w:rPr>
        <w:t>are known to</w:t>
      </w:r>
      <w:r w:rsidR="00D64649">
        <w:rPr>
          <w:rFonts w:ascii="Verdana" w:eastAsiaTheme="minorHAnsi" w:hAnsi="Verdana" w:cs="Times New Roman"/>
          <w:color w:val="000000" w:themeColor="text1"/>
          <w:sz w:val="20"/>
          <w:szCs w:val="20"/>
          <w:lang w:val="en-US" w:eastAsia="en-US"/>
        </w:rPr>
        <w:t xml:space="preserve"> support and facilitate</w:t>
      </w:r>
      <w:r w:rsidR="00225B38" w:rsidRPr="00C8353A">
        <w:rPr>
          <w:rFonts w:ascii="Verdana" w:eastAsiaTheme="minorHAnsi" w:hAnsi="Verdana" w:cs="Times New Roman"/>
          <w:color w:val="000000" w:themeColor="text1"/>
          <w:sz w:val="20"/>
          <w:szCs w:val="20"/>
          <w:lang w:val="en-US" w:eastAsia="en-US"/>
        </w:rPr>
        <w:t xml:space="preserve"> </w:t>
      </w:r>
      <w:r w:rsidRPr="00C8353A">
        <w:rPr>
          <w:rFonts w:ascii="Verdana" w:eastAsiaTheme="minorHAnsi" w:hAnsi="Verdana" w:cs="Times New Roman"/>
          <w:color w:val="000000" w:themeColor="text1"/>
          <w:sz w:val="20"/>
          <w:szCs w:val="20"/>
          <w:lang w:val="en-US" w:eastAsia="en-US"/>
        </w:rPr>
        <w:t xml:space="preserve">many legitimate </w:t>
      </w:r>
      <w:r w:rsidR="00D64649">
        <w:rPr>
          <w:rFonts w:ascii="Verdana" w:eastAsiaTheme="minorHAnsi" w:hAnsi="Verdana" w:cs="Times New Roman"/>
          <w:color w:val="000000" w:themeColor="text1"/>
          <w:sz w:val="20"/>
          <w:szCs w:val="20"/>
          <w:lang w:val="en-US" w:eastAsia="en-US"/>
        </w:rPr>
        <w:t>functions</w:t>
      </w:r>
      <w:r w:rsidRPr="00C8353A">
        <w:rPr>
          <w:rFonts w:ascii="Verdana" w:eastAsiaTheme="minorHAnsi" w:hAnsi="Verdana" w:cs="Times New Roman"/>
          <w:color w:val="000000" w:themeColor="text1"/>
          <w:sz w:val="20"/>
          <w:szCs w:val="20"/>
          <w:lang w:val="en-US" w:eastAsia="en-US"/>
        </w:rPr>
        <w:t xml:space="preserve">, such as tax planning, they </w:t>
      </w:r>
      <w:r w:rsidR="00225B38" w:rsidRPr="00C8353A">
        <w:rPr>
          <w:rFonts w:ascii="Verdana" w:eastAsiaTheme="minorHAnsi" w:hAnsi="Verdana" w:cs="Times New Roman"/>
          <w:color w:val="000000" w:themeColor="text1"/>
          <w:sz w:val="20"/>
          <w:szCs w:val="20"/>
          <w:lang w:val="en-US" w:eastAsia="en-US"/>
        </w:rPr>
        <w:t>are also at risk of being</w:t>
      </w:r>
      <w:r w:rsidRPr="00C8353A">
        <w:rPr>
          <w:rFonts w:ascii="Verdana" w:eastAsiaTheme="minorHAnsi" w:hAnsi="Verdana" w:cs="Times New Roman"/>
          <w:color w:val="000000" w:themeColor="text1"/>
          <w:sz w:val="20"/>
          <w:szCs w:val="20"/>
          <w:lang w:val="en-US" w:eastAsia="en-US"/>
        </w:rPr>
        <w:t xml:space="preserve"> misused by criminals for purposes such as concealing the ultimate beneficial owner of funds, </w:t>
      </w:r>
      <w:proofErr w:type="spellStart"/>
      <w:r w:rsidRPr="00C8353A">
        <w:rPr>
          <w:rFonts w:ascii="Verdana" w:eastAsiaTheme="minorHAnsi" w:hAnsi="Verdana" w:cs="Times New Roman"/>
          <w:color w:val="000000" w:themeColor="text1"/>
          <w:sz w:val="20"/>
          <w:szCs w:val="20"/>
          <w:lang w:val="en-US" w:eastAsia="en-US"/>
        </w:rPr>
        <w:t>legitimising</w:t>
      </w:r>
      <w:proofErr w:type="spellEnd"/>
      <w:r w:rsidRPr="00C8353A">
        <w:rPr>
          <w:rFonts w:ascii="Verdana" w:eastAsiaTheme="minorHAnsi" w:hAnsi="Verdana" w:cs="Times New Roman"/>
          <w:color w:val="000000" w:themeColor="text1"/>
          <w:sz w:val="20"/>
          <w:szCs w:val="20"/>
          <w:lang w:val="en-US" w:eastAsia="en-US"/>
        </w:rPr>
        <w:t xml:space="preserve"> the integration or layering of criminal proceeds within the financial system through various forms of investments. The activities of TCSPs are of a higher risk when the services are provided internationally and where the customers are based in higher risk jurisdictions.</w:t>
      </w:r>
      <w:r w:rsidR="00A34DCB" w:rsidRPr="00C8353A">
        <w:rPr>
          <w:rFonts w:ascii="Verdana" w:eastAsiaTheme="minorHAnsi" w:hAnsi="Verdana" w:cs="Times New Roman"/>
          <w:color w:val="000000" w:themeColor="text1"/>
          <w:sz w:val="20"/>
          <w:szCs w:val="20"/>
          <w:lang w:val="en-US" w:eastAsia="en-US"/>
        </w:rPr>
        <w:t xml:space="preserve"> The TCSP sector’s exposure to ML/TF risk is generally considered as significant or sometimes highly significant from a global perspective </w:t>
      </w:r>
    </w:p>
    <w:p w14:paraId="25B080D6" w14:textId="3FA1526F" w:rsidR="005A57C4" w:rsidRPr="00C8353A" w:rsidRDefault="003432C8" w:rsidP="00A42C7B">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TCSPs</w:t>
      </w:r>
      <w:r w:rsidR="009E354B" w:rsidRPr="00C8353A">
        <w:rPr>
          <w:rFonts w:ascii="Verdana" w:eastAsiaTheme="minorHAnsi" w:hAnsi="Verdana" w:cs="Times New Roman"/>
          <w:color w:val="000000" w:themeColor="text1"/>
          <w:sz w:val="20"/>
          <w:szCs w:val="20"/>
          <w:lang w:val="en-US" w:eastAsia="en-US"/>
        </w:rPr>
        <w:t xml:space="preserve"> in </w:t>
      </w:r>
      <w:r w:rsidR="00B427B8" w:rsidRPr="00C8353A">
        <w:rPr>
          <w:rFonts w:ascii="Verdana" w:eastAsiaTheme="minorHAnsi" w:hAnsi="Verdana" w:cs="Times New Roman"/>
          <w:color w:val="000000" w:themeColor="text1"/>
          <w:sz w:val="20"/>
          <w:szCs w:val="20"/>
          <w:lang w:val="en-US" w:eastAsia="en-US"/>
        </w:rPr>
        <w:t xml:space="preserve">the </w:t>
      </w:r>
      <w:r w:rsidR="009E354B" w:rsidRPr="00C8353A">
        <w:rPr>
          <w:rFonts w:ascii="Verdana" w:eastAsiaTheme="minorHAnsi" w:hAnsi="Verdana" w:cs="Times New Roman"/>
          <w:color w:val="000000" w:themeColor="text1"/>
          <w:sz w:val="20"/>
          <w:szCs w:val="20"/>
          <w:lang w:val="en-US" w:eastAsia="en-US"/>
        </w:rPr>
        <w:t>Cayman Islands are licensed and regulated by CIMA in accordance with the Banks and Trust Companies Law (BTCL)</w:t>
      </w:r>
      <w:r w:rsidR="00EA50E9" w:rsidRPr="00C8353A">
        <w:rPr>
          <w:rFonts w:ascii="Verdana" w:eastAsiaTheme="minorHAnsi" w:hAnsi="Verdana" w:cs="Times New Roman"/>
          <w:color w:val="000000" w:themeColor="text1"/>
          <w:sz w:val="20"/>
          <w:szCs w:val="20"/>
          <w:lang w:val="en-US" w:eastAsia="en-US"/>
        </w:rPr>
        <w:t xml:space="preserve"> and </w:t>
      </w:r>
      <w:r w:rsidR="00D42E05" w:rsidRPr="00C8353A">
        <w:rPr>
          <w:rFonts w:ascii="Verdana" w:eastAsiaTheme="minorHAnsi" w:hAnsi="Verdana" w:cs="Times New Roman"/>
          <w:color w:val="000000" w:themeColor="text1"/>
          <w:sz w:val="20"/>
          <w:szCs w:val="20"/>
          <w:lang w:val="en-US" w:eastAsia="en-US"/>
        </w:rPr>
        <w:t>the Companies Management Law (CML)</w:t>
      </w:r>
      <w:r w:rsidR="005A57C4" w:rsidRPr="00C8353A">
        <w:rPr>
          <w:rFonts w:ascii="Verdana" w:eastAsiaTheme="minorHAnsi" w:hAnsi="Verdana" w:cs="Times New Roman"/>
          <w:color w:val="000000" w:themeColor="text1"/>
          <w:sz w:val="20"/>
          <w:szCs w:val="20"/>
          <w:lang w:val="en-US" w:eastAsia="en-US"/>
        </w:rPr>
        <w:t xml:space="preserve">. There are three types of </w:t>
      </w:r>
      <w:r w:rsidRPr="00C8353A">
        <w:rPr>
          <w:rFonts w:ascii="Verdana" w:eastAsiaTheme="minorHAnsi" w:hAnsi="Verdana" w:cs="Times New Roman"/>
          <w:color w:val="000000" w:themeColor="text1"/>
          <w:sz w:val="20"/>
          <w:szCs w:val="20"/>
          <w:lang w:val="en-US" w:eastAsia="en-US"/>
        </w:rPr>
        <w:t>TSP</w:t>
      </w:r>
      <w:r w:rsidR="005A57C4" w:rsidRPr="00C8353A">
        <w:rPr>
          <w:rFonts w:ascii="Verdana" w:eastAsiaTheme="minorHAnsi" w:hAnsi="Verdana" w:cs="Times New Roman"/>
          <w:color w:val="000000" w:themeColor="text1"/>
          <w:sz w:val="20"/>
          <w:szCs w:val="20"/>
          <w:lang w:val="en-US" w:eastAsia="en-US"/>
        </w:rPr>
        <w:t xml:space="preserve"> licenses</w:t>
      </w:r>
      <w:r w:rsidR="00E027F0" w:rsidRPr="00C8353A">
        <w:rPr>
          <w:rFonts w:ascii="Verdana" w:eastAsiaTheme="minorHAnsi" w:hAnsi="Verdana" w:cs="Times New Roman"/>
          <w:color w:val="000000" w:themeColor="text1"/>
          <w:sz w:val="20"/>
          <w:szCs w:val="20"/>
          <w:lang w:val="en-US" w:eastAsia="en-US"/>
        </w:rPr>
        <w:t xml:space="preserve"> and two types of CSP licenses</w:t>
      </w:r>
      <w:r w:rsidR="005A57C4" w:rsidRPr="00C8353A">
        <w:rPr>
          <w:rFonts w:ascii="Verdana" w:eastAsiaTheme="minorHAnsi" w:hAnsi="Verdana" w:cs="Times New Roman"/>
          <w:color w:val="000000" w:themeColor="text1"/>
          <w:sz w:val="20"/>
          <w:szCs w:val="20"/>
          <w:lang w:val="en-US" w:eastAsia="en-US"/>
        </w:rPr>
        <w:t xml:space="preserve">, with the primary distinction </w:t>
      </w:r>
      <w:r w:rsidR="00E027F0" w:rsidRPr="00C8353A">
        <w:rPr>
          <w:rFonts w:ascii="Verdana" w:eastAsiaTheme="minorHAnsi" w:hAnsi="Verdana" w:cs="Times New Roman"/>
          <w:color w:val="000000" w:themeColor="text1"/>
          <w:sz w:val="20"/>
          <w:szCs w:val="20"/>
          <w:lang w:val="en-US" w:eastAsia="en-US"/>
        </w:rPr>
        <w:t xml:space="preserve">being the types </w:t>
      </w:r>
      <w:r w:rsidR="00E62FD4" w:rsidRPr="00C8353A">
        <w:rPr>
          <w:rFonts w:ascii="Verdana" w:eastAsiaTheme="minorHAnsi" w:hAnsi="Verdana" w:cs="Times New Roman"/>
          <w:color w:val="000000" w:themeColor="text1"/>
          <w:sz w:val="20"/>
          <w:szCs w:val="20"/>
          <w:lang w:val="en-US" w:eastAsia="en-US"/>
        </w:rPr>
        <w:t>o</w:t>
      </w:r>
      <w:r w:rsidR="00E027F0" w:rsidRPr="00C8353A">
        <w:rPr>
          <w:rFonts w:ascii="Verdana" w:eastAsiaTheme="minorHAnsi" w:hAnsi="Verdana" w:cs="Times New Roman"/>
          <w:color w:val="000000" w:themeColor="text1"/>
          <w:sz w:val="20"/>
          <w:szCs w:val="20"/>
          <w:lang w:val="en-US" w:eastAsia="en-US"/>
        </w:rPr>
        <w:t>f services that may be provided under each license. In addition, the BTCL allows for the registration of two types of trust companies</w:t>
      </w:r>
      <w:r w:rsidR="005A57C4" w:rsidRPr="00C8353A">
        <w:rPr>
          <w:rFonts w:ascii="Verdana" w:eastAsiaTheme="minorHAnsi" w:hAnsi="Verdana" w:cs="Times New Roman"/>
          <w:color w:val="000000" w:themeColor="text1"/>
          <w:sz w:val="20"/>
          <w:szCs w:val="20"/>
          <w:lang w:val="en-US" w:eastAsia="en-US"/>
        </w:rPr>
        <w:t xml:space="preserve">: </w:t>
      </w:r>
    </w:p>
    <w:p w14:paraId="7B4BFE44" w14:textId="51D9784C" w:rsidR="00D42E05" w:rsidRPr="00C8353A" w:rsidRDefault="00D42E05" w:rsidP="00D42E05">
      <w:pPr>
        <w:pStyle w:val="Heading2"/>
        <w:numPr>
          <w:ilvl w:val="0"/>
          <w:numId w:val="5"/>
        </w:numPr>
        <w:spacing w:line="276" w:lineRule="auto"/>
        <w:ind w:right="-6"/>
        <w:jc w:val="both"/>
        <w:rPr>
          <w:rFonts w:ascii="Verdana" w:hAnsi="Verdana" w:cstheme="minorHAnsi"/>
          <w:color w:val="232323"/>
          <w:sz w:val="20"/>
          <w:szCs w:val="20"/>
        </w:rPr>
      </w:pPr>
      <w:r w:rsidRPr="00C8353A">
        <w:rPr>
          <w:rFonts w:ascii="Verdana" w:hAnsi="Verdana" w:cstheme="minorHAnsi"/>
          <w:color w:val="232323"/>
          <w:sz w:val="20"/>
          <w:szCs w:val="20"/>
        </w:rPr>
        <w:t xml:space="preserve">BTCL Licenses - TSPs: </w:t>
      </w:r>
    </w:p>
    <w:p w14:paraId="3178487E" w14:textId="426FC332" w:rsidR="00D42E05" w:rsidRPr="00C8353A" w:rsidRDefault="00D42E05" w:rsidP="001E64D4">
      <w:pPr>
        <w:pStyle w:val="ListParagraph"/>
        <w:numPr>
          <w:ilvl w:val="1"/>
          <w:numId w:val="5"/>
        </w:numPr>
        <w:spacing w:line="276" w:lineRule="auto"/>
        <w:ind w:left="1418" w:hanging="338"/>
        <w:jc w:val="both"/>
        <w:rPr>
          <w:rFonts w:ascii="Verdana" w:eastAsiaTheme="minorEastAsia" w:hAnsi="Verdana" w:cstheme="minorHAnsi"/>
          <w:color w:val="232323"/>
          <w:sz w:val="20"/>
          <w:szCs w:val="20"/>
          <w:lang w:eastAsia="zh-TW"/>
        </w:rPr>
      </w:pPr>
      <w:r w:rsidRPr="00C8353A">
        <w:rPr>
          <w:rFonts w:ascii="Verdana" w:eastAsiaTheme="minorEastAsia" w:hAnsi="Verdana" w:cstheme="minorHAnsi"/>
          <w:color w:val="232323"/>
          <w:sz w:val="20"/>
          <w:szCs w:val="20"/>
          <w:lang w:eastAsia="zh-TW"/>
        </w:rPr>
        <w:t xml:space="preserve">Unrestricted Trust License authorizes the holder to </w:t>
      </w:r>
      <w:r w:rsidR="008606BB" w:rsidRPr="00C8353A">
        <w:rPr>
          <w:rFonts w:ascii="Verdana" w:eastAsiaTheme="minorEastAsia" w:hAnsi="Verdana" w:cstheme="minorHAnsi"/>
          <w:color w:val="232323"/>
          <w:sz w:val="20"/>
          <w:szCs w:val="20"/>
          <w:lang w:eastAsia="zh-TW"/>
        </w:rPr>
        <w:t>engage in the business of acting as trustee, executor or administrator</w:t>
      </w:r>
      <w:r w:rsidRPr="00C8353A">
        <w:rPr>
          <w:rFonts w:ascii="Verdana" w:eastAsiaTheme="minorEastAsia" w:hAnsi="Verdana" w:cstheme="minorHAnsi"/>
          <w:color w:val="232323"/>
          <w:sz w:val="20"/>
          <w:szCs w:val="20"/>
          <w:lang w:eastAsia="zh-TW"/>
        </w:rPr>
        <w:t xml:space="preserve"> </w:t>
      </w:r>
      <w:r w:rsidR="00E027F0" w:rsidRPr="00C8353A">
        <w:rPr>
          <w:rFonts w:ascii="Verdana" w:eastAsiaTheme="minorEastAsia" w:hAnsi="Verdana" w:cstheme="minorHAnsi"/>
          <w:color w:val="232323"/>
          <w:sz w:val="20"/>
          <w:szCs w:val="20"/>
          <w:lang w:eastAsia="zh-TW"/>
        </w:rPr>
        <w:t>under the BTCL</w:t>
      </w:r>
      <w:r w:rsidRPr="00C8353A">
        <w:rPr>
          <w:rFonts w:ascii="Verdana" w:eastAsiaTheme="minorEastAsia" w:hAnsi="Verdana" w:cstheme="minorHAnsi"/>
          <w:color w:val="232323"/>
          <w:sz w:val="20"/>
          <w:szCs w:val="20"/>
          <w:lang w:eastAsia="zh-TW"/>
        </w:rPr>
        <w:t>. </w:t>
      </w:r>
    </w:p>
    <w:p w14:paraId="631DA3E3" w14:textId="32D84DE0" w:rsidR="00D42E05" w:rsidRPr="00C8353A" w:rsidRDefault="00D42E05" w:rsidP="001E64D4">
      <w:pPr>
        <w:pStyle w:val="ListParagraph"/>
        <w:numPr>
          <w:ilvl w:val="1"/>
          <w:numId w:val="5"/>
        </w:numPr>
        <w:spacing w:line="276" w:lineRule="auto"/>
        <w:ind w:left="1418" w:hanging="338"/>
        <w:jc w:val="both"/>
        <w:rPr>
          <w:rFonts w:ascii="Verdana" w:eastAsiaTheme="minorEastAsia" w:hAnsi="Verdana" w:cstheme="minorHAnsi"/>
          <w:color w:val="232323"/>
          <w:sz w:val="20"/>
          <w:szCs w:val="20"/>
          <w:lang w:eastAsia="zh-TW"/>
        </w:rPr>
      </w:pPr>
      <w:r w:rsidRPr="00C8353A">
        <w:rPr>
          <w:rFonts w:ascii="Verdana" w:eastAsiaTheme="minorEastAsia" w:hAnsi="Verdana" w:cstheme="minorHAnsi"/>
          <w:color w:val="232323"/>
          <w:sz w:val="20"/>
          <w:szCs w:val="20"/>
          <w:lang w:eastAsia="zh-TW"/>
        </w:rPr>
        <w:t>Restricted Trust License</w:t>
      </w:r>
      <w:r w:rsidR="00E027F0" w:rsidRPr="00C8353A">
        <w:rPr>
          <w:rFonts w:ascii="Verdana" w:eastAsiaTheme="minorEastAsia" w:hAnsi="Verdana" w:cstheme="minorHAnsi"/>
          <w:color w:val="232323"/>
          <w:sz w:val="20"/>
          <w:szCs w:val="20"/>
          <w:lang w:eastAsia="zh-TW"/>
        </w:rPr>
        <w:t xml:space="preserve"> au</w:t>
      </w:r>
      <w:r w:rsidRPr="00C8353A">
        <w:rPr>
          <w:rFonts w:ascii="Verdana" w:eastAsiaTheme="minorEastAsia" w:hAnsi="Verdana" w:cstheme="minorHAnsi"/>
          <w:color w:val="232323"/>
          <w:sz w:val="20"/>
          <w:szCs w:val="20"/>
          <w:lang w:eastAsia="zh-TW"/>
        </w:rPr>
        <w:t>thorises the holder to undertake trust business only for persons listed in any undertaking accompanying the application for the licen</w:t>
      </w:r>
      <w:r w:rsidR="001E64D4" w:rsidRPr="00C8353A">
        <w:rPr>
          <w:rFonts w:ascii="Verdana" w:eastAsiaTheme="minorEastAsia" w:hAnsi="Verdana" w:cstheme="minorHAnsi"/>
          <w:color w:val="232323"/>
          <w:sz w:val="20"/>
          <w:szCs w:val="20"/>
          <w:lang w:eastAsia="zh-TW"/>
        </w:rPr>
        <w:t>s</w:t>
      </w:r>
      <w:r w:rsidRPr="00C8353A">
        <w:rPr>
          <w:rFonts w:ascii="Verdana" w:eastAsiaTheme="minorEastAsia" w:hAnsi="Verdana" w:cstheme="minorHAnsi"/>
          <w:color w:val="232323"/>
          <w:sz w:val="20"/>
          <w:szCs w:val="20"/>
          <w:lang w:eastAsia="zh-TW"/>
        </w:rPr>
        <w:t>e</w:t>
      </w:r>
      <w:r w:rsidR="005A3D03">
        <w:rPr>
          <w:rFonts w:ascii="Verdana" w:eastAsiaTheme="minorEastAsia" w:hAnsi="Verdana" w:cstheme="minorHAnsi"/>
          <w:color w:val="232323"/>
          <w:sz w:val="20"/>
          <w:szCs w:val="20"/>
          <w:lang w:eastAsia="zh-TW"/>
        </w:rPr>
        <w:t xml:space="preserve"> - typically the persons listed in the undertakings are related parties, thus limiting the breadth of the licensee’s risk exposure;</w:t>
      </w:r>
    </w:p>
    <w:p w14:paraId="416EF0E8" w14:textId="63E122A7" w:rsidR="00D42E05" w:rsidRPr="00C8353A" w:rsidRDefault="00D42E05" w:rsidP="001E64D4">
      <w:pPr>
        <w:pStyle w:val="ListParagraph"/>
        <w:numPr>
          <w:ilvl w:val="1"/>
          <w:numId w:val="5"/>
        </w:numPr>
        <w:spacing w:line="276" w:lineRule="auto"/>
        <w:ind w:left="1418" w:hanging="338"/>
        <w:jc w:val="both"/>
        <w:rPr>
          <w:rFonts w:ascii="Verdana" w:eastAsiaTheme="minorEastAsia" w:hAnsi="Verdana" w:cstheme="minorHAnsi"/>
          <w:color w:val="232323"/>
          <w:sz w:val="20"/>
          <w:szCs w:val="20"/>
          <w:lang w:eastAsia="zh-TW"/>
        </w:rPr>
      </w:pPr>
      <w:r w:rsidRPr="00C8353A">
        <w:rPr>
          <w:rFonts w:ascii="Verdana" w:eastAsiaTheme="minorEastAsia" w:hAnsi="Verdana" w:cstheme="minorHAnsi"/>
          <w:color w:val="232323"/>
          <w:sz w:val="20"/>
          <w:szCs w:val="20"/>
          <w:lang w:eastAsia="zh-TW"/>
        </w:rPr>
        <w:t>Nominee Trust License</w:t>
      </w:r>
      <w:r w:rsidR="00E027F0" w:rsidRPr="00C8353A">
        <w:rPr>
          <w:rFonts w:ascii="Verdana" w:eastAsiaTheme="minorEastAsia" w:hAnsi="Verdana" w:cstheme="minorHAnsi"/>
          <w:color w:val="232323"/>
          <w:sz w:val="20"/>
          <w:szCs w:val="20"/>
          <w:lang w:eastAsia="zh-TW"/>
        </w:rPr>
        <w:t xml:space="preserve"> </w:t>
      </w:r>
      <w:r w:rsidRPr="00C8353A">
        <w:rPr>
          <w:rFonts w:ascii="Verdana" w:eastAsiaTheme="minorEastAsia" w:hAnsi="Verdana" w:cstheme="minorHAnsi"/>
          <w:color w:val="232323"/>
          <w:sz w:val="20"/>
          <w:szCs w:val="20"/>
          <w:lang w:eastAsia="zh-TW"/>
        </w:rPr>
        <w:t>authori</w:t>
      </w:r>
      <w:r w:rsidR="00E027F0" w:rsidRPr="00C8353A">
        <w:rPr>
          <w:rFonts w:ascii="Verdana" w:eastAsiaTheme="minorEastAsia" w:hAnsi="Verdana" w:cstheme="minorHAnsi"/>
          <w:color w:val="232323"/>
          <w:sz w:val="20"/>
          <w:szCs w:val="20"/>
          <w:lang w:eastAsia="zh-TW"/>
        </w:rPr>
        <w:t>z</w:t>
      </w:r>
      <w:r w:rsidRPr="00C8353A">
        <w:rPr>
          <w:rFonts w:ascii="Verdana" w:eastAsiaTheme="minorEastAsia" w:hAnsi="Verdana" w:cstheme="minorHAnsi"/>
          <w:color w:val="232323"/>
          <w:sz w:val="20"/>
          <w:szCs w:val="20"/>
          <w:lang w:eastAsia="zh-TW"/>
        </w:rPr>
        <w:t>es the holder to act solely as the nominee of a trust licensee, being the wholly owned subsidiary of that licensee.</w:t>
      </w:r>
      <w:r w:rsidR="005A3D03">
        <w:rPr>
          <w:rFonts w:ascii="Verdana" w:eastAsiaTheme="minorEastAsia" w:hAnsi="Verdana" w:cstheme="minorHAnsi"/>
          <w:color w:val="232323"/>
          <w:sz w:val="20"/>
          <w:szCs w:val="20"/>
          <w:lang w:eastAsia="zh-TW"/>
        </w:rPr>
        <w:t xml:space="preserve"> The risks associated with Nominee Trust Licences will be largely tied to those of a parent bank or trust company that is also licensed under the BTCL.</w:t>
      </w:r>
    </w:p>
    <w:p w14:paraId="4776B5D9" w14:textId="3BDF2A36" w:rsidR="00D42E05" w:rsidRPr="00C8353A" w:rsidRDefault="00D42E05" w:rsidP="001E64D4">
      <w:pPr>
        <w:pStyle w:val="ListParagraph"/>
        <w:numPr>
          <w:ilvl w:val="1"/>
          <w:numId w:val="5"/>
        </w:numPr>
        <w:spacing w:line="276" w:lineRule="auto"/>
        <w:ind w:left="1418" w:hanging="338"/>
        <w:jc w:val="both"/>
        <w:rPr>
          <w:rFonts w:ascii="Verdana" w:eastAsiaTheme="minorEastAsia" w:hAnsi="Verdana" w:cstheme="minorHAnsi"/>
          <w:color w:val="232323"/>
          <w:sz w:val="20"/>
          <w:szCs w:val="20"/>
          <w:lang w:eastAsia="zh-TW"/>
        </w:rPr>
      </w:pPr>
      <w:r w:rsidRPr="00C8353A">
        <w:rPr>
          <w:rFonts w:ascii="Verdana" w:eastAsiaTheme="minorEastAsia" w:hAnsi="Verdana" w:cstheme="minorHAnsi"/>
          <w:color w:val="232323"/>
          <w:sz w:val="20"/>
          <w:szCs w:val="20"/>
          <w:lang w:eastAsia="zh-TW"/>
        </w:rPr>
        <w:t>Registration as Controlled Subsidiary</w:t>
      </w:r>
      <w:r w:rsidR="001E64D4" w:rsidRPr="00C8353A">
        <w:rPr>
          <w:rFonts w:ascii="Verdana" w:eastAsiaTheme="minorEastAsia" w:hAnsi="Verdana" w:cstheme="minorHAnsi"/>
          <w:color w:val="232323"/>
          <w:sz w:val="20"/>
          <w:szCs w:val="20"/>
          <w:lang w:eastAsia="zh-TW"/>
        </w:rPr>
        <w:t xml:space="preserve"> </w:t>
      </w:r>
      <w:r w:rsidRPr="00C8353A">
        <w:rPr>
          <w:rFonts w:ascii="Verdana" w:eastAsiaTheme="minorEastAsia" w:hAnsi="Verdana" w:cstheme="minorHAnsi"/>
          <w:color w:val="232323"/>
          <w:sz w:val="20"/>
          <w:szCs w:val="20"/>
          <w:lang w:eastAsia="zh-TW"/>
        </w:rPr>
        <w:t>authori</w:t>
      </w:r>
      <w:r w:rsidR="001E64D4" w:rsidRPr="00C8353A">
        <w:rPr>
          <w:rFonts w:ascii="Verdana" w:eastAsiaTheme="minorEastAsia" w:hAnsi="Verdana" w:cstheme="minorHAnsi"/>
          <w:color w:val="232323"/>
          <w:sz w:val="20"/>
          <w:szCs w:val="20"/>
          <w:lang w:eastAsia="zh-TW"/>
        </w:rPr>
        <w:t>z</w:t>
      </w:r>
      <w:r w:rsidRPr="00C8353A">
        <w:rPr>
          <w:rFonts w:ascii="Verdana" w:eastAsiaTheme="minorEastAsia" w:hAnsi="Verdana" w:cstheme="minorHAnsi"/>
          <w:color w:val="232323"/>
          <w:sz w:val="20"/>
          <w:szCs w:val="20"/>
          <w:lang w:eastAsia="zh-TW"/>
        </w:rPr>
        <w:t>es the registrant to provide, without a licen</w:t>
      </w:r>
      <w:r w:rsidR="001E64D4" w:rsidRPr="00C8353A">
        <w:rPr>
          <w:rFonts w:ascii="Verdana" w:eastAsiaTheme="minorEastAsia" w:hAnsi="Verdana" w:cstheme="minorHAnsi"/>
          <w:color w:val="232323"/>
          <w:sz w:val="20"/>
          <w:szCs w:val="20"/>
          <w:lang w:eastAsia="zh-TW"/>
        </w:rPr>
        <w:t>s</w:t>
      </w:r>
      <w:r w:rsidRPr="00C8353A">
        <w:rPr>
          <w:rFonts w:ascii="Verdana" w:eastAsiaTheme="minorEastAsia" w:hAnsi="Verdana" w:cstheme="minorHAnsi"/>
          <w:color w:val="232323"/>
          <w:sz w:val="20"/>
          <w:szCs w:val="20"/>
          <w:lang w:eastAsia="zh-TW"/>
        </w:rPr>
        <w:t>e, trust services including the issuing of debt instruments or any other trust business connected with the trust business of its parent that holds a trust licen</w:t>
      </w:r>
      <w:r w:rsidR="001E64D4" w:rsidRPr="00C8353A">
        <w:rPr>
          <w:rFonts w:ascii="Verdana" w:eastAsiaTheme="minorEastAsia" w:hAnsi="Verdana" w:cstheme="minorHAnsi"/>
          <w:color w:val="232323"/>
          <w:sz w:val="20"/>
          <w:szCs w:val="20"/>
          <w:lang w:eastAsia="zh-TW"/>
        </w:rPr>
        <w:t>s</w:t>
      </w:r>
      <w:r w:rsidRPr="00C8353A">
        <w:rPr>
          <w:rFonts w:ascii="Verdana" w:eastAsiaTheme="minorEastAsia" w:hAnsi="Verdana" w:cstheme="minorHAnsi"/>
          <w:color w:val="232323"/>
          <w:sz w:val="20"/>
          <w:szCs w:val="20"/>
          <w:lang w:eastAsia="zh-TW"/>
        </w:rPr>
        <w:t>e.</w:t>
      </w:r>
    </w:p>
    <w:p w14:paraId="39B6B7D3" w14:textId="75CD8D93" w:rsidR="00D42E05" w:rsidRPr="00C8353A" w:rsidRDefault="00D42E05" w:rsidP="001E64D4">
      <w:pPr>
        <w:pStyle w:val="ListParagraph"/>
        <w:numPr>
          <w:ilvl w:val="1"/>
          <w:numId w:val="5"/>
        </w:numPr>
        <w:spacing w:line="276" w:lineRule="auto"/>
        <w:ind w:left="1418" w:hanging="338"/>
        <w:jc w:val="both"/>
        <w:rPr>
          <w:rFonts w:ascii="Verdana" w:eastAsiaTheme="minorEastAsia" w:hAnsi="Verdana" w:cstheme="minorHAnsi"/>
          <w:color w:val="232323"/>
          <w:sz w:val="20"/>
          <w:szCs w:val="20"/>
          <w:lang w:eastAsia="zh-TW"/>
        </w:rPr>
      </w:pPr>
      <w:r w:rsidRPr="00C8353A">
        <w:rPr>
          <w:rFonts w:ascii="Verdana" w:eastAsiaTheme="minorEastAsia" w:hAnsi="Verdana" w:cstheme="minorHAnsi"/>
          <w:color w:val="232323"/>
          <w:sz w:val="20"/>
          <w:szCs w:val="20"/>
          <w:lang w:eastAsia="zh-TW"/>
        </w:rPr>
        <w:t>Registration as Private Trust Company authori</w:t>
      </w:r>
      <w:r w:rsidR="001E64D4" w:rsidRPr="00C8353A">
        <w:rPr>
          <w:rFonts w:ascii="Verdana" w:eastAsiaTheme="minorEastAsia" w:hAnsi="Verdana" w:cstheme="minorHAnsi"/>
          <w:color w:val="232323"/>
          <w:sz w:val="20"/>
          <w:szCs w:val="20"/>
          <w:lang w:eastAsia="zh-TW"/>
        </w:rPr>
        <w:t>z</w:t>
      </w:r>
      <w:r w:rsidRPr="00C8353A">
        <w:rPr>
          <w:rFonts w:ascii="Verdana" w:eastAsiaTheme="minorEastAsia" w:hAnsi="Verdana" w:cstheme="minorHAnsi"/>
          <w:color w:val="232323"/>
          <w:sz w:val="20"/>
          <w:szCs w:val="20"/>
          <w:lang w:eastAsia="zh-TW"/>
        </w:rPr>
        <w:t>es the registrant to provide trust services to “connected persons”. “Connected persons” is defined in section 2(2) of the Private Trust Companies Regulations.</w:t>
      </w:r>
    </w:p>
    <w:p w14:paraId="5B0F5F48" w14:textId="5645A484" w:rsidR="00D42E05" w:rsidRPr="00C8353A" w:rsidRDefault="00D42E05" w:rsidP="005A57C4">
      <w:pPr>
        <w:pStyle w:val="Heading2"/>
        <w:numPr>
          <w:ilvl w:val="0"/>
          <w:numId w:val="5"/>
        </w:numPr>
        <w:spacing w:line="276" w:lineRule="auto"/>
        <w:ind w:right="-6"/>
        <w:jc w:val="both"/>
        <w:rPr>
          <w:rFonts w:ascii="Verdana" w:hAnsi="Verdana" w:cstheme="minorHAnsi"/>
          <w:color w:val="232323"/>
          <w:sz w:val="20"/>
          <w:szCs w:val="20"/>
        </w:rPr>
      </w:pPr>
      <w:r w:rsidRPr="00C8353A">
        <w:rPr>
          <w:rFonts w:ascii="Verdana" w:hAnsi="Verdana" w:cstheme="minorHAnsi"/>
          <w:color w:val="232323"/>
          <w:sz w:val="20"/>
          <w:szCs w:val="20"/>
        </w:rPr>
        <w:t>CML Licenses - CSPs:</w:t>
      </w:r>
    </w:p>
    <w:p w14:paraId="35ACCAC1" w14:textId="560B1C8E" w:rsidR="00D42E05" w:rsidRPr="00C8353A" w:rsidRDefault="00D42E05" w:rsidP="00D42E05">
      <w:pPr>
        <w:pStyle w:val="Heading2"/>
        <w:numPr>
          <w:ilvl w:val="1"/>
          <w:numId w:val="5"/>
        </w:numPr>
        <w:spacing w:line="276" w:lineRule="auto"/>
        <w:ind w:left="1434" w:right="-6" w:hanging="357"/>
        <w:contextualSpacing/>
        <w:jc w:val="both"/>
        <w:rPr>
          <w:rFonts w:ascii="Verdana" w:hAnsi="Verdana" w:cstheme="minorHAnsi"/>
          <w:color w:val="232323"/>
          <w:sz w:val="20"/>
          <w:szCs w:val="20"/>
        </w:rPr>
      </w:pPr>
      <w:r w:rsidRPr="00C8353A">
        <w:rPr>
          <w:rFonts w:ascii="Verdana" w:hAnsi="Verdana" w:cstheme="minorHAnsi"/>
          <w:color w:val="232323"/>
          <w:sz w:val="20"/>
          <w:szCs w:val="20"/>
        </w:rPr>
        <w:t>Company Manager Licence authori</w:t>
      </w:r>
      <w:r w:rsidR="001E64D4" w:rsidRPr="00C8353A">
        <w:rPr>
          <w:rFonts w:ascii="Verdana" w:hAnsi="Verdana" w:cstheme="minorHAnsi"/>
          <w:color w:val="232323"/>
          <w:sz w:val="20"/>
          <w:szCs w:val="20"/>
        </w:rPr>
        <w:t>z</w:t>
      </w:r>
      <w:r w:rsidRPr="00C8353A">
        <w:rPr>
          <w:rFonts w:ascii="Verdana" w:hAnsi="Verdana" w:cstheme="minorHAnsi"/>
          <w:color w:val="232323"/>
          <w:sz w:val="20"/>
          <w:szCs w:val="20"/>
        </w:rPr>
        <w:t>es the holder to provide corporate services as listed in Section 3(1) or any other corporate services as may be prescribed under that section.</w:t>
      </w:r>
    </w:p>
    <w:p w14:paraId="49EC61E9" w14:textId="77777777" w:rsidR="00E816F4" w:rsidRPr="00C8353A" w:rsidRDefault="00D42E05" w:rsidP="00D42E05">
      <w:pPr>
        <w:pStyle w:val="Heading2"/>
        <w:numPr>
          <w:ilvl w:val="1"/>
          <w:numId w:val="5"/>
        </w:numPr>
        <w:spacing w:line="276" w:lineRule="auto"/>
        <w:ind w:left="1434" w:right="-6" w:hanging="357"/>
        <w:contextualSpacing/>
        <w:jc w:val="both"/>
        <w:rPr>
          <w:rFonts w:ascii="Verdana" w:hAnsi="Verdana" w:cstheme="minorHAnsi"/>
          <w:color w:val="232323"/>
          <w:sz w:val="20"/>
          <w:szCs w:val="20"/>
        </w:rPr>
      </w:pPr>
      <w:r w:rsidRPr="00C8353A">
        <w:rPr>
          <w:rFonts w:ascii="Verdana" w:hAnsi="Verdana" w:cstheme="minorHAnsi"/>
          <w:color w:val="232323"/>
          <w:sz w:val="20"/>
          <w:szCs w:val="20"/>
        </w:rPr>
        <w:t>Corporate Service Provider Licen</w:t>
      </w:r>
      <w:r w:rsidR="001E64D4" w:rsidRPr="00C8353A">
        <w:rPr>
          <w:rFonts w:ascii="Verdana" w:hAnsi="Verdana" w:cstheme="minorHAnsi"/>
          <w:color w:val="232323"/>
          <w:sz w:val="20"/>
          <w:szCs w:val="20"/>
        </w:rPr>
        <w:t>s</w:t>
      </w:r>
      <w:r w:rsidRPr="00C8353A">
        <w:rPr>
          <w:rFonts w:ascii="Verdana" w:hAnsi="Verdana" w:cstheme="minorHAnsi"/>
          <w:color w:val="232323"/>
          <w:sz w:val="20"/>
          <w:szCs w:val="20"/>
        </w:rPr>
        <w:t>e authori</w:t>
      </w:r>
      <w:r w:rsidR="001E64D4" w:rsidRPr="00C8353A">
        <w:rPr>
          <w:rFonts w:ascii="Verdana" w:hAnsi="Verdana" w:cstheme="minorHAnsi"/>
          <w:color w:val="232323"/>
          <w:sz w:val="20"/>
          <w:szCs w:val="20"/>
        </w:rPr>
        <w:t>z</w:t>
      </w:r>
      <w:r w:rsidRPr="00C8353A">
        <w:rPr>
          <w:rFonts w:ascii="Verdana" w:hAnsi="Verdana" w:cstheme="minorHAnsi"/>
          <w:color w:val="232323"/>
          <w:sz w:val="20"/>
          <w:szCs w:val="20"/>
        </w:rPr>
        <w:t>es the holder to provide only the corporate services specified in Section 3(1)(a) through (e).</w:t>
      </w:r>
    </w:p>
    <w:p w14:paraId="302F7F4A" w14:textId="2CE0DF89" w:rsidR="00D42E05" w:rsidRPr="00C8353A" w:rsidRDefault="00D42E05" w:rsidP="00E816F4">
      <w:pPr>
        <w:pStyle w:val="Heading2"/>
        <w:numPr>
          <w:ilvl w:val="0"/>
          <w:numId w:val="0"/>
        </w:numPr>
        <w:spacing w:line="276" w:lineRule="auto"/>
        <w:ind w:left="1434" w:right="-6"/>
        <w:contextualSpacing/>
        <w:jc w:val="both"/>
        <w:rPr>
          <w:rFonts w:ascii="Verdana" w:hAnsi="Verdana" w:cstheme="minorHAnsi"/>
          <w:color w:val="232323"/>
          <w:sz w:val="20"/>
          <w:szCs w:val="20"/>
        </w:rPr>
      </w:pPr>
    </w:p>
    <w:p w14:paraId="7565194B" w14:textId="77777777" w:rsidR="00082EA5" w:rsidRPr="00082EA5" w:rsidRDefault="00C12D9A" w:rsidP="00A42C7B">
      <w:pPr>
        <w:pStyle w:val="Heading2"/>
        <w:numPr>
          <w:ilvl w:val="0"/>
          <w:numId w:val="3"/>
        </w:numPr>
        <w:spacing w:line="276" w:lineRule="auto"/>
        <w:ind w:left="0" w:firstLine="0"/>
        <w:jc w:val="both"/>
        <w:rPr>
          <w:rFonts w:ascii="Verdana" w:eastAsiaTheme="minorHAnsi" w:hAnsi="Verdana" w:cstheme="minorHAnsi"/>
          <w:color w:val="000000" w:themeColor="text1"/>
          <w:sz w:val="20"/>
          <w:szCs w:val="20"/>
          <w:lang w:val="en-US" w:eastAsia="en-US"/>
        </w:rPr>
      </w:pPr>
      <w:r w:rsidRPr="00C8353A">
        <w:rPr>
          <w:rFonts w:ascii="Verdana" w:hAnsi="Verdana" w:cstheme="minorHAnsi"/>
          <w:color w:val="232323"/>
          <w:sz w:val="20"/>
          <w:szCs w:val="20"/>
        </w:rPr>
        <w:t>As </w:t>
      </w:r>
      <w:r w:rsidR="00AF3B19" w:rsidRPr="00C8353A">
        <w:rPr>
          <w:rFonts w:ascii="Verdana" w:hAnsi="Verdana" w:cstheme="minorHAnsi"/>
          <w:color w:val="232323"/>
          <w:sz w:val="20"/>
          <w:szCs w:val="20"/>
        </w:rPr>
        <w:t>of</w:t>
      </w:r>
      <w:r w:rsidRPr="00C8353A">
        <w:rPr>
          <w:rFonts w:ascii="Verdana" w:hAnsi="Verdana" w:cstheme="minorHAnsi"/>
          <w:color w:val="232323"/>
          <w:sz w:val="20"/>
          <w:szCs w:val="20"/>
        </w:rPr>
        <w:t xml:space="preserve"> 30 September 2019, the Fiduciary Services Division</w:t>
      </w:r>
      <w:r w:rsidR="004775E0" w:rsidRPr="00C8353A">
        <w:rPr>
          <w:rFonts w:ascii="Verdana" w:hAnsi="Verdana" w:cstheme="minorHAnsi"/>
          <w:color w:val="232323"/>
          <w:sz w:val="20"/>
          <w:szCs w:val="20"/>
        </w:rPr>
        <w:t xml:space="preserve"> (‘FSD’)</w:t>
      </w:r>
      <w:r w:rsidRPr="00C8353A">
        <w:rPr>
          <w:rFonts w:ascii="Verdana" w:hAnsi="Verdana" w:cstheme="minorHAnsi"/>
          <w:color w:val="232323"/>
          <w:sz w:val="20"/>
          <w:szCs w:val="20"/>
        </w:rPr>
        <w:t xml:space="preserve"> had supervisory responsibility for 14</w:t>
      </w:r>
      <w:r w:rsidR="004775E0" w:rsidRPr="00C8353A">
        <w:rPr>
          <w:rFonts w:ascii="Verdana" w:hAnsi="Verdana" w:cstheme="minorHAnsi"/>
          <w:color w:val="232323"/>
          <w:sz w:val="20"/>
          <w:szCs w:val="20"/>
        </w:rPr>
        <w:t>4</w:t>
      </w:r>
      <w:r w:rsidRPr="00C8353A">
        <w:rPr>
          <w:rFonts w:ascii="Verdana" w:hAnsi="Verdana" w:cstheme="minorHAnsi"/>
          <w:color w:val="232323"/>
          <w:sz w:val="20"/>
          <w:szCs w:val="20"/>
        </w:rPr>
        <w:t xml:space="preserve"> active trust licences, </w:t>
      </w:r>
      <w:r w:rsidR="00AF3B19" w:rsidRPr="00C8353A">
        <w:rPr>
          <w:rFonts w:ascii="Verdana" w:hAnsi="Verdana" w:cstheme="minorHAnsi"/>
          <w:color w:val="232323"/>
          <w:sz w:val="20"/>
          <w:szCs w:val="20"/>
        </w:rPr>
        <w:t>comprising 5</w:t>
      </w:r>
      <w:r w:rsidRPr="00C8353A">
        <w:rPr>
          <w:rFonts w:ascii="Verdana" w:hAnsi="Verdana" w:cstheme="minorHAnsi"/>
          <w:color w:val="232323"/>
          <w:sz w:val="20"/>
          <w:szCs w:val="20"/>
        </w:rPr>
        <w:t xml:space="preserve">7 </w:t>
      </w:r>
      <w:r w:rsidR="00AF3B19" w:rsidRPr="00C8353A">
        <w:rPr>
          <w:rFonts w:ascii="Verdana" w:hAnsi="Verdana" w:cstheme="minorHAnsi"/>
          <w:color w:val="232323"/>
          <w:sz w:val="20"/>
          <w:szCs w:val="20"/>
        </w:rPr>
        <w:t xml:space="preserve">unrestricted </w:t>
      </w:r>
      <w:r w:rsidRPr="00C8353A">
        <w:rPr>
          <w:rFonts w:ascii="Verdana" w:hAnsi="Verdana" w:cstheme="minorHAnsi"/>
          <w:color w:val="232323"/>
          <w:sz w:val="20"/>
          <w:szCs w:val="20"/>
        </w:rPr>
        <w:t>5</w:t>
      </w:r>
      <w:r w:rsidR="004775E0" w:rsidRPr="00C8353A">
        <w:rPr>
          <w:rFonts w:ascii="Verdana" w:hAnsi="Verdana" w:cstheme="minorHAnsi"/>
          <w:color w:val="232323"/>
          <w:sz w:val="20"/>
          <w:szCs w:val="20"/>
        </w:rPr>
        <w:t>8</w:t>
      </w:r>
      <w:r w:rsidRPr="00C8353A">
        <w:rPr>
          <w:rFonts w:ascii="Verdana" w:hAnsi="Verdana" w:cstheme="minorHAnsi"/>
          <w:color w:val="232323"/>
          <w:sz w:val="20"/>
          <w:szCs w:val="20"/>
        </w:rPr>
        <w:t xml:space="preserve"> </w:t>
      </w:r>
      <w:r w:rsidR="00AF3B19" w:rsidRPr="00C8353A">
        <w:rPr>
          <w:rFonts w:ascii="Verdana" w:hAnsi="Verdana" w:cstheme="minorHAnsi"/>
          <w:color w:val="232323"/>
          <w:sz w:val="20"/>
          <w:szCs w:val="20"/>
        </w:rPr>
        <w:t>r</w:t>
      </w:r>
      <w:r w:rsidRPr="00C8353A">
        <w:rPr>
          <w:rFonts w:ascii="Verdana" w:hAnsi="Verdana" w:cstheme="minorHAnsi"/>
          <w:color w:val="232323"/>
          <w:sz w:val="20"/>
          <w:szCs w:val="20"/>
        </w:rPr>
        <w:t>estricted</w:t>
      </w:r>
      <w:r w:rsidR="00AF3B19" w:rsidRPr="00C8353A">
        <w:rPr>
          <w:rFonts w:ascii="Verdana" w:hAnsi="Verdana" w:cstheme="minorHAnsi"/>
          <w:color w:val="232323"/>
          <w:sz w:val="20"/>
          <w:szCs w:val="20"/>
        </w:rPr>
        <w:t>, and 29 nominee trust licenses; and 144 licenses under the Companies Management Law, comprising 1</w:t>
      </w:r>
      <w:r w:rsidR="004775E0" w:rsidRPr="00C8353A">
        <w:rPr>
          <w:rFonts w:ascii="Verdana" w:hAnsi="Verdana" w:cstheme="minorHAnsi"/>
          <w:color w:val="232323"/>
          <w:sz w:val="20"/>
          <w:szCs w:val="20"/>
        </w:rPr>
        <w:t>20</w:t>
      </w:r>
      <w:r w:rsidR="00AF3B19" w:rsidRPr="00C8353A">
        <w:rPr>
          <w:rFonts w:ascii="Verdana" w:hAnsi="Verdana" w:cstheme="minorHAnsi"/>
          <w:color w:val="232323"/>
          <w:sz w:val="20"/>
          <w:szCs w:val="20"/>
        </w:rPr>
        <w:t xml:space="preserve"> Company Managers and 2</w:t>
      </w:r>
      <w:r w:rsidR="004775E0" w:rsidRPr="00C8353A">
        <w:rPr>
          <w:rFonts w:ascii="Verdana" w:hAnsi="Verdana" w:cstheme="minorHAnsi"/>
          <w:color w:val="232323"/>
          <w:sz w:val="20"/>
          <w:szCs w:val="20"/>
        </w:rPr>
        <w:t>4</w:t>
      </w:r>
      <w:r w:rsidR="00AF3B19" w:rsidRPr="00C8353A">
        <w:rPr>
          <w:rFonts w:ascii="Verdana" w:hAnsi="Verdana" w:cstheme="minorHAnsi"/>
          <w:color w:val="232323"/>
          <w:sz w:val="20"/>
          <w:szCs w:val="20"/>
        </w:rPr>
        <w:t xml:space="preserve"> Corporate Service Providers. A</w:t>
      </w:r>
      <w:r w:rsidRPr="00C8353A">
        <w:rPr>
          <w:rFonts w:ascii="Verdana" w:hAnsi="Verdana" w:cstheme="minorHAnsi"/>
          <w:color w:val="232323"/>
          <w:sz w:val="20"/>
          <w:szCs w:val="20"/>
        </w:rPr>
        <w:t xml:space="preserve">dditionally, as </w:t>
      </w:r>
      <w:r w:rsidR="00AF3B19" w:rsidRPr="00C8353A">
        <w:rPr>
          <w:rFonts w:ascii="Verdana" w:hAnsi="Verdana" w:cstheme="minorHAnsi"/>
          <w:color w:val="232323"/>
          <w:sz w:val="20"/>
          <w:szCs w:val="20"/>
        </w:rPr>
        <w:t>of</w:t>
      </w:r>
      <w:r w:rsidRPr="00C8353A">
        <w:rPr>
          <w:rFonts w:ascii="Verdana" w:hAnsi="Verdana" w:cstheme="minorHAnsi"/>
          <w:color w:val="232323"/>
          <w:sz w:val="20"/>
          <w:szCs w:val="20"/>
        </w:rPr>
        <w:t xml:space="preserve"> 30 September 2019, there were 47 Controlled Subsidiaries and 1</w:t>
      </w:r>
      <w:r w:rsidR="004775E0" w:rsidRPr="00C8353A">
        <w:rPr>
          <w:rFonts w:ascii="Verdana" w:hAnsi="Verdana" w:cstheme="minorHAnsi"/>
          <w:color w:val="232323"/>
          <w:sz w:val="20"/>
          <w:szCs w:val="20"/>
        </w:rPr>
        <w:t>31</w:t>
      </w:r>
      <w:r w:rsidRPr="00C8353A">
        <w:rPr>
          <w:rFonts w:ascii="Verdana" w:hAnsi="Verdana" w:cstheme="minorHAnsi"/>
          <w:color w:val="232323"/>
          <w:sz w:val="20"/>
          <w:szCs w:val="20"/>
        </w:rPr>
        <w:t xml:space="preserve"> Private Trust Companies Registered with the Fiduciary Services Division.</w:t>
      </w:r>
      <w:r w:rsidR="00082EA5" w:rsidRPr="00082EA5">
        <w:rPr>
          <w:rFonts w:ascii="Verdana" w:hAnsi="Verdana" w:cstheme="minorHAnsi"/>
          <w:color w:val="232323"/>
          <w:sz w:val="20"/>
          <w:szCs w:val="20"/>
        </w:rPr>
        <w:t xml:space="preserve"> </w:t>
      </w:r>
    </w:p>
    <w:p w14:paraId="265BDDC5" w14:textId="338D8EFC" w:rsidR="004775E0" w:rsidRPr="00C8353A" w:rsidRDefault="00082EA5" w:rsidP="00A42C7B">
      <w:pPr>
        <w:pStyle w:val="Heading2"/>
        <w:numPr>
          <w:ilvl w:val="0"/>
          <w:numId w:val="3"/>
        </w:numPr>
        <w:spacing w:line="276" w:lineRule="auto"/>
        <w:ind w:left="0" w:firstLine="0"/>
        <w:jc w:val="both"/>
        <w:rPr>
          <w:rFonts w:ascii="Verdana" w:eastAsiaTheme="minorHAnsi" w:hAnsi="Verdana" w:cstheme="minorHAnsi"/>
          <w:color w:val="000000" w:themeColor="text1"/>
          <w:sz w:val="20"/>
          <w:szCs w:val="20"/>
          <w:lang w:val="en-US" w:eastAsia="en-US"/>
        </w:rPr>
      </w:pPr>
      <w:r w:rsidRPr="00A42C7B">
        <w:rPr>
          <w:rFonts w:ascii="Verdana" w:hAnsi="Verdana" w:cstheme="minorHAnsi"/>
          <w:color w:val="232323"/>
          <w:sz w:val="20"/>
          <w:szCs w:val="20"/>
        </w:rPr>
        <w:t>In contrast to the banking sector in the Cayman Islands, the number of TCSPs has in recent years slightly increased. While the number of trust licensees has been slightly reduced since 2009, the number of registered controlled subsidiary and private trust companies as well as the number</w:t>
      </w:r>
      <w:r w:rsidRPr="00C8353A">
        <w:rPr>
          <w:rFonts w:ascii="Verdana" w:eastAsiaTheme="minorHAnsi" w:hAnsi="Verdana" w:cs="Times New Roman"/>
          <w:color w:val="000000" w:themeColor="text1"/>
          <w:sz w:val="20"/>
          <w:szCs w:val="20"/>
          <w:lang w:val="en-US" w:eastAsia="en-US"/>
        </w:rPr>
        <w:t xml:space="preserve"> of licenses under the Companies Management Law have seen a steep increase during the same time period</w:t>
      </w:r>
      <w:r w:rsidR="00E74735">
        <w:rPr>
          <w:rFonts w:ascii="Verdana" w:eastAsiaTheme="minorHAnsi" w:hAnsi="Verdana" w:cs="Times New Roman"/>
          <w:color w:val="000000" w:themeColor="text1"/>
          <w:sz w:val="20"/>
          <w:szCs w:val="20"/>
          <w:lang w:val="en-US" w:eastAsia="en-US"/>
        </w:rPr>
        <w:t xml:space="preserve">. The increase in registered controlled subsidiaries is driven largely by the speed and relative administrative ease with which parties that already hold a Trust </w:t>
      </w:r>
      <w:proofErr w:type="spellStart"/>
      <w:r w:rsidR="00E74735">
        <w:rPr>
          <w:rFonts w:ascii="Verdana" w:eastAsiaTheme="minorHAnsi" w:hAnsi="Verdana" w:cs="Times New Roman"/>
          <w:color w:val="000000" w:themeColor="text1"/>
          <w:sz w:val="20"/>
          <w:szCs w:val="20"/>
          <w:lang w:val="en-US" w:eastAsia="en-US"/>
        </w:rPr>
        <w:t>Licence</w:t>
      </w:r>
      <w:proofErr w:type="spellEnd"/>
      <w:r w:rsidR="00E74735">
        <w:rPr>
          <w:rFonts w:ascii="Verdana" w:eastAsiaTheme="minorHAnsi" w:hAnsi="Verdana" w:cs="Times New Roman"/>
          <w:color w:val="000000" w:themeColor="text1"/>
          <w:sz w:val="20"/>
          <w:szCs w:val="20"/>
          <w:lang w:val="en-US" w:eastAsia="en-US"/>
        </w:rPr>
        <w:t xml:space="preserve"> can be authorized to carry out additional trust activity that is</w:t>
      </w:r>
      <w:r w:rsidR="00622EA7">
        <w:rPr>
          <w:rFonts w:ascii="Verdana" w:eastAsiaTheme="minorHAnsi" w:hAnsi="Verdana" w:cs="Times New Roman"/>
          <w:color w:val="000000" w:themeColor="text1"/>
          <w:sz w:val="20"/>
          <w:szCs w:val="20"/>
          <w:lang w:val="en-US" w:eastAsia="en-US"/>
        </w:rPr>
        <w:t xml:space="preserve"> </w:t>
      </w:r>
      <w:r w:rsidR="00E74735">
        <w:rPr>
          <w:rFonts w:ascii="Verdana" w:eastAsiaTheme="minorHAnsi" w:hAnsi="Verdana" w:cs="Times New Roman"/>
          <w:color w:val="000000" w:themeColor="text1"/>
          <w:sz w:val="20"/>
          <w:szCs w:val="20"/>
          <w:lang w:val="en-US" w:eastAsia="en-US"/>
        </w:rPr>
        <w:t>related to</w:t>
      </w:r>
      <w:r w:rsidR="00622EA7">
        <w:rPr>
          <w:rFonts w:ascii="Verdana" w:eastAsiaTheme="minorHAnsi" w:hAnsi="Verdana" w:cs="Times New Roman"/>
          <w:color w:val="000000" w:themeColor="text1"/>
          <w:sz w:val="20"/>
          <w:szCs w:val="20"/>
          <w:lang w:val="en-US" w:eastAsia="en-US"/>
        </w:rPr>
        <w:t xml:space="preserve"> the business of</w:t>
      </w:r>
      <w:r w:rsidR="00E74735">
        <w:rPr>
          <w:rFonts w:ascii="Verdana" w:eastAsiaTheme="minorHAnsi" w:hAnsi="Verdana" w:cs="Times New Roman"/>
          <w:color w:val="000000" w:themeColor="text1"/>
          <w:sz w:val="20"/>
          <w:szCs w:val="20"/>
          <w:lang w:val="en-US" w:eastAsia="en-US"/>
        </w:rPr>
        <w:t xml:space="preserve"> an existing parent company that holds a Trust </w:t>
      </w:r>
      <w:proofErr w:type="spellStart"/>
      <w:r w:rsidR="00E74735">
        <w:rPr>
          <w:rFonts w:ascii="Verdana" w:eastAsiaTheme="minorHAnsi" w:hAnsi="Verdana" w:cs="Times New Roman"/>
          <w:color w:val="000000" w:themeColor="text1"/>
          <w:sz w:val="20"/>
          <w:szCs w:val="20"/>
          <w:lang w:val="en-US" w:eastAsia="en-US"/>
        </w:rPr>
        <w:t>Licence</w:t>
      </w:r>
      <w:proofErr w:type="spellEnd"/>
      <w:r w:rsidR="00E74735">
        <w:rPr>
          <w:rFonts w:ascii="Verdana" w:eastAsiaTheme="minorHAnsi" w:hAnsi="Verdana" w:cs="Times New Roman"/>
          <w:color w:val="000000" w:themeColor="text1"/>
          <w:sz w:val="20"/>
          <w:szCs w:val="20"/>
          <w:lang w:val="en-US" w:eastAsia="en-US"/>
        </w:rPr>
        <w:t>.</w:t>
      </w:r>
      <w:r w:rsidR="00622EA7">
        <w:rPr>
          <w:rFonts w:ascii="Verdana" w:eastAsiaTheme="minorHAnsi" w:hAnsi="Verdana" w:cs="Times New Roman"/>
          <w:color w:val="000000" w:themeColor="text1"/>
          <w:sz w:val="20"/>
          <w:szCs w:val="20"/>
          <w:lang w:val="en-US" w:eastAsia="en-US"/>
        </w:rPr>
        <w:t xml:space="preserve"> The steep increase in PTCs came about because the regime was specifically created to simplify, in a cost effective manner, the provision of trusteeship to related private parties through single purpose trustee vehicles that have a statutorily mandated relationship with a company that holds a Trust </w:t>
      </w:r>
      <w:proofErr w:type="spellStart"/>
      <w:r w:rsidR="00622EA7">
        <w:rPr>
          <w:rFonts w:ascii="Verdana" w:eastAsiaTheme="minorHAnsi" w:hAnsi="Verdana" w:cs="Times New Roman"/>
          <w:color w:val="000000" w:themeColor="text1"/>
          <w:sz w:val="20"/>
          <w:szCs w:val="20"/>
          <w:lang w:val="en-US" w:eastAsia="en-US"/>
        </w:rPr>
        <w:t>Licence</w:t>
      </w:r>
      <w:proofErr w:type="spellEnd"/>
      <w:r w:rsidR="00622EA7">
        <w:rPr>
          <w:rFonts w:ascii="Verdana" w:eastAsiaTheme="minorHAnsi" w:hAnsi="Verdana" w:cs="Times New Roman"/>
          <w:color w:val="000000" w:themeColor="text1"/>
          <w:sz w:val="20"/>
          <w:szCs w:val="20"/>
          <w:lang w:val="en-US" w:eastAsia="en-US"/>
        </w:rPr>
        <w:t xml:space="preserve">. Licensees under the Companies Management Law saw an increase in part because of the growth in the </w:t>
      </w:r>
      <w:r w:rsidR="00763E8C">
        <w:rPr>
          <w:rFonts w:ascii="Verdana" w:eastAsiaTheme="minorHAnsi" w:hAnsi="Verdana" w:cs="Times New Roman"/>
          <w:color w:val="000000" w:themeColor="text1"/>
          <w:sz w:val="20"/>
          <w:szCs w:val="20"/>
          <w:lang w:val="en-US" w:eastAsia="en-US"/>
        </w:rPr>
        <w:t>governance industry for the funds sector.</w:t>
      </w:r>
    </w:p>
    <w:p w14:paraId="6A3B95BA" w14:textId="77777777" w:rsidR="00082EA5" w:rsidRDefault="00E466F9"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hAnsi="Verdana"/>
          <w:sz w:val="20"/>
          <w:szCs w:val="20"/>
        </w:rPr>
        <w:t>T</w:t>
      </w:r>
      <w:r w:rsidR="00CA63F8" w:rsidRPr="00C8353A">
        <w:rPr>
          <w:rFonts w:ascii="Verdana" w:hAnsi="Verdana"/>
          <w:sz w:val="20"/>
          <w:szCs w:val="20"/>
        </w:rPr>
        <w:t xml:space="preserve">he </w:t>
      </w:r>
      <w:r w:rsidR="00425B0D" w:rsidRPr="00C8353A">
        <w:rPr>
          <w:rFonts w:ascii="Verdana" w:hAnsi="Verdana"/>
          <w:sz w:val="20"/>
          <w:szCs w:val="20"/>
        </w:rPr>
        <w:t>significant</w:t>
      </w:r>
      <w:r w:rsidR="00CA63F8" w:rsidRPr="00C8353A">
        <w:rPr>
          <w:rFonts w:ascii="Verdana" w:hAnsi="Verdana"/>
          <w:sz w:val="20"/>
          <w:szCs w:val="20"/>
        </w:rPr>
        <w:t xml:space="preserve"> number of </w:t>
      </w:r>
      <w:r w:rsidR="007435A6" w:rsidRPr="00C8353A">
        <w:rPr>
          <w:rFonts w:ascii="Verdana" w:hAnsi="Verdana"/>
          <w:sz w:val="20"/>
          <w:szCs w:val="20"/>
        </w:rPr>
        <w:t>TCSPs</w:t>
      </w:r>
      <w:r w:rsidR="00CA63F8" w:rsidRPr="00C8353A">
        <w:rPr>
          <w:rFonts w:ascii="Verdana" w:hAnsi="Verdana"/>
          <w:sz w:val="20"/>
          <w:szCs w:val="20"/>
        </w:rPr>
        <w:t xml:space="preserve"> </w:t>
      </w:r>
      <w:r w:rsidR="007435A6" w:rsidRPr="00C8353A">
        <w:rPr>
          <w:rFonts w:ascii="Verdana" w:hAnsi="Verdana"/>
          <w:sz w:val="20"/>
          <w:szCs w:val="20"/>
        </w:rPr>
        <w:t>registered</w:t>
      </w:r>
      <w:r w:rsidR="005A4C4F" w:rsidRPr="00C8353A">
        <w:rPr>
          <w:rFonts w:ascii="Verdana" w:hAnsi="Verdana"/>
          <w:sz w:val="20"/>
          <w:szCs w:val="20"/>
        </w:rPr>
        <w:t xml:space="preserve"> in the Cayman Islands coupled </w:t>
      </w:r>
      <w:r w:rsidR="00CA63F8" w:rsidRPr="00C8353A">
        <w:rPr>
          <w:rFonts w:ascii="Verdana" w:hAnsi="Verdana"/>
          <w:sz w:val="20"/>
          <w:szCs w:val="20"/>
        </w:rPr>
        <w:t>with a wide array of products and services</w:t>
      </w:r>
      <w:r w:rsidR="005A4C4F" w:rsidRPr="00C8353A">
        <w:rPr>
          <w:rFonts w:ascii="Verdana" w:hAnsi="Verdana"/>
          <w:sz w:val="20"/>
          <w:szCs w:val="20"/>
        </w:rPr>
        <w:t xml:space="preserve"> offered</w:t>
      </w:r>
      <w:r w:rsidR="006E5BDA" w:rsidRPr="00C8353A">
        <w:rPr>
          <w:rFonts w:ascii="Verdana" w:eastAsiaTheme="minorHAnsi" w:hAnsi="Verdana" w:cs="Times New Roman"/>
          <w:color w:val="000000" w:themeColor="text1"/>
          <w:sz w:val="20"/>
          <w:szCs w:val="20"/>
          <w:lang w:val="en-US" w:eastAsia="en-US"/>
        </w:rPr>
        <w:t xml:space="preserve">, </w:t>
      </w:r>
      <w:r w:rsidR="000D0F62" w:rsidRPr="00C8353A">
        <w:rPr>
          <w:rFonts w:ascii="Verdana" w:eastAsiaTheme="minorHAnsi" w:hAnsi="Verdana" w:cs="Times New Roman"/>
          <w:color w:val="000000" w:themeColor="text1"/>
          <w:sz w:val="20"/>
          <w:szCs w:val="20"/>
          <w:lang w:val="en-US" w:eastAsia="en-US"/>
        </w:rPr>
        <w:t xml:space="preserve">the high value of </w:t>
      </w:r>
      <w:r w:rsidR="006E5BDA" w:rsidRPr="00C8353A">
        <w:rPr>
          <w:rFonts w:ascii="Verdana" w:eastAsiaTheme="minorHAnsi" w:hAnsi="Verdana" w:cs="Times New Roman"/>
          <w:color w:val="000000" w:themeColor="text1"/>
          <w:sz w:val="20"/>
          <w:szCs w:val="20"/>
          <w:lang w:val="en-US" w:eastAsia="en-US"/>
        </w:rPr>
        <w:t xml:space="preserve">cross-border </w:t>
      </w:r>
      <w:r w:rsidR="00CA63F8" w:rsidRPr="00C8353A">
        <w:rPr>
          <w:rFonts w:ascii="Verdana" w:eastAsiaTheme="minorHAnsi" w:hAnsi="Verdana" w:cs="Times New Roman"/>
          <w:color w:val="000000" w:themeColor="text1"/>
          <w:sz w:val="20"/>
          <w:szCs w:val="20"/>
          <w:lang w:val="en-US" w:eastAsia="en-US"/>
        </w:rPr>
        <w:t>transactions</w:t>
      </w:r>
      <w:r w:rsidR="00B427B8" w:rsidRPr="00C8353A">
        <w:rPr>
          <w:rFonts w:ascii="Verdana" w:eastAsiaTheme="minorHAnsi" w:hAnsi="Verdana" w:cs="Times New Roman"/>
          <w:color w:val="000000" w:themeColor="text1"/>
          <w:sz w:val="20"/>
          <w:szCs w:val="20"/>
          <w:lang w:val="en-US" w:eastAsia="en-US"/>
        </w:rPr>
        <w:t>, the value of</w:t>
      </w:r>
      <w:r w:rsidR="006E5BDA" w:rsidRPr="00C8353A">
        <w:rPr>
          <w:rFonts w:ascii="Verdana" w:eastAsiaTheme="minorHAnsi" w:hAnsi="Verdana" w:cs="Times New Roman"/>
          <w:color w:val="000000" w:themeColor="text1"/>
          <w:sz w:val="20"/>
          <w:szCs w:val="20"/>
          <w:lang w:val="en-US" w:eastAsia="en-US"/>
        </w:rPr>
        <w:t xml:space="preserve"> domestic assets and liabilities in </w:t>
      </w:r>
      <w:r w:rsidR="00F42DFE" w:rsidRPr="00C8353A">
        <w:rPr>
          <w:rFonts w:ascii="Verdana" w:eastAsiaTheme="minorHAnsi" w:hAnsi="Verdana" w:cs="Times New Roman"/>
          <w:color w:val="000000" w:themeColor="text1"/>
          <w:sz w:val="20"/>
          <w:szCs w:val="20"/>
          <w:lang w:val="en-US" w:eastAsia="en-US"/>
        </w:rPr>
        <w:t>foreign</w:t>
      </w:r>
      <w:r w:rsidR="006E5BDA" w:rsidRPr="00C8353A">
        <w:rPr>
          <w:rFonts w:ascii="Verdana" w:eastAsiaTheme="minorHAnsi" w:hAnsi="Verdana" w:cs="Times New Roman"/>
          <w:color w:val="000000" w:themeColor="text1"/>
          <w:sz w:val="20"/>
          <w:szCs w:val="20"/>
          <w:lang w:val="en-US" w:eastAsia="en-US"/>
        </w:rPr>
        <w:t xml:space="preserve"> currency</w:t>
      </w:r>
      <w:r w:rsidR="00920946" w:rsidRPr="00C8353A">
        <w:rPr>
          <w:rFonts w:ascii="Verdana" w:eastAsiaTheme="minorHAnsi" w:hAnsi="Verdana" w:cs="Times New Roman"/>
          <w:color w:val="000000" w:themeColor="text1"/>
          <w:sz w:val="20"/>
          <w:szCs w:val="20"/>
          <w:lang w:val="en-US" w:eastAsia="en-US"/>
        </w:rPr>
        <w:t xml:space="preserve"> </w:t>
      </w:r>
      <w:r w:rsidR="006E5BDA" w:rsidRPr="00C8353A">
        <w:rPr>
          <w:rFonts w:ascii="Verdana" w:eastAsiaTheme="minorHAnsi" w:hAnsi="Verdana" w:cs="Times New Roman"/>
          <w:color w:val="000000" w:themeColor="text1"/>
          <w:sz w:val="20"/>
          <w:szCs w:val="20"/>
          <w:lang w:val="en-US" w:eastAsia="en-US"/>
        </w:rPr>
        <w:t xml:space="preserve">put the </w:t>
      </w:r>
      <w:r w:rsidR="00E66A43" w:rsidRPr="00C8353A">
        <w:rPr>
          <w:rFonts w:ascii="Verdana" w:eastAsiaTheme="minorHAnsi" w:hAnsi="Verdana" w:cs="Times New Roman"/>
          <w:color w:val="000000" w:themeColor="text1"/>
          <w:sz w:val="20"/>
          <w:szCs w:val="20"/>
          <w:lang w:val="en-US" w:eastAsia="en-US"/>
        </w:rPr>
        <w:t xml:space="preserve">TCSP </w:t>
      </w:r>
      <w:r w:rsidR="006E5BDA" w:rsidRPr="00C8353A">
        <w:rPr>
          <w:rFonts w:ascii="Verdana" w:eastAsiaTheme="minorHAnsi" w:hAnsi="Verdana" w:cs="Times New Roman"/>
          <w:color w:val="000000" w:themeColor="text1"/>
          <w:sz w:val="20"/>
          <w:szCs w:val="20"/>
          <w:lang w:val="en-US" w:eastAsia="en-US"/>
        </w:rPr>
        <w:t xml:space="preserve">sector at the forefront of the </w:t>
      </w:r>
      <w:r w:rsidRPr="00C8353A">
        <w:rPr>
          <w:rFonts w:ascii="Verdana" w:eastAsiaTheme="minorHAnsi" w:hAnsi="Verdana" w:cs="Times New Roman"/>
          <w:color w:val="000000" w:themeColor="text1"/>
          <w:sz w:val="20"/>
          <w:szCs w:val="20"/>
          <w:lang w:val="en-US" w:eastAsia="en-US"/>
        </w:rPr>
        <w:t xml:space="preserve">Cayman Islands’ </w:t>
      </w:r>
      <w:r w:rsidR="006E5BDA" w:rsidRPr="00C8353A">
        <w:rPr>
          <w:rFonts w:ascii="Verdana" w:eastAsiaTheme="minorHAnsi" w:hAnsi="Verdana" w:cs="Times New Roman"/>
          <w:color w:val="000000" w:themeColor="text1"/>
          <w:sz w:val="20"/>
          <w:szCs w:val="20"/>
          <w:lang w:val="en-US" w:eastAsia="en-US"/>
        </w:rPr>
        <w:t>fight against ML and TF.</w:t>
      </w:r>
      <w:r w:rsidR="007435A6" w:rsidRPr="00C8353A">
        <w:rPr>
          <w:rFonts w:ascii="Verdana" w:eastAsiaTheme="minorHAnsi" w:hAnsi="Verdana" w:cs="Times New Roman"/>
          <w:color w:val="000000" w:themeColor="text1"/>
          <w:sz w:val="20"/>
          <w:szCs w:val="20"/>
          <w:lang w:val="en-US" w:eastAsia="en-US"/>
        </w:rPr>
        <w:t xml:space="preserve"> In particular, the </w:t>
      </w:r>
      <w:r w:rsidR="006124F9" w:rsidRPr="00C8353A">
        <w:rPr>
          <w:rFonts w:ascii="Verdana" w:eastAsiaTheme="minorHAnsi" w:hAnsi="Verdana" w:cs="Times New Roman"/>
          <w:color w:val="000000" w:themeColor="text1"/>
          <w:sz w:val="20"/>
          <w:szCs w:val="20"/>
          <w:lang w:val="en-US" w:eastAsia="en-US"/>
        </w:rPr>
        <w:t xml:space="preserve">complexity </w:t>
      </w:r>
      <w:r w:rsidR="000D0F62" w:rsidRPr="00C8353A">
        <w:rPr>
          <w:rFonts w:ascii="Verdana" w:eastAsiaTheme="minorHAnsi" w:hAnsi="Verdana" w:cs="Times New Roman"/>
          <w:color w:val="000000" w:themeColor="text1"/>
          <w:sz w:val="20"/>
          <w:szCs w:val="20"/>
          <w:lang w:val="en-US" w:eastAsia="en-US"/>
        </w:rPr>
        <w:t xml:space="preserve">of </w:t>
      </w:r>
      <w:r w:rsidR="007435A6" w:rsidRPr="00C8353A">
        <w:rPr>
          <w:rFonts w:ascii="Verdana" w:eastAsiaTheme="minorHAnsi" w:hAnsi="Verdana" w:cs="Times New Roman"/>
          <w:color w:val="000000" w:themeColor="text1"/>
          <w:sz w:val="20"/>
          <w:szCs w:val="20"/>
          <w:lang w:val="en-US" w:eastAsia="en-US"/>
        </w:rPr>
        <w:t xml:space="preserve">the </w:t>
      </w:r>
      <w:r w:rsidR="00E66A43" w:rsidRPr="00C8353A">
        <w:rPr>
          <w:rFonts w:ascii="Verdana" w:eastAsiaTheme="minorHAnsi" w:hAnsi="Verdana" w:cs="Times New Roman"/>
          <w:color w:val="000000" w:themeColor="text1"/>
          <w:sz w:val="20"/>
          <w:szCs w:val="20"/>
          <w:lang w:val="en-US" w:eastAsia="en-US"/>
        </w:rPr>
        <w:t xml:space="preserve">of the services offered, </w:t>
      </w:r>
      <w:r w:rsidR="001859B5" w:rsidRPr="00C8353A">
        <w:rPr>
          <w:rFonts w:ascii="Verdana" w:eastAsiaTheme="minorHAnsi" w:hAnsi="Verdana" w:cs="Times New Roman"/>
          <w:color w:val="000000" w:themeColor="text1"/>
          <w:sz w:val="20"/>
          <w:szCs w:val="20"/>
          <w:lang w:val="en-US" w:eastAsia="en-US"/>
        </w:rPr>
        <w:t>the high-risk nature of the customers,</w:t>
      </w:r>
      <w:r w:rsidR="006124F9" w:rsidRPr="00C8353A">
        <w:rPr>
          <w:rFonts w:ascii="Verdana" w:eastAsiaTheme="minorHAnsi" w:hAnsi="Verdana" w:cs="Times New Roman"/>
          <w:color w:val="000000" w:themeColor="text1"/>
          <w:sz w:val="20"/>
          <w:szCs w:val="20"/>
          <w:lang w:val="en-US" w:eastAsia="en-US"/>
        </w:rPr>
        <w:t xml:space="preserve"> </w:t>
      </w:r>
      <w:r w:rsidR="00B427B8" w:rsidRPr="00C8353A">
        <w:rPr>
          <w:rFonts w:ascii="Verdana" w:eastAsiaTheme="minorHAnsi" w:hAnsi="Verdana" w:cs="Times New Roman"/>
          <w:color w:val="000000" w:themeColor="text1"/>
          <w:sz w:val="20"/>
          <w:szCs w:val="20"/>
          <w:lang w:val="en-US" w:eastAsia="en-US"/>
        </w:rPr>
        <w:t>and t</w:t>
      </w:r>
      <w:r w:rsidR="006124F9" w:rsidRPr="00C8353A">
        <w:rPr>
          <w:rFonts w:ascii="Verdana" w:eastAsiaTheme="minorHAnsi" w:hAnsi="Verdana" w:cs="Times New Roman"/>
          <w:color w:val="000000" w:themeColor="text1"/>
          <w:sz w:val="20"/>
          <w:szCs w:val="20"/>
          <w:lang w:val="en-US" w:eastAsia="en-US"/>
        </w:rPr>
        <w:t xml:space="preserve">he global interconnectedness of the sector </w:t>
      </w:r>
      <w:r w:rsidR="00B427B8" w:rsidRPr="00C8353A">
        <w:rPr>
          <w:rFonts w:ascii="Verdana" w:eastAsiaTheme="minorHAnsi" w:hAnsi="Verdana" w:cs="Times New Roman"/>
          <w:color w:val="000000" w:themeColor="text1"/>
          <w:sz w:val="20"/>
          <w:szCs w:val="20"/>
          <w:lang w:val="en-US" w:eastAsia="en-US"/>
        </w:rPr>
        <w:t xml:space="preserve">further contribute to the existing risk </w:t>
      </w:r>
      <w:r w:rsidR="000D0F62" w:rsidRPr="00C8353A">
        <w:rPr>
          <w:rFonts w:ascii="Verdana" w:eastAsiaTheme="minorHAnsi" w:hAnsi="Verdana" w:cs="Times New Roman"/>
          <w:color w:val="000000" w:themeColor="text1"/>
          <w:sz w:val="20"/>
          <w:szCs w:val="20"/>
          <w:lang w:val="en-US" w:eastAsia="en-US"/>
        </w:rPr>
        <w:t>environmen</w:t>
      </w:r>
      <w:r w:rsidR="00B427B8" w:rsidRPr="00C8353A">
        <w:rPr>
          <w:rFonts w:ascii="Verdana" w:eastAsiaTheme="minorHAnsi" w:hAnsi="Verdana" w:cs="Times New Roman"/>
          <w:color w:val="000000" w:themeColor="text1"/>
          <w:sz w:val="20"/>
          <w:szCs w:val="20"/>
          <w:lang w:val="en-US" w:eastAsia="en-US"/>
        </w:rPr>
        <w:t>t</w:t>
      </w:r>
      <w:r w:rsidR="000D0F62" w:rsidRPr="00C8353A">
        <w:rPr>
          <w:rFonts w:ascii="Verdana" w:eastAsiaTheme="minorHAnsi" w:hAnsi="Verdana" w:cs="Times New Roman"/>
          <w:color w:val="000000" w:themeColor="text1"/>
          <w:sz w:val="20"/>
          <w:szCs w:val="20"/>
          <w:lang w:val="en-US" w:eastAsia="en-US"/>
        </w:rPr>
        <w:t xml:space="preserve">. </w:t>
      </w:r>
      <w:r w:rsidR="006E5BDA" w:rsidRPr="00C8353A">
        <w:rPr>
          <w:rFonts w:ascii="Verdana" w:eastAsiaTheme="minorHAnsi" w:hAnsi="Verdana" w:cs="Times New Roman"/>
          <w:color w:val="000000" w:themeColor="text1"/>
          <w:sz w:val="20"/>
          <w:szCs w:val="20"/>
          <w:lang w:val="en-US" w:eastAsia="en-US"/>
        </w:rPr>
        <w:t xml:space="preserve"> </w:t>
      </w:r>
    </w:p>
    <w:p w14:paraId="0A5E06A8" w14:textId="6BF9D3B4" w:rsidR="000D0F62" w:rsidRPr="00C8353A" w:rsidRDefault="00082EA5"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Following analysis of the various sub-sectors of the TCSP sector, the TCSP Risk Assessment results in an allocation of a High rating for TSPs and a Medium High rating for CSPs. The lower risk rating for CSPs reflects the subsector’s lower customer base and number of high-risk clients from high risk jurisdictions</w:t>
      </w:r>
    </w:p>
    <w:p w14:paraId="31EE5C3E" w14:textId="77777777" w:rsidR="00EA50E9" w:rsidRPr="00C369A8" w:rsidRDefault="00EA50E9">
      <w:pPr>
        <w:pStyle w:val="Heading2"/>
        <w:numPr>
          <w:ilvl w:val="0"/>
          <w:numId w:val="0"/>
        </w:numPr>
        <w:spacing w:line="276" w:lineRule="auto"/>
        <w:ind w:right="-6"/>
        <w:jc w:val="both"/>
        <w:rPr>
          <w:rFonts w:asciiTheme="minorHAnsi" w:eastAsiaTheme="minorHAnsi" w:hAnsiTheme="minorHAnsi" w:cs="Times New Roman"/>
          <w:color w:val="000000" w:themeColor="text1"/>
          <w:sz w:val="2"/>
          <w:szCs w:val="22"/>
          <w:lang w:val="en-US" w:eastAsia="en-US"/>
        </w:rPr>
      </w:pPr>
    </w:p>
    <w:tbl>
      <w:tblPr>
        <w:tblStyle w:val="TableGrid"/>
        <w:tblW w:w="0" w:type="auto"/>
        <w:jc w:val="center"/>
        <w:tblLook w:val="04A0" w:firstRow="1" w:lastRow="0" w:firstColumn="1" w:lastColumn="0" w:noHBand="0" w:noVBand="1"/>
      </w:tblPr>
      <w:tblGrid>
        <w:gridCol w:w="3550"/>
        <w:gridCol w:w="3539"/>
      </w:tblGrid>
      <w:tr w:rsidR="00C46ADC" w:rsidRPr="00CD6C2A" w14:paraId="684DE1FC" w14:textId="77777777" w:rsidTr="00850590">
        <w:trPr>
          <w:jc w:val="center"/>
        </w:trPr>
        <w:tc>
          <w:tcPr>
            <w:tcW w:w="3550" w:type="dxa"/>
          </w:tcPr>
          <w:p w14:paraId="56C271E2" w14:textId="293CF99B" w:rsidR="00C46ADC" w:rsidRPr="00CD6C2A" w:rsidRDefault="00193E02" w:rsidP="00850590">
            <w:pPr>
              <w:spacing w:before="100" w:beforeAutospacing="1" w:after="100" w:afterAutospacing="1"/>
              <w:jc w:val="both"/>
              <w:rPr>
                <w:rFonts w:eastAsia="Times New Roman" w:cs="Times New Roman"/>
                <w:color w:val="191919"/>
                <w:sz w:val="22"/>
                <w:szCs w:val="22"/>
                <w:lang w:val="en-US" w:eastAsia="en-GB"/>
              </w:rPr>
            </w:pPr>
            <w:r>
              <w:rPr>
                <w:rFonts w:eastAsia="Times New Roman" w:cs="Times New Roman"/>
                <w:color w:val="191919"/>
                <w:sz w:val="22"/>
                <w:szCs w:val="22"/>
                <w:lang w:val="en-US" w:eastAsia="en-GB"/>
              </w:rPr>
              <w:t>TSPs</w:t>
            </w:r>
          </w:p>
        </w:tc>
        <w:tc>
          <w:tcPr>
            <w:tcW w:w="3539" w:type="dxa"/>
          </w:tcPr>
          <w:p w14:paraId="7C97D832" w14:textId="0A3E1A1C" w:rsidR="00C46ADC" w:rsidRPr="00CD6C2A" w:rsidRDefault="00193E02" w:rsidP="00850590">
            <w:pPr>
              <w:spacing w:before="100" w:beforeAutospacing="1" w:after="100" w:afterAutospacing="1"/>
              <w:jc w:val="both"/>
              <w:rPr>
                <w:rFonts w:eastAsia="Times New Roman" w:cs="Times New Roman"/>
                <w:color w:val="191919"/>
                <w:sz w:val="22"/>
                <w:szCs w:val="22"/>
                <w:lang w:val="en-US" w:eastAsia="en-GB"/>
              </w:rPr>
            </w:pPr>
            <w:r>
              <w:rPr>
                <w:rFonts w:eastAsia="Times New Roman" w:cs="Times New Roman"/>
                <w:color w:val="191919"/>
                <w:sz w:val="22"/>
                <w:szCs w:val="22"/>
                <w:lang w:val="en-US" w:eastAsia="en-GB"/>
              </w:rPr>
              <w:t>CSPs</w:t>
            </w:r>
          </w:p>
        </w:tc>
      </w:tr>
      <w:tr w:rsidR="00C46ADC" w:rsidRPr="00CD6C2A" w14:paraId="2CD7AE2D" w14:textId="77777777" w:rsidTr="00090E71">
        <w:trPr>
          <w:jc w:val="center"/>
        </w:trPr>
        <w:tc>
          <w:tcPr>
            <w:tcW w:w="3550" w:type="dxa"/>
            <w:shd w:val="clear" w:color="auto" w:fill="FF0000"/>
          </w:tcPr>
          <w:p w14:paraId="0EE36913" w14:textId="0F9EDCE6" w:rsidR="00C46ADC" w:rsidRPr="00CD6C2A" w:rsidRDefault="00C46ADC" w:rsidP="00850590">
            <w:pPr>
              <w:spacing w:before="100" w:beforeAutospacing="1" w:after="100" w:afterAutospacing="1"/>
              <w:jc w:val="both"/>
              <w:rPr>
                <w:rFonts w:eastAsia="Times New Roman" w:cs="Times New Roman"/>
                <w:color w:val="191919"/>
                <w:sz w:val="22"/>
                <w:szCs w:val="22"/>
                <w:lang w:val="en-US" w:eastAsia="en-GB"/>
              </w:rPr>
            </w:pPr>
            <w:r w:rsidRPr="00CD6C2A">
              <w:rPr>
                <w:rFonts w:eastAsia="Times New Roman" w:cs="Times New Roman"/>
                <w:color w:val="191919"/>
                <w:sz w:val="22"/>
                <w:szCs w:val="22"/>
                <w:lang w:val="en-US" w:eastAsia="en-GB"/>
              </w:rPr>
              <w:t>Nature</w:t>
            </w:r>
            <w:r w:rsidR="000575E7">
              <w:rPr>
                <w:rFonts w:eastAsia="Times New Roman" w:cs="Times New Roman"/>
                <w:color w:val="191919"/>
                <w:sz w:val="22"/>
                <w:szCs w:val="22"/>
                <w:lang w:val="en-US" w:eastAsia="en-GB"/>
              </w:rPr>
              <w:t xml:space="preserve"> and S</w:t>
            </w:r>
            <w:r w:rsidRPr="00CD6C2A">
              <w:rPr>
                <w:rFonts w:eastAsia="Times New Roman" w:cs="Times New Roman"/>
                <w:color w:val="191919"/>
                <w:sz w:val="22"/>
                <w:szCs w:val="22"/>
                <w:lang w:val="en-US" w:eastAsia="en-GB"/>
              </w:rPr>
              <w:t xml:space="preserve">ize: </w:t>
            </w:r>
            <w:r w:rsidR="0056795F">
              <w:rPr>
                <w:rFonts w:eastAsia="Times New Roman" w:cs="Times New Roman"/>
                <w:color w:val="191919"/>
                <w:sz w:val="22"/>
                <w:szCs w:val="22"/>
                <w:lang w:val="en-US" w:eastAsia="en-GB"/>
              </w:rPr>
              <w:t xml:space="preserve">High </w:t>
            </w:r>
          </w:p>
        </w:tc>
        <w:tc>
          <w:tcPr>
            <w:tcW w:w="3539" w:type="dxa"/>
            <w:shd w:val="clear" w:color="auto" w:fill="FFC000"/>
          </w:tcPr>
          <w:p w14:paraId="4542C04A" w14:textId="265E9905" w:rsidR="00C46ADC" w:rsidRPr="00CD6C2A" w:rsidRDefault="00C46ADC" w:rsidP="00850590">
            <w:pPr>
              <w:spacing w:before="100" w:beforeAutospacing="1" w:after="100" w:afterAutospacing="1"/>
              <w:jc w:val="both"/>
              <w:rPr>
                <w:rFonts w:eastAsia="Times New Roman" w:cs="Times New Roman"/>
                <w:color w:val="191919"/>
                <w:sz w:val="22"/>
                <w:szCs w:val="22"/>
                <w:lang w:val="en-US" w:eastAsia="en-GB"/>
              </w:rPr>
            </w:pPr>
            <w:r w:rsidRPr="00CD6C2A">
              <w:rPr>
                <w:rFonts w:eastAsia="Times New Roman" w:cs="Times New Roman"/>
                <w:color w:val="191919"/>
                <w:sz w:val="22"/>
                <w:szCs w:val="22"/>
                <w:lang w:val="en-US" w:eastAsia="en-GB"/>
              </w:rPr>
              <w:t>Nature</w:t>
            </w:r>
            <w:r w:rsidR="000575E7">
              <w:rPr>
                <w:rFonts w:eastAsia="Times New Roman" w:cs="Times New Roman"/>
                <w:color w:val="191919"/>
                <w:sz w:val="22"/>
                <w:szCs w:val="22"/>
                <w:lang w:val="en-US" w:eastAsia="en-GB"/>
              </w:rPr>
              <w:t xml:space="preserve"> and S</w:t>
            </w:r>
            <w:r w:rsidRPr="00CD6C2A">
              <w:rPr>
                <w:rFonts w:eastAsia="Times New Roman" w:cs="Times New Roman"/>
                <w:color w:val="191919"/>
                <w:sz w:val="22"/>
                <w:szCs w:val="22"/>
                <w:lang w:val="en-US" w:eastAsia="en-GB"/>
              </w:rPr>
              <w:t xml:space="preserve">ize: </w:t>
            </w:r>
            <w:r w:rsidR="0056795F">
              <w:rPr>
                <w:rFonts w:eastAsia="Times New Roman" w:cs="Times New Roman"/>
                <w:color w:val="191919"/>
                <w:sz w:val="22"/>
                <w:szCs w:val="22"/>
                <w:lang w:val="en-US" w:eastAsia="en-GB"/>
              </w:rPr>
              <w:t>Medium High</w:t>
            </w:r>
          </w:p>
        </w:tc>
      </w:tr>
      <w:tr w:rsidR="00C46ADC" w:rsidRPr="00CD6C2A" w14:paraId="1CCC9052" w14:textId="77777777" w:rsidTr="00090E71">
        <w:trPr>
          <w:jc w:val="center"/>
        </w:trPr>
        <w:tc>
          <w:tcPr>
            <w:tcW w:w="3550" w:type="dxa"/>
            <w:shd w:val="clear" w:color="auto" w:fill="FF0000"/>
          </w:tcPr>
          <w:p w14:paraId="6941BF46" w14:textId="07692FE6" w:rsidR="00C46ADC" w:rsidRPr="00CD6C2A" w:rsidRDefault="00C46ADC" w:rsidP="00850590">
            <w:pPr>
              <w:spacing w:before="100" w:beforeAutospacing="1" w:after="100" w:afterAutospacing="1"/>
              <w:jc w:val="both"/>
              <w:rPr>
                <w:rFonts w:eastAsia="Times New Roman" w:cs="Times New Roman"/>
                <w:color w:val="191919"/>
                <w:sz w:val="22"/>
                <w:szCs w:val="22"/>
                <w:lang w:val="en-US" w:eastAsia="en-GB"/>
              </w:rPr>
            </w:pPr>
            <w:r w:rsidRPr="00CD6C2A">
              <w:rPr>
                <w:rFonts w:eastAsia="Times New Roman" w:cs="Times New Roman"/>
                <w:color w:val="191919"/>
                <w:sz w:val="22"/>
                <w:szCs w:val="22"/>
                <w:lang w:val="en-US" w:eastAsia="en-GB"/>
              </w:rPr>
              <w:t xml:space="preserve">Customers: </w:t>
            </w:r>
            <w:r w:rsidR="00BD04F8">
              <w:rPr>
                <w:rFonts w:eastAsia="Times New Roman" w:cs="Times New Roman"/>
                <w:color w:val="191919"/>
                <w:sz w:val="22"/>
                <w:szCs w:val="22"/>
                <w:lang w:val="en-US" w:eastAsia="en-GB"/>
              </w:rPr>
              <w:t>High</w:t>
            </w:r>
          </w:p>
        </w:tc>
        <w:tc>
          <w:tcPr>
            <w:tcW w:w="3539" w:type="dxa"/>
            <w:shd w:val="clear" w:color="auto" w:fill="FFFF00"/>
          </w:tcPr>
          <w:p w14:paraId="1A53D2D9" w14:textId="377F0E66" w:rsidR="00C46ADC" w:rsidRPr="00CD6C2A" w:rsidRDefault="00C46ADC" w:rsidP="00850590">
            <w:pPr>
              <w:spacing w:before="100" w:beforeAutospacing="1" w:after="100" w:afterAutospacing="1"/>
              <w:jc w:val="both"/>
              <w:rPr>
                <w:rFonts w:eastAsia="Times New Roman" w:cs="Times New Roman"/>
                <w:color w:val="191919"/>
                <w:sz w:val="22"/>
                <w:szCs w:val="22"/>
                <w:lang w:val="en-US" w:eastAsia="en-GB"/>
              </w:rPr>
            </w:pPr>
            <w:r w:rsidRPr="00CD6C2A">
              <w:rPr>
                <w:rFonts w:eastAsia="Times New Roman" w:cs="Times New Roman"/>
                <w:color w:val="191919"/>
                <w:sz w:val="22"/>
                <w:szCs w:val="22"/>
                <w:lang w:val="en-US" w:eastAsia="en-GB"/>
              </w:rPr>
              <w:t xml:space="preserve">Customers: </w:t>
            </w:r>
            <w:r w:rsidR="00BD04F8">
              <w:rPr>
                <w:rFonts w:eastAsia="Times New Roman" w:cs="Times New Roman"/>
                <w:color w:val="191919"/>
                <w:sz w:val="22"/>
                <w:szCs w:val="22"/>
                <w:lang w:val="en-US" w:eastAsia="en-GB"/>
              </w:rPr>
              <w:t>Medium Low</w:t>
            </w:r>
          </w:p>
        </w:tc>
      </w:tr>
      <w:tr w:rsidR="00C46ADC" w:rsidRPr="00CD6C2A" w14:paraId="2FD51510" w14:textId="77777777" w:rsidTr="00315DE8">
        <w:trPr>
          <w:jc w:val="center"/>
        </w:trPr>
        <w:tc>
          <w:tcPr>
            <w:tcW w:w="3550" w:type="dxa"/>
            <w:shd w:val="clear" w:color="auto" w:fill="FF0000"/>
          </w:tcPr>
          <w:p w14:paraId="6EC96A2F" w14:textId="0117F06B" w:rsidR="00C46ADC" w:rsidRPr="00CD6C2A" w:rsidRDefault="0056795F" w:rsidP="00850590">
            <w:pPr>
              <w:spacing w:before="100" w:beforeAutospacing="1" w:after="100" w:afterAutospacing="1"/>
              <w:jc w:val="both"/>
              <w:rPr>
                <w:rFonts w:eastAsia="Times New Roman" w:cs="Times New Roman"/>
                <w:color w:val="191919"/>
                <w:sz w:val="22"/>
                <w:szCs w:val="22"/>
                <w:lang w:val="en-US" w:eastAsia="en-GB"/>
              </w:rPr>
            </w:pPr>
            <w:r>
              <w:rPr>
                <w:rFonts w:eastAsia="Times New Roman" w:cs="Times New Roman"/>
                <w:color w:val="191919"/>
                <w:sz w:val="22"/>
                <w:szCs w:val="22"/>
                <w:lang w:val="en-US" w:eastAsia="en-GB"/>
              </w:rPr>
              <w:t>P</w:t>
            </w:r>
            <w:r w:rsidR="0036213E" w:rsidRPr="00262CA2">
              <w:rPr>
                <w:rFonts w:eastAsia="Times New Roman" w:cs="Times New Roman"/>
                <w:color w:val="191919"/>
                <w:sz w:val="22"/>
                <w:szCs w:val="22"/>
                <w:lang w:val="en-US" w:eastAsia="en-GB"/>
              </w:rPr>
              <w:t>roducts and service:</w:t>
            </w:r>
            <w:r w:rsidR="00902D7D">
              <w:rPr>
                <w:rFonts w:eastAsia="Times New Roman" w:cs="Times New Roman"/>
                <w:color w:val="191919"/>
                <w:sz w:val="22"/>
                <w:szCs w:val="22"/>
                <w:lang w:val="en-US" w:eastAsia="en-GB"/>
              </w:rPr>
              <w:t xml:space="preserve"> High</w:t>
            </w:r>
          </w:p>
        </w:tc>
        <w:tc>
          <w:tcPr>
            <w:tcW w:w="3539" w:type="dxa"/>
            <w:shd w:val="clear" w:color="auto" w:fill="FFC000"/>
          </w:tcPr>
          <w:p w14:paraId="3FFB8975" w14:textId="7CAFC490" w:rsidR="00C46ADC" w:rsidRPr="00CD6C2A" w:rsidRDefault="0056795F" w:rsidP="00850590">
            <w:pPr>
              <w:spacing w:before="100" w:beforeAutospacing="1" w:after="100" w:afterAutospacing="1"/>
              <w:jc w:val="both"/>
              <w:rPr>
                <w:rFonts w:eastAsia="Times New Roman" w:cs="Times New Roman"/>
                <w:color w:val="191919"/>
                <w:sz w:val="22"/>
                <w:szCs w:val="22"/>
                <w:lang w:val="en-US" w:eastAsia="en-GB"/>
              </w:rPr>
            </w:pPr>
            <w:r>
              <w:rPr>
                <w:rFonts w:eastAsia="Times New Roman" w:cs="Times New Roman"/>
                <w:color w:val="191919"/>
                <w:sz w:val="22"/>
                <w:szCs w:val="22"/>
                <w:lang w:val="en-US" w:eastAsia="en-GB"/>
              </w:rPr>
              <w:t>P</w:t>
            </w:r>
            <w:r w:rsidR="00262CA2">
              <w:rPr>
                <w:rFonts w:eastAsia="Times New Roman" w:cs="Times New Roman"/>
                <w:color w:val="191919"/>
                <w:sz w:val="22"/>
                <w:szCs w:val="22"/>
                <w:lang w:val="en-US" w:eastAsia="en-GB"/>
              </w:rPr>
              <w:t>r</w:t>
            </w:r>
            <w:r w:rsidR="0036213E" w:rsidRPr="00C369A8">
              <w:rPr>
                <w:rFonts w:eastAsia="Times New Roman" w:cs="Times New Roman"/>
                <w:color w:val="191919"/>
                <w:sz w:val="22"/>
                <w:szCs w:val="22"/>
                <w:lang w:val="en-US" w:eastAsia="en-GB"/>
              </w:rPr>
              <w:t>oducts and services</w:t>
            </w:r>
            <w:r w:rsidR="00262CA2">
              <w:rPr>
                <w:rFonts w:eastAsia="Times New Roman" w:cs="Times New Roman"/>
                <w:color w:val="191919"/>
                <w:sz w:val="22"/>
                <w:szCs w:val="22"/>
                <w:lang w:val="en-US" w:eastAsia="en-GB"/>
              </w:rPr>
              <w:t>:</w:t>
            </w:r>
            <w:r w:rsidR="002D7891">
              <w:rPr>
                <w:rFonts w:eastAsia="Times New Roman" w:cs="Times New Roman"/>
                <w:color w:val="191919"/>
                <w:sz w:val="22"/>
                <w:szCs w:val="22"/>
                <w:lang w:val="en-US" w:eastAsia="en-GB"/>
              </w:rPr>
              <w:t xml:space="preserve"> Medium High</w:t>
            </w:r>
          </w:p>
        </w:tc>
      </w:tr>
      <w:tr w:rsidR="00C46ADC" w:rsidRPr="00CD6C2A" w14:paraId="0EC5C92F" w14:textId="77777777" w:rsidTr="00315DE8">
        <w:tblPrEx>
          <w:jc w:val="left"/>
        </w:tblPrEx>
        <w:tc>
          <w:tcPr>
            <w:tcW w:w="3550" w:type="dxa"/>
            <w:shd w:val="clear" w:color="auto" w:fill="FF0000"/>
          </w:tcPr>
          <w:p w14:paraId="43F9CF2B" w14:textId="30539C9F" w:rsidR="00C46ADC" w:rsidRPr="00CD6C2A" w:rsidRDefault="00C46ADC" w:rsidP="00850590">
            <w:pPr>
              <w:spacing w:before="100" w:beforeAutospacing="1" w:after="100" w:afterAutospacing="1"/>
              <w:jc w:val="both"/>
              <w:rPr>
                <w:rFonts w:eastAsia="Times New Roman" w:cs="Times New Roman"/>
                <w:color w:val="191919"/>
                <w:sz w:val="22"/>
                <w:szCs w:val="22"/>
                <w:lang w:val="en-US" w:eastAsia="en-GB"/>
              </w:rPr>
            </w:pPr>
            <w:r w:rsidRPr="00CD6C2A">
              <w:rPr>
                <w:rFonts w:eastAsia="Times New Roman" w:cs="Times New Roman"/>
                <w:color w:val="191919"/>
                <w:sz w:val="22"/>
                <w:szCs w:val="22"/>
                <w:lang w:val="en-US" w:eastAsia="en-GB"/>
              </w:rPr>
              <w:t xml:space="preserve">Delivery channel: </w:t>
            </w:r>
            <w:r w:rsidR="00902D7D">
              <w:rPr>
                <w:rFonts w:eastAsia="Times New Roman" w:cs="Times New Roman"/>
                <w:color w:val="191919"/>
                <w:sz w:val="22"/>
                <w:szCs w:val="22"/>
                <w:lang w:val="en-US" w:eastAsia="en-GB"/>
              </w:rPr>
              <w:t>High</w:t>
            </w:r>
          </w:p>
        </w:tc>
        <w:tc>
          <w:tcPr>
            <w:tcW w:w="3539" w:type="dxa"/>
            <w:shd w:val="clear" w:color="auto" w:fill="FFFF00"/>
          </w:tcPr>
          <w:p w14:paraId="618D8F78" w14:textId="5B054FA2" w:rsidR="00C46ADC" w:rsidRPr="00CD6C2A" w:rsidRDefault="00C46ADC" w:rsidP="00850590">
            <w:pPr>
              <w:spacing w:before="100" w:beforeAutospacing="1" w:after="100" w:afterAutospacing="1"/>
              <w:jc w:val="both"/>
              <w:rPr>
                <w:rFonts w:eastAsia="Times New Roman" w:cs="Times New Roman"/>
                <w:color w:val="191919"/>
                <w:sz w:val="22"/>
                <w:szCs w:val="22"/>
                <w:lang w:val="en-US" w:eastAsia="en-GB"/>
              </w:rPr>
            </w:pPr>
            <w:r w:rsidRPr="00CD6C2A">
              <w:rPr>
                <w:rFonts w:eastAsia="Times New Roman" w:cs="Times New Roman"/>
                <w:color w:val="191919"/>
                <w:sz w:val="22"/>
                <w:szCs w:val="22"/>
                <w:lang w:val="en-US" w:eastAsia="en-GB"/>
              </w:rPr>
              <w:t xml:space="preserve">Delivery channel: </w:t>
            </w:r>
            <w:r w:rsidR="002D7891">
              <w:rPr>
                <w:rFonts w:eastAsia="Times New Roman" w:cs="Times New Roman"/>
                <w:color w:val="191919"/>
                <w:sz w:val="22"/>
                <w:szCs w:val="22"/>
                <w:lang w:val="en-US" w:eastAsia="en-GB"/>
              </w:rPr>
              <w:t>Medium Low</w:t>
            </w:r>
          </w:p>
        </w:tc>
      </w:tr>
      <w:tr w:rsidR="00C46ADC" w:rsidRPr="00CD6C2A" w14:paraId="2D18FFCC" w14:textId="77777777" w:rsidTr="00315DE8">
        <w:tblPrEx>
          <w:jc w:val="left"/>
        </w:tblPrEx>
        <w:tc>
          <w:tcPr>
            <w:tcW w:w="3550" w:type="dxa"/>
            <w:shd w:val="clear" w:color="auto" w:fill="FF0000"/>
          </w:tcPr>
          <w:p w14:paraId="54C3DAB4" w14:textId="6192D3C7" w:rsidR="00C46ADC" w:rsidRPr="000623CE" w:rsidRDefault="00C46ADC" w:rsidP="00850590">
            <w:pPr>
              <w:spacing w:before="100" w:beforeAutospacing="1" w:after="100" w:afterAutospacing="1"/>
              <w:jc w:val="both"/>
              <w:rPr>
                <w:rFonts w:eastAsia="Times New Roman" w:cs="Times New Roman"/>
                <w:b/>
                <w:bCs/>
                <w:color w:val="191919"/>
                <w:sz w:val="22"/>
                <w:szCs w:val="22"/>
                <w:lang w:val="en-US" w:eastAsia="en-GB"/>
              </w:rPr>
            </w:pPr>
            <w:r w:rsidRPr="000623CE">
              <w:rPr>
                <w:rFonts w:eastAsia="Times New Roman" w:cs="Times New Roman"/>
                <w:b/>
                <w:bCs/>
                <w:color w:val="191919"/>
                <w:sz w:val="22"/>
                <w:szCs w:val="22"/>
                <w:lang w:val="en-US" w:eastAsia="en-GB"/>
              </w:rPr>
              <w:t xml:space="preserve">Overall: </w:t>
            </w:r>
            <w:r w:rsidR="00225B38">
              <w:rPr>
                <w:rFonts w:eastAsia="Times New Roman" w:cs="Times New Roman"/>
                <w:b/>
                <w:bCs/>
                <w:color w:val="191919"/>
                <w:sz w:val="22"/>
                <w:szCs w:val="22"/>
                <w:lang w:val="en-US" w:eastAsia="en-GB"/>
              </w:rPr>
              <w:t>High</w:t>
            </w:r>
          </w:p>
        </w:tc>
        <w:tc>
          <w:tcPr>
            <w:tcW w:w="3539" w:type="dxa"/>
            <w:shd w:val="clear" w:color="auto" w:fill="FFC000"/>
          </w:tcPr>
          <w:p w14:paraId="78AA01EE" w14:textId="4D74D963" w:rsidR="00C46ADC" w:rsidRPr="000623CE" w:rsidRDefault="00C46ADC" w:rsidP="00850590">
            <w:pPr>
              <w:spacing w:before="100" w:beforeAutospacing="1" w:after="100" w:afterAutospacing="1"/>
              <w:jc w:val="both"/>
              <w:rPr>
                <w:rFonts w:eastAsia="Times New Roman" w:cs="Times New Roman"/>
                <w:b/>
                <w:bCs/>
                <w:color w:val="191919"/>
                <w:sz w:val="22"/>
                <w:szCs w:val="22"/>
                <w:lang w:val="en-US" w:eastAsia="en-GB"/>
              </w:rPr>
            </w:pPr>
            <w:r w:rsidRPr="000623CE">
              <w:rPr>
                <w:rFonts w:eastAsia="Times New Roman" w:cs="Times New Roman"/>
                <w:b/>
                <w:bCs/>
                <w:color w:val="191919"/>
                <w:sz w:val="22"/>
                <w:szCs w:val="22"/>
                <w:lang w:val="en-US" w:eastAsia="en-GB"/>
              </w:rPr>
              <w:t xml:space="preserve">Overall: </w:t>
            </w:r>
            <w:r w:rsidR="00225B38">
              <w:rPr>
                <w:rFonts w:eastAsia="Times New Roman" w:cs="Times New Roman"/>
                <w:b/>
                <w:bCs/>
                <w:color w:val="191919"/>
                <w:sz w:val="22"/>
                <w:szCs w:val="22"/>
                <w:lang w:val="en-US" w:eastAsia="en-GB"/>
              </w:rPr>
              <w:t xml:space="preserve">Medium </w:t>
            </w:r>
            <w:r w:rsidR="0083642E">
              <w:rPr>
                <w:rFonts w:eastAsia="Times New Roman" w:cs="Times New Roman"/>
                <w:b/>
                <w:bCs/>
                <w:color w:val="191919"/>
                <w:sz w:val="22"/>
                <w:szCs w:val="22"/>
                <w:lang w:val="en-US" w:eastAsia="en-GB"/>
              </w:rPr>
              <w:t>High</w:t>
            </w:r>
          </w:p>
        </w:tc>
      </w:tr>
    </w:tbl>
    <w:p w14:paraId="38AFAC49" w14:textId="351DDF4F" w:rsidR="00CD275C" w:rsidRDefault="00CD275C" w:rsidP="00CD275C">
      <w:pPr>
        <w:pStyle w:val="Heading2"/>
        <w:numPr>
          <w:ilvl w:val="0"/>
          <w:numId w:val="0"/>
        </w:numPr>
        <w:rPr>
          <w:b/>
          <w:bCs/>
          <w:lang w:val="en-US"/>
        </w:rPr>
      </w:pPr>
    </w:p>
    <w:p w14:paraId="560C96EA" w14:textId="77777777" w:rsidR="00A55AC0" w:rsidRDefault="00A55AC0" w:rsidP="00CD275C">
      <w:pPr>
        <w:pStyle w:val="Heading2"/>
        <w:numPr>
          <w:ilvl w:val="0"/>
          <w:numId w:val="0"/>
        </w:numPr>
        <w:rPr>
          <w:b/>
          <w:bCs/>
          <w:lang w:val="en-US"/>
        </w:rPr>
      </w:pPr>
    </w:p>
    <w:p w14:paraId="19E13CC8" w14:textId="011C9B70" w:rsidR="002F5A8C" w:rsidRPr="000D24F3" w:rsidRDefault="00904BF8" w:rsidP="000D24F3">
      <w:pPr>
        <w:pStyle w:val="Heading2"/>
        <w:ind w:left="936"/>
        <w:rPr>
          <w:rFonts w:ascii="Verdana" w:hAnsi="Verdana"/>
          <w:b/>
          <w:bCs/>
          <w:sz w:val="24"/>
          <w:szCs w:val="24"/>
          <w:lang w:val="en-US"/>
        </w:rPr>
      </w:pPr>
      <w:r w:rsidRPr="000D24F3">
        <w:rPr>
          <w:rFonts w:ascii="Verdana" w:hAnsi="Verdana"/>
          <w:b/>
          <w:bCs/>
          <w:sz w:val="24"/>
          <w:szCs w:val="24"/>
          <w:lang w:val="en-US"/>
        </w:rPr>
        <w:t xml:space="preserve">Risk Category - Nature and </w:t>
      </w:r>
      <w:r w:rsidR="002F5A8C" w:rsidRPr="000D24F3">
        <w:rPr>
          <w:rFonts w:ascii="Verdana" w:hAnsi="Verdana"/>
          <w:b/>
          <w:bCs/>
          <w:sz w:val="24"/>
          <w:szCs w:val="24"/>
          <w:lang w:val="en-US"/>
        </w:rPr>
        <w:t>Size</w:t>
      </w:r>
      <w:r w:rsidR="00695A97" w:rsidRPr="000D24F3">
        <w:rPr>
          <w:rFonts w:ascii="Verdana" w:hAnsi="Verdana"/>
          <w:b/>
          <w:bCs/>
          <w:sz w:val="24"/>
          <w:szCs w:val="24"/>
          <w:lang w:val="en-US"/>
        </w:rPr>
        <w:t xml:space="preserve"> of the </w:t>
      </w:r>
      <w:r w:rsidRPr="000D24F3">
        <w:rPr>
          <w:rFonts w:ascii="Verdana" w:hAnsi="Verdana"/>
          <w:b/>
          <w:bCs/>
          <w:sz w:val="24"/>
          <w:szCs w:val="24"/>
          <w:lang w:val="en-US"/>
        </w:rPr>
        <w:t>S</w:t>
      </w:r>
      <w:r w:rsidR="00695A97" w:rsidRPr="000D24F3">
        <w:rPr>
          <w:rFonts w:ascii="Verdana" w:hAnsi="Verdana"/>
          <w:b/>
          <w:bCs/>
          <w:sz w:val="24"/>
          <w:szCs w:val="24"/>
          <w:lang w:val="en-US"/>
        </w:rPr>
        <w:t>ector</w:t>
      </w:r>
    </w:p>
    <w:p w14:paraId="01C98CC3" w14:textId="447086D6" w:rsidR="00FC744D" w:rsidRPr="00C8353A" w:rsidRDefault="00FC744D"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TCSPs in the Cayman Islands vary greatly in size from small entities with single customers to larger entities. There is a significant difference between the customer base of TSPs and CSPs. Customers of TSPs account for 87% of the total customer base while customers of CSPs account for 13 %. Natural persons make up approximately 40% of the customer base and corporate persons make up 60% of the customer base of the TCSP sector. In total, the TCSP sector in the Cayman Islands holds approximately 694 billion USD for its client base, 668 billion USD of which are held by TSPs and the remaining 26 billion by CSPs.</w:t>
      </w:r>
    </w:p>
    <w:p w14:paraId="0710A238" w14:textId="4EBED45E" w:rsidR="00FD4DF8" w:rsidRPr="00C8353A" w:rsidRDefault="00FD4DF8"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The below chart gives an overview of the breakdown of the TCSP sector which is under the supervisory remit of </w:t>
      </w:r>
      <w:r w:rsidR="00FC744D" w:rsidRPr="00C8353A">
        <w:rPr>
          <w:rFonts w:ascii="Verdana" w:eastAsiaTheme="minorHAnsi" w:hAnsi="Verdana" w:cs="Times New Roman"/>
          <w:color w:val="000000" w:themeColor="text1"/>
          <w:sz w:val="20"/>
          <w:szCs w:val="20"/>
          <w:lang w:val="en-US" w:eastAsia="en-US"/>
        </w:rPr>
        <w:t>FSD</w:t>
      </w:r>
      <w:r w:rsidRPr="00C8353A">
        <w:rPr>
          <w:rFonts w:ascii="Verdana" w:eastAsiaTheme="minorHAnsi" w:hAnsi="Verdana" w:cs="Times New Roman"/>
          <w:color w:val="000000" w:themeColor="text1"/>
          <w:sz w:val="20"/>
          <w:szCs w:val="20"/>
          <w:lang w:val="en-US" w:eastAsia="en-US"/>
        </w:rPr>
        <w:t xml:space="preserve"> within CIMA</w:t>
      </w:r>
      <w:r w:rsidR="00FC744D" w:rsidRPr="00C8353A">
        <w:rPr>
          <w:rFonts w:ascii="Verdana" w:eastAsiaTheme="minorHAnsi" w:hAnsi="Verdana" w:cs="Times New Roman"/>
          <w:color w:val="000000" w:themeColor="text1"/>
          <w:sz w:val="20"/>
          <w:szCs w:val="20"/>
          <w:lang w:val="en-US" w:eastAsia="en-US"/>
        </w:rPr>
        <w:t xml:space="preserve">. Companies Management and Corporate Service Providers fall under CSP and the remining entities fall under TSP. </w:t>
      </w:r>
    </w:p>
    <w:p w14:paraId="5488EA18" w14:textId="4122BD24" w:rsidR="00271195" w:rsidRPr="003C6B0C" w:rsidRDefault="00E219B1" w:rsidP="00FC744D">
      <w:pPr>
        <w:pStyle w:val="Heading2"/>
        <w:numPr>
          <w:ilvl w:val="0"/>
          <w:numId w:val="0"/>
        </w:numPr>
        <w:ind w:left="720"/>
        <w:rPr>
          <w:b/>
          <w:bCs/>
          <w:lang w:val="en-US"/>
        </w:rPr>
      </w:pPr>
      <w:r>
        <w:rPr>
          <w:noProof/>
        </w:rPr>
        <w:drawing>
          <wp:inline distT="0" distB="0" distL="0" distR="0" wp14:anchorId="68111BFF" wp14:editId="713AF3F5">
            <wp:extent cx="4724400" cy="2400300"/>
            <wp:effectExtent l="0" t="0" r="12700" b="12700"/>
            <wp:docPr id="1" name="Chart 1">
              <a:extLst xmlns:a="http://schemas.openxmlformats.org/drawingml/2006/main">
                <a:ext uri="{FF2B5EF4-FFF2-40B4-BE49-F238E27FC236}">
                  <a16:creationId xmlns:a16="http://schemas.microsoft.com/office/drawing/2014/main" id="{B8743633-9794-40C5-9EB6-7ED3F817EC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21D1D5" w14:textId="77777777" w:rsidR="00FC744D" w:rsidRDefault="00FC744D" w:rsidP="00A10A20">
      <w:pPr>
        <w:autoSpaceDE w:val="0"/>
        <w:autoSpaceDN w:val="0"/>
        <w:adjustRightInd w:val="0"/>
        <w:rPr>
          <w:rFonts w:cs="Times New Roman"/>
          <w:color w:val="FF0000"/>
          <w:sz w:val="22"/>
          <w:szCs w:val="22"/>
          <w:lang w:val="en-US"/>
        </w:rPr>
      </w:pPr>
    </w:p>
    <w:p w14:paraId="4A3B57B2" w14:textId="0307A170" w:rsidR="00A10A20" w:rsidRPr="00C8353A" w:rsidRDefault="00A10A20"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090E71">
        <w:rPr>
          <w:rFonts w:asciiTheme="minorHAnsi" w:eastAsiaTheme="minorHAnsi" w:hAnsiTheme="minorHAnsi" w:cs="Times New Roman"/>
          <w:color w:val="000000" w:themeColor="text1"/>
          <w:szCs w:val="22"/>
          <w:lang w:val="en-US" w:eastAsia="en-US"/>
        </w:rPr>
        <w:t xml:space="preserve">In </w:t>
      </w:r>
      <w:r w:rsidRPr="00C8353A">
        <w:rPr>
          <w:rFonts w:ascii="Verdana" w:eastAsiaTheme="minorHAnsi" w:hAnsi="Verdana" w:cs="Times New Roman"/>
          <w:color w:val="000000" w:themeColor="text1"/>
          <w:sz w:val="20"/>
          <w:szCs w:val="20"/>
          <w:lang w:val="en-US" w:eastAsia="en-US"/>
        </w:rPr>
        <w:t xml:space="preserve">considering the complexity of the TCSP sector, the nature of trust and company vehicles can allow vulnerabilities to ML risks. Company services involve high value transfers of assets and funds, locally and abroad. Companies and trusts </w:t>
      </w:r>
      <w:r w:rsidR="0084571B" w:rsidRPr="00C8353A">
        <w:rPr>
          <w:rFonts w:ascii="Verdana" w:eastAsiaTheme="minorHAnsi" w:hAnsi="Verdana" w:cs="Times New Roman"/>
          <w:color w:val="000000" w:themeColor="text1"/>
          <w:sz w:val="20"/>
          <w:szCs w:val="20"/>
          <w:lang w:val="en-US" w:eastAsia="en-US"/>
        </w:rPr>
        <w:t>may be used</w:t>
      </w:r>
      <w:r w:rsidRPr="00C8353A">
        <w:rPr>
          <w:rFonts w:ascii="Verdana" w:eastAsiaTheme="minorHAnsi" w:hAnsi="Verdana" w:cs="Times New Roman"/>
          <w:color w:val="000000" w:themeColor="text1"/>
          <w:sz w:val="20"/>
          <w:szCs w:val="20"/>
          <w:lang w:val="en-US" w:eastAsia="en-US"/>
        </w:rPr>
        <w:t xml:space="preserve"> in sophisticated and complex transactions that span multiple jurisdictions. In addition, nominee ownership of companies can obscure true ownership and control, and ownership of trust assets and the controllers of the trust can often be obscured. </w:t>
      </w:r>
    </w:p>
    <w:p w14:paraId="35A8E8E1" w14:textId="60A6060B" w:rsidR="003F7688" w:rsidRPr="00C8353A" w:rsidRDefault="00262CA2" w:rsidP="00DC33E9">
      <w:pPr>
        <w:pStyle w:val="Heading2"/>
        <w:numPr>
          <w:ilvl w:val="0"/>
          <w:numId w:val="0"/>
        </w:numPr>
        <w:spacing w:line="276" w:lineRule="auto"/>
        <w:ind w:right="-6"/>
        <w:jc w:val="both"/>
        <w:rPr>
          <w:rFonts w:ascii="Verdana" w:eastAsiaTheme="minorHAnsi" w:hAnsi="Verdana" w:cs="Times New Roman"/>
          <w:b/>
          <w:color w:val="000000" w:themeColor="text1"/>
          <w:sz w:val="20"/>
          <w:szCs w:val="20"/>
          <w:lang w:val="en-US" w:eastAsia="en-US"/>
        </w:rPr>
      </w:pPr>
      <w:r w:rsidRPr="00C8353A">
        <w:rPr>
          <w:rFonts w:ascii="Verdana" w:eastAsiaTheme="minorHAnsi" w:hAnsi="Verdana" w:cs="Times New Roman"/>
          <w:b/>
          <w:color w:val="000000" w:themeColor="text1"/>
          <w:sz w:val="20"/>
          <w:szCs w:val="20"/>
          <w:lang w:val="en-US" w:eastAsia="en-US"/>
        </w:rPr>
        <w:t>TSPs</w:t>
      </w:r>
    </w:p>
    <w:p w14:paraId="33164B22" w14:textId="551CCCFF" w:rsidR="00916FC8" w:rsidRPr="00C8353A" w:rsidRDefault="0084571B"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As a subsector, </w:t>
      </w:r>
      <w:r w:rsidR="00A10A20" w:rsidRPr="00C8353A">
        <w:rPr>
          <w:rFonts w:ascii="Verdana" w:eastAsiaTheme="minorHAnsi" w:hAnsi="Verdana" w:cs="Times New Roman"/>
          <w:color w:val="000000" w:themeColor="text1"/>
          <w:sz w:val="20"/>
          <w:szCs w:val="20"/>
          <w:lang w:val="en-US" w:eastAsia="en-US"/>
        </w:rPr>
        <w:t>TSPs include unrestricted trusts (57), restricted trusts (58) nominee trusts (29), private trust companies</w:t>
      </w:r>
      <w:r w:rsidR="0028075B" w:rsidRPr="00C8353A">
        <w:rPr>
          <w:rFonts w:ascii="Verdana" w:eastAsiaTheme="minorHAnsi" w:hAnsi="Verdana" w:cs="Times New Roman"/>
          <w:color w:val="000000" w:themeColor="text1"/>
          <w:sz w:val="20"/>
          <w:szCs w:val="20"/>
          <w:lang w:val="en-US" w:eastAsia="en-US"/>
        </w:rPr>
        <w:t xml:space="preserve"> </w:t>
      </w:r>
      <w:r w:rsidR="00A10A20" w:rsidRPr="00C8353A">
        <w:rPr>
          <w:rFonts w:ascii="Verdana" w:eastAsiaTheme="minorHAnsi" w:hAnsi="Verdana" w:cs="Times New Roman"/>
          <w:color w:val="000000" w:themeColor="text1"/>
          <w:sz w:val="20"/>
          <w:szCs w:val="20"/>
          <w:lang w:val="en-US" w:eastAsia="en-US"/>
        </w:rPr>
        <w:t xml:space="preserve">(131) and controlled subsidiaries (47). From an AML/CFT perspective, </w:t>
      </w:r>
      <w:r w:rsidR="00094666" w:rsidRPr="00C8353A">
        <w:rPr>
          <w:rFonts w:ascii="Verdana" w:eastAsiaTheme="minorHAnsi" w:hAnsi="Verdana" w:cs="Times New Roman"/>
          <w:color w:val="000000" w:themeColor="text1"/>
          <w:sz w:val="20"/>
          <w:szCs w:val="20"/>
          <w:lang w:val="en-US" w:eastAsia="en-US"/>
        </w:rPr>
        <w:t xml:space="preserve">it is important to note the difference </w:t>
      </w:r>
      <w:r w:rsidR="00A10A20" w:rsidRPr="00C8353A">
        <w:rPr>
          <w:rFonts w:ascii="Verdana" w:eastAsiaTheme="minorHAnsi" w:hAnsi="Verdana" w:cs="Times New Roman"/>
          <w:color w:val="000000" w:themeColor="text1"/>
          <w:sz w:val="20"/>
          <w:szCs w:val="20"/>
          <w:lang w:val="en-US" w:eastAsia="en-US"/>
        </w:rPr>
        <w:t xml:space="preserve">in the risk associated with Nominee Trust </w:t>
      </w:r>
      <w:proofErr w:type="spellStart"/>
      <w:r w:rsidR="00A10A20" w:rsidRPr="00C8353A">
        <w:rPr>
          <w:rFonts w:ascii="Verdana" w:eastAsiaTheme="minorHAnsi" w:hAnsi="Verdana" w:cs="Times New Roman"/>
          <w:color w:val="000000" w:themeColor="text1"/>
          <w:sz w:val="20"/>
          <w:szCs w:val="20"/>
          <w:lang w:val="en-US" w:eastAsia="en-US"/>
        </w:rPr>
        <w:t>Licences</w:t>
      </w:r>
      <w:proofErr w:type="spellEnd"/>
      <w:r w:rsidR="00A10A20" w:rsidRPr="00C8353A">
        <w:rPr>
          <w:rFonts w:ascii="Verdana" w:eastAsiaTheme="minorHAnsi" w:hAnsi="Verdana" w:cs="Times New Roman"/>
          <w:color w:val="000000" w:themeColor="text1"/>
          <w:sz w:val="20"/>
          <w:szCs w:val="20"/>
          <w:lang w:val="en-US" w:eastAsia="en-US"/>
        </w:rPr>
        <w:t xml:space="preserve"> and Restricted Trust </w:t>
      </w:r>
      <w:proofErr w:type="spellStart"/>
      <w:r w:rsidR="00A10A20" w:rsidRPr="00C8353A">
        <w:rPr>
          <w:rFonts w:ascii="Verdana" w:eastAsiaTheme="minorHAnsi" w:hAnsi="Verdana" w:cs="Times New Roman"/>
          <w:color w:val="000000" w:themeColor="text1"/>
          <w:sz w:val="20"/>
          <w:szCs w:val="20"/>
          <w:lang w:val="en-US" w:eastAsia="en-US"/>
        </w:rPr>
        <w:t>Licences</w:t>
      </w:r>
      <w:proofErr w:type="spellEnd"/>
      <w:r w:rsidR="00A10A20" w:rsidRPr="00C8353A">
        <w:rPr>
          <w:rFonts w:ascii="Verdana" w:eastAsiaTheme="minorHAnsi" w:hAnsi="Verdana" w:cs="Times New Roman"/>
          <w:color w:val="000000" w:themeColor="text1"/>
          <w:sz w:val="20"/>
          <w:szCs w:val="20"/>
          <w:lang w:val="en-US" w:eastAsia="en-US"/>
        </w:rPr>
        <w:t xml:space="preserve">. Restricted Trust </w:t>
      </w:r>
      <w:proofErr w:type="spellStart"/>
      <w:r w:rsidR="00A10A20" w:rsidRPr="00C8353A">
        <w:rPr>
          <w:rFonts w:ascii="Verdana" w:eastAsiaTheme="minorHAnsi" w:hAnsi="Verdana" w:cs="Times New Roman"/>
          <w:color w:val="000000" w:themeColor="text1"/>
          <w:sz w:val="20"/>
          <w:szCs w:val="20"/>
          <w:lang w:val="en-US" w:eastAsia="en-US"/>
        </w:rPr>
        <w:t>Licences</w:t>
      </w:r>
      <w:proofErr w:type="spellEnd"/>
      <w:r w:rsidR="00A10A20" w:rsidRPr="00C8353A">
        <w:rPr>
          <w:rFonts w:ascii="Verdana" w:eastAsiaTheme="minorHAnsi" w:hAnsi="Verdana" w:cs="Times New Roman"/>
          <w:color w:val="000000" w:themeColor="text1"/>
          <w:sz w:val="20"/>
          <w:szCs w:val="20"/>
          <w:lang w:val="en-US" w:eastAsia="en-US"/>
        </w:rPr>
        <w:t xml:space="preserve"> are typically granted in respect of a single family or a small group of families for private wealth management purposes. A Nominee Trust </w:t>
      </w:r>
      <w:proofErr w:type="spellStart"/>
      <w:r w:rsidR="00A10A20" w:rsidRPr="00C8353A">
        <w:rPr>
          <w:rFonts w:ascii="Verdana" w:eastAsiaTheme="minorHAnsi" w:hAnsi="Verdana" w:cs="Times New Roman"/>
          <w:color w:val="000000" w:themeColor="text1"/>
          <w:sz w:val="20"/>
          <w:szCs w:val="20"/>
          <w:lang w:val="en-US" w:eastAsia="en-US"/>
        </w:rPr>
        <w:t>Licence</w:t>
      </w:r>
      <w:proofErr w:type="spellEnd"/>
      <w:r w:rsidR="00A10A20" w:rsidRPr="00C8353A">
        <w:rPr>
          <w:rFonts w:ascii="Verdana" w:eastAsiaTheme="minorHAnsi" w:hAnsi="Verdana" w:cs="Times New Roman"/>
          <w:color w:val="000000" w:themeColor="text1"/>
          <w:sz w:val="20"/>
          <w:szCs w:val="20"/>
          <w:lang w:val="en-US" w:eastAsia="en-US"/>
        </w:rPr>
        <w:t xml:space="preserve"> is a subsidiar</w:t>
      </w:r>
      <w:r w:rsidR="008163D8" w:rsidRPr="00C8353A">
        <w:rPr>
          <w:rFonts w:ascii="Verdana" w:eastAsiaTheme="minorHAnsi" w:hAnsi="Verdana" w:cs="Times New Roman"/>
          <w:color w:val="000000" w:themeColor="text1"/>
          <w:sz w:val="20"/>
          <w:szCs w:val="20"/>
          <w:lang w:val="en-US" w:eastAsia="en-US"/>
        </w:rPr>
        <w:t>y</w:t>
      </w:r>
      <w:r w:rsidR="00A10A20" w:rsidRPr="00C8353A">
        <w:rPr>
          <w:rFonts w:ascii="Verdana" w:eastAsiaTheme="minorHAnsi" w:hAnsi="Verdana" w:cs="Times New Roman"/>
          <w:color w:val="000000" w:themeColor="text1"/>
          <w:sz w:val="20"/>
          <w:szCs w:val="20"/>
          <w:lang w:val="en-US" w:eastAsia="en-US"/>
        </w:rPr>
        <w:t xml:space="preserve"> of an entity that holds a Trust </w:t>
      </w:r>
      <w:proofErr w:type="spellStart"/>
      <w:r w:rsidR="00A10A20" w:rsidRPr="00C8353A">
        <w:rPr>
          <w:rFonts w:ascii="Verdana" w:eastAsiaTheme="minorHAnsi" w:hAnsi="Verdana" w:cs="Times New Roman"/>
          <w:color w:val="000000" w:themeColor="text1"/>
          <w:sz w:val="20"/>
          <w:szCs w:val="20"/>
          <w:lang w:val="en-US" w:eastAsia="en-US"/>
        </w:rPr>
        <w:t>Licence</w:t>
      </w:r>
      <w:proofErr w:type="spellEnd"/>
      <w:r w:rsidR="00A10A20" w:rsidRPr="00C8353A">
        <w:rPr>
          <w:rFonts w:ascii="Verdana" w:eastAsiaTheme="minorHAnsi" w:hAnsi="Verdana" w:cs="Times New Roman"/>
          <w:color w:val="000000" w:themeColor="text1"/>
          <w:sz w:val="20"/>
          <w:szCs w:val="20"/>
          <w:lang w:val="en-US" w:eastAsia="en-US"/>
        </w:rPr>
        <w:t xml:space="preserve"> and it provides nominee services to its parent</w:t>
      </w:r>
      <w:r w:rsidR="0083362B" w:rsidRPr="00C8353A">
        <w:rPr>
          <w:rFonts w:ascii="Verdana" w:eastAsiaTheme="minorHAnsi" w:hAnsi="Verdana" w:cs="Times New Roman"/>
          <w:color w:val="000000" w:themeColor="text1"/>
          <w:sz w:val="20"/>
          <w:szCs w:val="20"/>
          <w:lang w:val="en-US" w:eastAsia="en-US"/>
        </w:rPr>
        <w:t xml:space="preserve"> which attracts a higher degree of risk. </w:t>
      </w:r>
      <w:r w:rsidR="00A10A20" w:rsidRPr="00C8353A">
        <w:rPr>
          <w:rFonts w:ascii="Verdana" w:eastAsiaTheme="minorHAnsi" w:hAnsi="Verdana" w:cs="Times New Roman"/>
          <w:color w:val="000000" w:themeColor="text1"/>
          <w:sz w:val="20"/>
          <w:szCs w:val="20"/>
          <w:lang w:val="en-US" w:eastAsia="en-US"/>
        </w:rPr>
        <w:t>TSP</w:t>
      </w:r>
      <w:r w:rsidR="0028075B" w:rsidRPr="00C8353A">
        <w:rPr>
          <w:rFonts w:ascii="Verdana" w:eastAsiaTheme="minorHAnsi" w:hAnsi="Verdana" w:cs="Times New Roman"/>
          <w:color w:val="000000" w:themeColor="text1"/>
          <w:sz w:val="20"/>
          <w:szCs w:val="20"/>
          <w:lang w:val="en-US" w:eastAsia="en-US"/>
        </w:rPr>
        <w:t>s</w:t>
      </w:r>
      <w:r w:rsidR="00A10A20" w:rsidRPr="00C8353A">
        <w:rPr>
          <w:rFonts w:ascii="Verdana" w:eastAsiaTheme="minorHAnsi" w:hAnsi="Verdana" w:cs="Times New Roman"/>
          <w:color w:val="000000" w:themeColor="text1"/>
          <w:sz w:val="20"/>
          <w:szCs w:val="20"/>
          <w:lang w:val="en-US" w:eastAsia="en-US"/>
        </w:rPr>
        <w:t xml:space="preserve"> have 134 clients from High Risk or sanctioned jurisdictions.</w:t>
      </w:r>
    </w:p>
    <w:p w14:paraId="2BFAD190" w14:textId="3F6518B4" w:rsidR="003F7688" w:rsidRPr="00C8353A" w:rsidRDefault="003F7688" w:rsidP="003F7688">
      <w:pPr>
        <w:pStyle w:val="Heading2"/>
        <w:numPr>
          <w:ilvl w:val="0"/>
          <w:numId w:val="0"/>
        </w:numPr>
        <w:rPr>
          <w:rFonts w:ascii="Verdana" w:eastAsiaTheme="minorHAnsi" w:hAnsi="Verdana" w:cs="Times New Roman"/>
          <w:b/>
          <w:color w:val="000000" w:themeColor="text1"/>
          <w:sz w:val="20"/>
          <w:szCs w:val="20"/>
          <w:lang w:val="en-US" w:eastAsia="en-US"/>
        </w:rPr>
      </w:pPr>
      <w:r w:rsidRPr="00C8353A">
        <w:rPr>
          <w:rFonts w:ascii="Verdana" w:eastAsiaTheme="minorHAnsi" w:hAnsi="Verdana" w:cs="Times New Roman"/>
          <w:b/>
          <w:color w:val="000000" w:themeColor="text1"/>
          <w:sz w:val="20"/>
          <w:szCs w:val="20"/>
          <w:lang w:val="en-US" w:eastAsia="en-US"/>
        </w:rPr>
        <w:t>C</w:t>
      </w:r>
      <w:r w:rsidR="00262CA2" w:rsidRPr="00C8353A">
        <w:rPr>
          <w:rFonts w:ascii="Verdana" w:eastAsiaTheme="minorHAnsi" w:hAnsi="Verdana" w:cs="Times New Roman"/>
          <w:b/>
          <w:color w:val="000000" w:themeColor="text1"/>
          <w:sz w:val="20"/>
          <w:szCs w:val="20"/>
          <w:lang w:val="en-US" w:eastAsia="en-US"/>
        </w:rPr>
        <w:t>SP</w:t>
      </w:r>
      <w:r w:rsidRPr="00C8353A">
        <w:rPr>
          <w:rFonts w:ascii="Verdana" w:eastAsiaTheme="minorHAnsi" w:hAnsi="Verdana" w:cs="Times New Roman"/>
          <w:b/>
          <w:color w:val="000000" w:themeColor="text1"/>
          <w:sz w:val="20"/>
          <w:szCs w:val="20"/>
          <w:lang w:val="en-US" w:eastAsia="en-US"/>
        </w:rPr>
        <w:t>s</w:t>
      </w:r>
    </w:p>
    <w:p w14:paraId="30A5BC1E" w14:textId="6BD8224D" w:rsidR="00B144E6" w:rsidRPr="00C8353A" w:rsidRDefault="00094666"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CSP</w:t>
      </w:r>
      <w:r w:rsidR="0028075B" w:rsidRPr="00C8353A">
        <w:rPr>
          <w:rFonts w:ascii="Verdana" w:eastAsiaTheme="minorHAnsi" w:hAnsi="Verdana" w:cs="Times New Roman"/>
          <w:color w:val="000000" w:themeColor="text1"/>
          <w:sz w:val="20"/>
          <w:szCs w:val="20"/>
          <w:lang w:val="en-US" w:eastAsia="en-US"/>
        </w:rPr>
        <w:t>s</w:t>
      </w:r>
      <w:r w:rsidRPr="00C8353A">
        <w:rPr>
          <w:rFonts w:ascii="Verdana" w:eastAsiaTheme="minorHAnsi" w:hAnsi="Verdana" w:cs="Times New Roman"/>
          <w:color w:val="000000" w:themeColor="text1"/>
          <w:sz w:val="20"/>
          <w:szCs w:val="20"/>
          <w:lang w:val="en-US" w:eastAsia="en-US"/>
        </w:rPr>
        <w:t xml:space="preserve"> are comprised of </w:t>
      </w:r>
      <w:r w:rsidR="00464003">
        <w:rPr>
          <w:rFonts w:ascii="Verdana" w:eastAsiaTheme="minorHAnsi" w:hAnsi="Verdana" w:cs="Times New Roman"/>
          <w:color w:val="000000" w:themeColor="text1"/>
          <w:sz w:val="20"/>
          <w:szCs w:val="20"/>
          <w:lang w:val="en-US" w:eastAsia="en-US"/>
        </w:rPr>
        <w:t xml:space="preserve">companies that hold Companies Management </w:t>
      </w:r>
      <w:proofErr w:type="spellStart"/>
      <w:r w:rsidR="00464003">
        <w:rPr>
          <w:rFonts w:ascii="Verdana" w:eastAsiaTheme="minorHAnsi" w:hAnsi="Verdana" w:cs="Times New Roman"/>
          <w:color w:val="000000" w:themeColor="text1"/>
          <w:sz w:val="20"/>
          <w:szCs w:val="20"/>
          <w:lang w:val="en-US" w:eastAsia="en-US"/>
        </w:rPr>
        <w:t>Licences</w:t>
      </w:r>
      <w:proofErr w:type="spellEnd"/>
      <w:r w:rsidR="00464003">
        <w:rPr>
          <w:rFonts w:ascii="Verdana" w:eastAsiaTheme="minorHAnsi" w:hAnsi="Verdana" w:cs="Times New Roman"/>
          <w:color w:val="000000" w:themeColor="text1"/>
          <w:sz w:val="20"/>
          <w:szCs w:val="20"/>
          <w:lang w:val="en-US" w:eastAsia="en-US"/>
        </w:rPr>
        <w:t xml:space="preserve"> and companies that hold </w:t>
      </w:r>
      <w:proofErr w:type="spellStart"/>
      <w:r w:rsidR="00464003">
        <w:rPr>
          <w:rFonts w:ascii="Verdana" w:eastAsiaTheme="minorHAnsi" w:hAnsi="Verdana" w:cs="Times New Roman"/>
          <w:color w:val="000000" w:themeColor="text1"/>
          <w:sz w:val="20"/>
          <w:szCs w:val="20"/>
          <w:lang w:val="en-US" w:eastAsia="en-US"/>
        </w:rPr>
        <w:t>licences</w:t>
      </w:r>
      <w:proofErr w:type="spellEnd"/>
      <w:r w:rsidR="00464003">
        <w:rPr>
          <w:rFonts w:ascii="Verdana" w:eastAsiaTheme="minorHAnsi" w:hAnsi="Verdana" w:cs="Times New Roman"/>
          <w:color w:val="000000" w:themeColor="text1"/>
          <w:sz w:val="20"/>
          <w:szCs w:val="20"/>
          <w:lang w:val="en-US" w:eastAsia="en-US"/>
        </w:rPr>
        <w:t xml:space="preserve"> to act as </w:t>
      </w:r>
      <w:r w:rsidRPr="00C8353A">
        <w:rPr>
          <w:rFonts w:ascii="Verdana" w:eastAsiaTheme="minorHAnsi" w:hAnsi="Verdana" w:cs="Times New Roman"/>
          <w:color w:val="000000" w:themeColor="text1"/>
          <w:sz w:val="20"/>
          <w:szCs w:val="20"/>
          <w:lang w:val="en-US" w:eastAsia="en-US"/>
        </w:rPr>
        <w:t xml:space="preserve">corporate services providers. </w:t>
      </w:r>
      <w:r w:rsidR="00A10A20" w:rsidRPr="00C8353A">
        <w:rPr>
          <w:rFonts w:ascii="Verdana" w:eastAsiaTheme="minorHAnsi" w:hAnsi="Verdana" w:cs="Times New Roman"/>
          <w:color w:val="000000" w:themeColor="text1"/>
          <w:sz w:val="20"/>
          <w:szCs w:val="20"/>
          <w:lang w:val="en-US" w:eastAsia="en-US"/>
        </w:rPr>
        <w:t xml:space="preserve">CSPs have 27 clients from High Risk or sanctioned jurisdictions. </w:t>
      </w:r>
    </w:p>
    <w:p w14:paraId="2152FE7D" w14:textId="0480CF0D" w:rsidR="00AF28C2" w:rsidRPr="00C8353A" w:rsidRDefault="00AF28C2"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In </w:t>
      </w:r>
      <w:r w:rsidR="0083362B" w:rsidRPr="00C8353A">
        <w:rPr>
          <w:rFonts w:ascii="Verdana" w:eastAsiaTheme="minorHAnsi" w:hAnsi="Verdana" w:cs="Times New Roman"/>
          <w:color w:val="000000" w:themeColor="text1"/>
          <w:sz w:val="20"/>
          <w:szCs w:val="20"/>
          <w:lang w:val="en-US" w:eastAsia="en-US"/>
        </w:rPr>
        <w:t>assessing</w:t>
      </w:r>
      <w:r w:rsidRPr="00C8353A">
        <w:rPr>
          <w:rFonts w:ascii="Verdana" w:eastAsiaTheme="minorHAnsi" w:hAnsi="Verdana" w:cs="Times New Roman"/>
          <w:color w:val="000000" w:themeColor="text1"/>
          <w:sz w:val="20"/>
          <w:szCs w:val="20"/>
          <w:lang w:val="en-US" w:eastAsia="en-US"/>
        </w:rPr>
        <w:t xml:space="preserve"> the risks associated with TCSP</w:t>
      </w:r>
      <w:r w:rsidR="0056795F" w:rsidRPr="00C8353A">
        <w:rPr>
          <w:rFonts w:ascii="Verdana" w:eastAsiaTheme="minorHAnsi" w:hAnsi="Verdana" w:cs="Times New Roman"/>
          <w:color w:val="000000" w:themeColor="text1"/>
          <w:sz w:val="20"/>
          <w:szCs w:val="20"/>
          <w:lang w:val="en-US" w:eastAsia="en-US"/>
        </w:rPr>
        <w:t>s</w:t>
      </w:r>
      <w:r w:rsidR="0083362B" w:rsidRPr="00C8353A">
        <w:rPr>
          <w:rFonts w:ascii="Verdana" w:eastAsiaTheme="minorHAnsi" w:hAnsi="Verdana" w:cs="Times New Roman"/>
          <w:color w:val="000000" w:themeColor="text1"/>
          <w:sz w:val="20"/>
          <w:szCs w:val="20"/>
          <w:lang w:val="en-US" w:eastAsia="en-US"/>
        </w:rPr>
        <w:t>,</w:t>
      </w:r>
      <w:r w:rsidRPr="00C8353A">
        <w:rPr>
          <w:rFonts w:ascii="Verdana" w:eastAsiaTheme="minorHAnsi" w:hAnsi="Verdana" w:cs="Times New Roman"/>
          <w:color w:val="000000" w:themeColor="text1"/>
          <w:sz w:val="20"/>
          <w:szCs w:val="20"/>
          <w:lang w:val="en-US" w:eastAsia="en-US"/>
        </w:rPr>
        <w:t xml:space="preserve"> consideration must be given to the </w:t>
      </w:r>
      <w:r w:rsidR="00773FAA" w:rsidRPr="00C8353A">
        <w:rPr>
          <w:rFonts w:ascii="Verdana" w:eastAsiaTheme="minorHAnsi" w:hAnsi="Verdana" w:cs="Times New Roman"/>
          <w:color w:val="000000" w:themeColor="text1"/>
          <w:sz w:val="20"/>
          <w:szCs w:val="20"/>
          <w:lang w:val="en-US" w:eastAsia="en-US"/>
        </w:rPr>
        <w:t xml:space="preserve">risk associated with the jurisdiction in which the parent company is located. Where the parent </w:t>
      </w:r>
      <w:proofErr w:type="gramStart"/>
      <w:r w:rsidR="00773FAA" w:rsidRPr="00C8353A">
        <w:rPr>
          <w:rFonts w:ascii="Verdana" w:eastAsiaTheme="minorHAnsi" w:hAnsi="Verdana" w:cs="Times New Roman"/>
          <w:color w:val="000000" w:themeColor="text1"/>
          <w:sz w:val="20"/>
          <w:szCs w:val="20"/>
          <w:lang w:val="en-US" w:eastAsia="en-US"/>
        </w:rPr>
        <w:t>is located in</w:t>
      </w:r>
      <w:proofErr w:type="gramEnd"/>
      <w:r w:rsidR="00773FAA" w:rsidRPr="00C8353A">
        <w:rPr>
          <w:rFonts w:ascii="Verdana" w:eastAsiaTheme="minorHAnsi" w:hAnsi="Verdana" w:cs="Times New Roman"/>
          <w:color w:val="000000" w:themeColor="text1"/>
          <w:sz w:val="20"/>
          <w:szCs w:val="20"/>
          <w:lang w:val="en-US" w:eastAsia="en-US"/>
        </w:rPr>
        <w:t xml:space="preserve"> a high-risk jurisdiction (as per the below table) there </w:t>
      </w:r>
      <w:r w:rsidR="0056795F" w:rsidRPr="00C8353A">
        <w:rPr>
          <w:rFonts w:ascii="Verdana" w:eastAsiaTheme="minorHAnsi" w:hAnsi="Verdana" w:cs="Times New Roman"/>
          <w:color w:val="000000" w:themeColor="text1"/>
          <w:sz w:val="20"/>
          <w:szCs w:val="20"/>
          <w:lang w:val="en-US" w:eastAsia="en-US"/>
        </w:rPr>
        <w:t xml:space="preserve">may be an added risk </w:t>
      </w:r>
      <w:r w:rsidR="00773FAA" w:rsidRPr="00C8353A">
        <w:rPr>
          <w:rFonts w:ascii="Verdana" w:eastAsiaTheme="minorHAnsi" w:hAnsi="Verdana" w:cs="Times New Roman"/>
          <w:color w:val="000000" w:themeColor="text1"/>
          <w:sz w:val="20"/>
          <w:szCs w:val="20"/>
          <w:lang w:val="en-US" w:eastAsia="en-US"/>
        </w:rPr>
        <w:t>that the parent company’s AML/CFT framework and controls are weak</w:t>
      </w:r>
      <w:r w:rsidR="0056795F" w:rsidRPr="00C8353A">
        <w:rPr>
          <w:rFonts w:ascii="Verdana" w:eastAsiaTheme="minorHAnsi" w:hAnsi="Verdana" w:cs="Times New Roman"/>
          <w:color w:val="000000" w:themeColor="text1"/>
          <w:sz w:val="20"/>
          <w:szCs w:val="20"/>
          <w:lang w:val="en-US" w:eastAsia="en-US"/>
        </w:rPr>
        <w:t xml:space="preserve"> </w:t>
      </w:r>
      <w:r w:rsidR="00920946" w:rsidRPr="00C8353A">
        <w:rPr>
          <w:rFonts w:ascii="Verdana" w:eastAsiaTheme="minorHAnsi" w:hAnsi="Verdana" w:cs="Times New Roman"/>
          <w:color w:val="000000" w:themeColor="text1"/>
          <w:sz w:val="20"/>
          <w:szCs w:val="20"/>
          <w:lang w:val="en-US" w:eastAsia="en-US"/>
        </w:rPr>
        <w:t>which may</w:t>
      </w:r>
      <w:r w:rsidR="0056795F" w:rsidRPr="00C8353A">
        <w:rPr>
          <w:rFonts w:ascii="Verdana" w:eastAsiaTheme="minorHAnsi" w:hAnsi="Verdana" w:cs="Times New Roman"/>
          <w:color w:val="000000" w:themeColor="text1"/>
          <w:sz w:val="20"/>
          <w:szCs w:val="20"/>
          <w:lang w:val="en-US" w:eastAsia="en-US"/>
        </w:rPr>
        <w:t xml:space="preserve"> subsequently </w:t>
      </w:r>
      <w:r w:rsidR="00920946" w:rsidRPr="00C8353A">
        <w:rPr>
          <w:rFonts w:ascii="Verdana" w:eastAsiaTheme="minorHAnsi" w:hAnsi="Verdana" w:cs="Times New Roman"/>
          <w:color w:val="000000" w:themeColor="text1"/>
          <w:sz w:val="20"/>
          <w:szCs w:val="20"/>
          <w:lang w:val="en-US" w:eastAsia="en-US"/>
        </w:rPr>
        <w:t xml:space="preserve">result in the entity’s framework being impacted. </w:t>
      </w:r>
    </w:p>
    <w:p w14:paraId="25D47823" w14:textId="4AEB6B12" w:rsidR="007C2B08" w:rsidRDefault="00286BC9" w:rsidP="00773FAA">
      <w:pPr>
        <w:pStyle w:val="Heading2"/>
        <w:numPr>
          <w:ilvl w:val="0"/>
          <w:numId w:val="0"/>
        </w:numPr>
        <w:spacing w:line="276" w:lineRule="auto"/>
        <w:ind w:left="360" w:right="-6"/>
        <w:jc w:val="both"/>
        <w:rPr>
          <w:rFonts w:asciiTheme="minorHAnsi" w:eastAsiaTheme="minorHAnsi" w:hAnsiTheme="minorHAnsi" w:cs="Times New Roman"/>
          <w:color w:val="000000" w:themeColor="text1"/>
          <w:szCs w:val="22"/>
          <w:lang w:val="en-US" w:eastAsia="en-US"/>
        </w:rPr>
      </w:pPr>
      <w:r>
        <w:rPr>
          <w:noProof/>
        </w:rPr>
        <w:drawing>
          <wp:inline distT="0" distB="0" distL="0" distR="0" wp14:anchorId="2487C9A1" wp14:editId="69BA2280">
            <wp:extent cx="5236234" cy="2691441"/>
            <wp:effectExtent l="0" t="0" r="2540" b="13970"/>
            <wp:docPr id="11" name="Chart 11">
              <a:extLst xmlns:a="http://schemas.openxmlformats.org/drawingml/2006/main">
                <a:ext uri="{FF2B5EF4-FFF2-40B4-BE49-F238E27FC236}">
                  <a16:creationId xmlns:a16="http://schemas.microsoft.com/office/drawing/2014/main" id="{94D98F2A-F991-48EA-A760-34F0304726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FAE696" w14:textId="77777777" w:rsidR="00090E71" w:rsidRPr="00C8353A" w:rsidRDefault="00090E71" w:rsidP="00773FAA">
      <w:pPr>
        <w:pStyle w:val="Heading2"/>
        <w:numPr>
          <w:ilvl w:val="0"/>
          <w:numId w:val="0"/>
        </w:numPr>
        <w:spacing w:line="276" w:lineRule="auto"/>
        <w:ind w:left="1440" w:right="-6" w:hanging="360"/>
        <w:jc w:val="both"/>
        <w:rPr>
          <w:rFonts w:ascii="Verdana" w:eastAsiaTheme="minorHAnsi" w:hAnsi="Verdana" w:cs="Times New Roman"/>
          <w:color w:val="000000" w:themeColor="text1"/>
          <w:sz w:val="20"/>
          <w:szCs w:val="20"/>
          <w:lang w:val="en-US" w:eastAsia="en-US"/>
        </w:rPr>
      </w:pPr>
    </w:p>
    <w:p w14:paraId="248F3D8F" w14:textId="36DCAE28" w:rsidR="00090444" w:rsidRPr="00C8353A" w:rsidRDefault="00955962" w:rsidP="00C369A8">
      <w:pPr>
        <w:pStyle w:val="Heading2"/>
        <w:numPr>
          <w:ilvl w:val="0"/>
          <w:numId w:val="0"/>
        </w:numPr>
        <w:spacing w:line="276" w:lineRule="auto"/>
        <w:ind w:right="-6"/>
        <w:jc w:val="both"/>
        <w:rPr>
          <w:rFonts w:ascii="Verdana" w:hAnsi="Verdana"/>
          <w:b/>
          <w:bCs/>
          <w:sz w:val="20"/>
          <w:szCs w:val="20"/>
          <w:u w:val="single"/>
          <w:lang w:val="en-US"/>
        </w:rPr>
      </w:pPr>
      <w:r w:rsidRPr="00C8353A">
        <w:rPr>
          <w:rFonts w:ascii="Verdana" w:hAnsi="Verdana"/>
          <w:b/>
          <w:bCs/>
          <w:sz w:val="20"/>
          <w:szCs w:val="20"/>
          <w:u w:val="single"/>
          <w:lang w:val="en-US"/>
        </w:rPr>
        <w:t>Conclusion</w:t>
      </w:r>
      <w:r w:rsidR="00A62C30" w:rsidRPr="00C8353A">
        <w:rPr>
          <w:rFonts w:ascii="Verdana" w:hAnsi="Verdana"/>
          <w:b/>
          <w:bCs/>
          <w:sz w:val="20"/>
          <w:szCs w:val="20"/>
          <w:u w:val="single"/>
          <w:lang w:val="en-US"/>
        </w:rPr>
        <w:t xml:space="preserve"> for Risk Category Nature and Size of the Sector</w:t>
      </w:r>
    </w:p>
    <w:p w14:paraId="63B3EAEA" w14:textId="0722B2A9" w:rsidR="00B144E6" w:rsidRPr="00C8353A" w:rsidRDefault="00CC01F8"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The </w:t>
      </w:r>
      <w:r w:rsidR="00F30884" w:rsidRPr="00C8353A">
        <w:rPr>
          <w:rFonts w:ascii="Verdana" w:eastAsiaTheme="minorHAnsi" w:hAnsi="Verdana" w:cs="Times New Roman"/>
          <w:color w:val="000000" w:themeColor="text1"/>
          <w:sz w:val="20"/>
          <w:szCs w:val="20"/>
          <w:lang w:val="en-US" w:eastAsia="en-US"/>
        </w:rPr>
        <w:t xml:space="preserve">Cayman Islands </w:t>
      </w:r>
      <w:r w:rsidR="000F12CB" w:rsidRPr="00C8353A">
        <w:rPr>
          <w:rFonts w:ascii="Verdana" w:eastAsiaTheme="minorHAnsi" w:hAnsi="Verdana" w:cs="Times New Roman"/>
          <w:color w:val="000000" w:themeColor="text1"/>
          <w:sz w:val="20"/>
          <w:szCs w:val="20"/>
          <w:lang w:val="en-US" w:eastAsia="en-US"/>
        </w:rPr>
        <w:t>is</w:t>
      </w:r>
      <w:r w:rsidR="00F30884" w:rsidRPr="00C8353A">
        <w:rPr>
          <w:rFonts w:ascii="Verdana" w:eastAsiaTheme="minorHAnsi" w:hAnsi="Verdana" w:cs="Times New Roman"/>
          <w:color w:val="000000" w:themeColor="text1"/>
          <w:sz w:val="20"/>
          <w:szCs w:val="20"/>
          <w:lang w:val="en-US" w:eastAsia="en-US"/>
        </w:rPr>
        <w:t xml:space="preserve"> a developed and sophisticated international financial center, with </w:t>
      </w:r>
      <w:r w:rsidR="007E3061" w:rsidRPr="00C8353A">
        <w:rPr>
          <w:rFonts w:ascii="Verdana" w:eastAsiaTheme="minorHAnsi" w:hAnsi="Verdana" w:cs="Times New Roman"/>
          <w:color w:val="000000" w:themeColor="text1"/>
          <w:sz w:val="20"/>
          <w:szCs w:val="20"/>
          <w:lang w:val="en-US" w:eastAsia="en-US"/>
        </w:rPr>
        <w:t xml:space="preserve">an </w:t>
      </w:r>
      <w:r w:rsidR="00F30884" w:rsidRPr="00C8353A">
        <w:rPr>
          <w:rFonts w:ascii="Verdana" w:eastAsiaTheme="minorHAnsi" w:hAnsi="Verdana" w:cs="Times New Roman"/>
          <w:color w:val="000000" w:themeColor="text1"/>
          <w:sz w:val="20"/>
          <w:szCs w:val="20"/>
          <w:lang w:val="en-US" w:eastAsia="en-US"/>
        </w:rPr>
        <w:t xml:space="preserve">established international </w:t>
      </w:r>
      <w:r w:rsidR="004F6934" w:rsidRPr="00C8353A">
        <w:rPr>
          <w:rFonts w:ascii="Verdana" w:eastAsiaTheme="minorHAnsi" w:hAnsi="Verdana" w:cs="Times New Roman"/>
          <w:color w:val="000000" w:themeColor="text1"/>
          <w:sz w:val="20"/>
          <w:szCs w:val="20"/>
          <w:lang w:val="en-US" w:eastAsia="en-US"/>
        </w:rPr>
        <w:t>presence in the TCSP sector.</w:t>
      </w:r>
      <w:r w:rsidR="00F30884" w:rsidRPr="00C8353A">
        <w:rPr>
          <w:rFonts w:ascii="Verdana" w:eastAsiaTheme="minorHAnsi" w:hAnsi="Verdana" w:cs="Times New Roman"/>
          <w:color w:val="000000" w:themeColor="text1"/>
          <w:sz w:val="20"/>
          <w:szCs w:val="20"/>
          <w:lang w:val="en-US" w:eastAsia="en-US"/>
        </w:rPr>
        <w:t xml:space="preserve"> </w:t>
      </w:r>
      <w:r w:rsidR="008E39C7" w:rsidRPr="00C8353A">
        <w:rPr>
          <w:rFonts w:ascii="Verdana" w:eastAsiaTheme="minorHAnsi" w:hAnsi="Verdana" w:cs="Times New Roman"/>
          <w:color w:val="000000" w:themeColor="text1"/>
          <w:sz w:val="20"/>
          <w:szCs w:val="20"/>
          <w:lang w:val="en-US" w:eastAsia="en-US"/>
        </w:rPr>
        <w:t>While t</w:t>
      </w:r>
      <w:r w:rsidR="00B144E6" w:rsidRPr="00C8353A">
        <w:rPr>
          <w:rFonts w:ascii="Verdana" w:eastAsiaTheme="minorHAnsi" w:hAnsi="Verdana" w:cs="Times New Roman"/>
          <w:color w:val="000000" w:themeColor="text1"/>
          <w:sz w:val="20"/>
          <w:szCs w:val="20"/>
          <w:lang w:val="en-US" w:eastAsia="en-US"/>
        </w:rPr>
        <w:t xml:space="preserve">he number of </w:t>
      </w:r>
      <w:r w:rsidR="004F6934" w:rsidRPr="00C8353A">
        <w:rPr>
          <w:rFonts w:ascii="Verdana" w:eastAsiaTheme="minorHAnsi" w:hAnsi="Verdana" w:cs="Times New Roman"/>
          <w:color w:val="000000" w:themeColor="text1"/>
          <w:sz w:val="20"/>
          <w:szCs w:val="20"/>
          <w:lang w:val="en-US" w:eastAsia="en-US"/>
        </w:rPr>
        <w:t xml:space="preserve">TCSPs has steadily increased </w:t>
      </w:r>
      <w:r w:rsidR="00B144E6" w:rsidRPr="00C8353A">
        <w:rPr>
          <w:rFonts w:ascii="Verdana" w:eastAsiaTheme="minorHAnsi" w:hAnsi="Verdana" w:cs="Times New Roman"/>
          <w:color w:val="000000" w:themeColor="text1"/>
          <w:sz w:val="20"/>
          <w:szCs w:val="20"/>
          <w:lang w:val="en-US" w:eastAsia="en-US"/>
        </w:rPr>
        <w:t>in recent years</w:t>
      </w:r>
      <w:r w:rsidR="008E39C7" w:rsidRPr="00C8353A">
        <w:rPr>
          <w:rFonts w:ascii="Verdana" w:eastAsiaTheme="minorHAnsi" w:hAnsi="Verdana" w:cs="Times New Roman"/>
          <w:color w:val="000000" w:themeColor="text1"/>
          <w:sz w:val="20"/>
          <w:szCs w:val="20"/>
          <w:lang w:val="en-US" w:eastAsia="en-US"/>
        </w:rPr>
        <w:t>,</w:t>
      </w:r>
      <w:r w:rsidR="00B144E6" w:rsidRPr="00C8353A">
        <w:rPr>
          <w:rFonts w:ascii="Verdana" w:eastAsiaTheme="minorHAnsi" w:hAnsi="Verdana" w:cs="Times New Roman"/>
          <w:color w:val="000000" w:themeColor="text1"/>
          <w:sz w:val="20"/>
          <w:szCs w:val="20"/>
          <w:lang w:val="en-US" w:eastAsia="en-US"/>
        </w:rPr>
        <w:t xml:space="preserve"> </w:t>
      </w:r>
      <w:r w:rsidR="00920946" w:rsidRPr="00C8353A">
        <w:rPr>
          <w:rFonts w:ascii="Verdana" w:eastAsiaTheme="minorHAnsi" w:hAnsi="Verdana" w:cs="Times New Roman"/>
          <w:color w:val="000000" w:themeColor="text1"/>
          <w:sz w:val="20"/>
          <w:szCs w:val="20"/>
          <w:lang w:val="en-US" w:eastAsia="en-US"/>
        </w:rPr>
        <w:t>an overall high</w:t>
      </w:r>
      <w:r w:rsidR="00B144E6" w:rsidRPr="00C8353A">
        <w:rPr>
          <w:rFonts w:ascii="Verdana" w:eastAsiaTheme="minorHAnsi" w:hAnsi="Verdana" w:cs="Times New Roman"/>
          <w:sz w:val="20"/>
          <w:szCs w:val="20"/>
          <w:lang w:val="en-US" w:eastAsia="en-US"/>
        </w:rPr>
        <w:t xml:space="preserve"> risk remains for this </w:t>
      </w:r>
      <w:r w:rsidR="00920946" w:rsidRPr="00C8353A">
        <w:rPr>
          <w:rFonts w:ascii="Verdana" w:eastAsiaTheme="minorHAnsi" w:hAnsi="Verdana" w:cs="Times New Roman"/>
          <w:sz w:val="20"/>
          <w:szCs w:val="20"/>
          <w:lang w:val="en-US" w:eastAsia="en-US"/>
        </w:rPr>
        <w:t>sector</w:t>
      </w:r>
      <w:r w:rsidR="00B144E6" w:rsidRPr="00C8353A">
        <w:rPr>
          <w:rFonts w:ascii="Verdana" w:eastAsiaTheme="minorHAnsi" w:hAnsi="Verdana" w:cs="Times New Roman"/>
          <w:sz w:val="20"/>
          <w:szCs w:val="20"/>
          <w:lang w:val="en-US" w:eastAsia="en-US"/>
        </w:rPr>
        <w:t xml:space="preserve"> due to </w:t>
      </w:r>
      <w:r w:rsidR="008E39C7" w:rsidRPr="00C8353A">
        <w:rPr>
          <w:rFonts w:ascii="Verdana" w:eastAsiaTheme="minorHAnsi" w:hAnsi="Verdana" w:cs="Times New Roman"/>
          <w:sz w:val="20"/>
          <w:szCs w:val="20"/>
          <w:lang w:val="en-US" w:eastAsia="en-US"/>
        </w:rPr>
        <w:t xml:space="preserve">international nature of the business catered to, the complexity of </w:t>
      </w:r>
      <w:r w:rsidR="00773FAA" w:rsidRPr="00C8353A">
        <w:rPr>
          <w:rFonts w:ascii="Verdana" w:eastAsiaTheme="minorHAnsi" w:hAnsi="Verdana" w:cs="Times New Roman"/>
          <w:sz w:val="20"/>
          <w:szCs w:val="20"/>
          <w:lang w:val="en-US" w:eastAsia="en-US"/>
        </w:rPr>
        <w:t xml:space="preserve">these </w:t>
      </w:r>
      <w:r w:rsidR="008E39C7" w:rsidRPr="00C8353A">
        <w:rPr>
          <w:rFonts w:ascii="Verdana" w:eastAsiaTheme="minorHAnsi" w:hAnsi="Verdana" w:cs="Times New Roman"/>
          <w:sz w:val="20"/>
          <w:szCs w:val="20"/>
          <w:lang w:val="en-US" w:eastAsia="en-US"/>
        </w:rPr>
        <w:t xml:space="preserve">structures, </w:t>
      </w:r>
      <w:r w:rsidR="00662396" w:rsidRPr="00C8353A">
        <w:rPr>
          <w:rFonts w:ascii="Verdana" w:eastAsiaTheme="minorHAnsi" w:hAnsi="Verdana" w:cs="Times New Roman"/>
          <w:sz w:val="20"/>
          <w:szCs w:val="20"/>
          <w:lang w:val="en-US" w:eastAsia="en-US"/>
        </w:rPr>
        <w:t>the significant number of licensees without a physical presence,</w:t>
      </w:r>
      <w:r w:rsidR="00B144E6" w:rsidRPr="00C8353A">
        <w:rPr>
          <w:rFonts w:ascii="Verdana" w:eastAsiaTheme="minorHAnsi" w:hAnsi="Verdana" w:cs="Times New Roman"/>
          <w:sz w:val="20"/>
          <w:szCs w:val="20"/>
          <w:lang w:val="en-US" w:eastAsia="en-US"/>
        </w:rPr>
        <w:t xml:space="preserve"> </w:t>
      </w:r>
      <w:r w:rsidR="008E39C7" w:rsidRPr="00C8353A">
        <w:rPr>
          <w:rFonts w:ascii="Verdana" w:eastAsiaTheme="minorHAnsi" w:hAnsi="Verdana" w:cs="Times New Roman"/>
          <w:sz w:val="20"/>
          <w:szCs w:val="20"/>
          <w:lang w:val="en-US" w:eastAsia="en-US"/>
        </w:rPr>
        <w:t xml:space="preserve">and </w:t>
      </w:r>
      <w:r w:rsidR="00D90013" w:rsidRPr="00C8353A">
        <w:rPr>
          <w:rFonts w:ascii="Verdana" w:eastAsiaTheme="minorHAnsi" w:hAnsi="Verdana" w:cs="Times New Roman"/>
          <w:sz w:val="20"/>
          <w:szCs w:val="20"/>
          <w:lang w:val="en-US" w:eastAsia="en-US"/>
        </w:rPr>
        <w:t>the international control and ownership structure</w:t>
      </w:r>
      <w:r w:rsidR="00B144E6" w:rsidRPr="00C8353A">
        <w:rPr>
          <w:rFonts w:ascii="Verdana" w:eastAsiaTheme="minorHAnsi" w:hAnsi="Verdana" w:cs="Times New Roman"/>
          <w:sz w:val="20"/>
          <w:szCs w:val="20"/>
          <w:lang w:val="en-US" w:eastAsia="en-US"/>
        </w:rPr>
        <w:t xml:space="preserve"> as outlined above. </w:t>
      </w:r>
      <w:r w:rsidR="008E39C7" w:rsidRPr="00C8353A">
        <w:rPr>
          <w:rFonts w:ascii="Verdana" w:eastAsiaTheme="minorHAnsi" w:hAnsi="Verdana" w:cs="Times New Roman"/>
          <w:color w:val="000000" w:themeColor="text1"/>
          <w:sz w:val="20"/>
          <w:szCs w:val="20"/>
          <w:lang w:val="en-US" w:eastAsia="en-US"/>
        </w:rPr>
        <w:t xml:space="preserve">Based on the above outlined factors </w:t>
      </w:r>
      <w:r w:rsidR="004F6934" w:rsidRPr="00C8353A">
        <w:rPr>
          <w:rFonts w:ascii="Verdana" w:eastAsiaTheme="minorHAnsi" w:hAnsi="Verdana" w:cs="Times New Roman"/>
          <w:color w:val="000000" w:themeColor="text1"/>
          <w:sz w:val="20"/>
          <w:szCs w:val="20"/>
          <w:lang w:val="en-US" w:eastAsia="en-US"/>
        </w:rPr>
        <w:t>rel</w:t>
      </w:r>
      <w:r w:rsidR="008E39C7" w:rsidRPr="00C8353A">
        <w:rPr>
          <w:rFonts w:ascii="Verdana" w:eastAsiaTheme="minorHAnsi" w:hAnsi="Verdana" w:cs="Times New Roman"/>
          <w:color w:val="000000" w:themeColor="text1"/>
          <w:sz w:val="20"/>
          <w:szCs w:val="20"/>
          <w:lang w:val="en-US" w:eastAsia="en-US"/>
        </w:rPr>
        <w:t xml:space="preserve">ated to nature and size of </w:t>
      </w:r>
      <w:r w:rsidR="004F6934" w:rsidRPr="00C8353A">
        <w:rPr>
          <w:rFonts w:ascii="Verdana" w:eastAsiaTheme="minorHAnsi" w:hAnsi="Verdana" w:cs="Times New Roman"/>
          <w:color w:val="000000" w:themeColor="text1"/>
          <w:sz w:val="20"/>
          <w:szCs w:val="20"/>
          <w:lang w:val="en-US" w:eastAsia="en-US"/>
        </w:rPr>
        <w:t>TSP</w:t>
      </w:r>
      <w:r w:rsidR="004A4FBE" w:rsidRPr="00C8353A">
        <w:rPr>
          <w:rFonts w:ascii="Verdana" w:eastAsiaTheme="minorHAnsi" w:hAnsi="Verdana" w:cs="Times New Roman"/>
          <w:color w:val="000000" w:themeColor="text1"/>
          <w:sz w:val="20"/>
          <w:szCs w:val="20"/>
          <w:lang w:val="en-US" w:eastAsia="en-US"/>
        </w:rPr>
        <w:t>S</w:t>
      </w:r>
      <w:r w:rsidR="004F6934" w:rsidRPr="00C8353A">
        <w:rPr>
          <w:rFonts w:ascii="Verdana" w:eastAsiaTheme="minorHAnsi" w:hAnsi="Verdana" w:cs="Times New Roman"/>
          <w:color w:val="000000" w:themeColor="text1"/>
          <w:sz w:val="20"/>
          <w:szCs w:val="20"/>
          <w:lang w:val="en-US" w:eastAsia="en-US"/>
        </w:rPr>
        <w:t xml:space="preserve"> and CSPs, TSPs present a higher risk as they are more dominant </w:t>
      </w:r>
      <w:r w:rsidR="004A4FBE" w:rsidRPr="00C8353A">
        <w:rPr>
          <w:rFonts w:ascii="Verdana" w:eastAsiaTheme="minorHAnsi" w:hAnsi="Verdana" w:cs="Times New Roman"/>
          <w:color w:val="000000" w:themeColor="text1"/>
          <w:sz w:val="20"/>
          <w:szCs w:val="20"/>
          <w:lang w:val="en-US" w:eastAsia="en-US"/>
        </w:rPr>
        <w:t xml:space="preserve">with a </w:t>
      </w:r>
      <w:r w:rsidR="004F6934" w:rsidRPr="00C8353A">
        <w:rPr>
          <w:rFonts w:ascii="Verdana" w:eastAsiaTheme="minorHAnsi" w:hAnsi="Verdana" w:cs="Times New Roman"/>
          <w:color w:val="000000" w:themeColor="text1"/>
          <w:sz w:val="20"/>
          <w:szCs w:val="20"/>
          <w:lang w:val="en-US" w:eastAsia="en-US"/>
        </w:rPr>
        <w:t>significant number of high</w:t>
      </w:r>
      <w:r w:rsidR="004A4FBE" w:rsidRPr="00C8353A">
        <w:rPr>
          <w:rFonts w:ascii="Verdana" w:eastAsiaTheme="minorHAnsi" w:hAnsi="Verdana" w:cs="Times New Roman"/>
          <w:color w:val="000000" w:themeColor="text1"/>
          <w:sz w:val="20"/>
          <w:szCs w:val="20"/>
          <w:lang w:val="en-US" w:eastAsia="en-US"/>
        </w:rPr>
        <w:t>-</w:t>
      </w:r>
      <w:r w:rsidR="004F6934" w:rsidRPr="00C8353A">
        <w:rPr>
          <w:rFonts w:ascii="Verdana" w:eastAsiaTheme="minorHAnsi" w:hAnsi="Verdana" w:cs="Times New Roman"/>
          <w:color w:val="000000" w:themeColor="text1"/>
          <w:sz w:val="20"/>
          <w:szCs w:val="20"/>
          <w:lang w:val="en-US" w:eastAsia="en-US"/>
        </w:rPr>
        <w:t>risk c</w:t>
      </w:r>
      <w:r w:rsidR="00225B38" w:rsidRPr="00C8353A">
        <w:rPr>
          <w:rFonts w:ascii="Verdana" w:eastAsiaTheme="minorHAnsi" w:hAnsi="Verdana" w:cs="Times New Roman"/>
          <w:color w:val="000000" w:themeColor="text1"/>
          <w:sz w:val="20"/>
          <w:szCs w:val="20"/>
          <w:lang w:val="en-US" w:eastAsia="en-US"/>
        </w:rPr>
        <w:t>ustomers.</w:t>
      </w:r>
    </w:p>
    <w:p w14:paraId="5A517066" w14:textId="0151CF4D" w:rsidR="00BF121D" w:rsidRPr="00C8353A" w:rsidRDefault="00BF121D" w:rsidP="009A5938">
      <w:pPr>
        <w:jc w:val="both"/>
        <w:rPr>
          <w:rFonts w:ascii="Verdana" w:hAnsi="Verdana" w:cs="Times New Roman"/>
          <w:sz w:val="20"/>
          <w:szCs w:val="20"/>
          <w:lang w:val="en-US"/>
        </w:rPr>
      </w:pPr>
    </w:p>
    <w:tbl>
      <w:tblPr>
        <w:tblStyle w:val="TableGrid"/>
        <w:tblW w:w="0" w:type="auto"/>
        <w:jc w:val="center"/>
        <w:tblLook w:val="04A0" w:firstRow="1" w:lastRow="0" w:firstColumn="1" w:lastColumn="0" w:noHBand="0" w:noVBand="1"/>
      </w:tblPr>
      <w:tblGrid>
        <w:gridCol w:w="2547"/>
        <w:gridCol w:w="2835"/>
      </w:tblGrid>
      <w:tr w:rsidR="00BF121D" w:rsidRPr="00654100" w14:paraId="2AAB093C" w14:textId="77777777" w:rsidTr="001F794B">
        <w:trPr>
          <w:jc w:val="center"/>
        </w:trPr>
        <w:tc>
          <w:tcPr>
            <w:tcW w:w="2547" w:type="dxa"/>
          </w:tcPr>
          <w:p w14:paraId="6C6D58EC" w14:textId="59BF940D" w:rsidR="00BF121D" w:rsidRPr="00654100" w:rsidRDefault="00262CA2" w:rsidP="009A5938">
            <w:pPr>
              <w:spacing w:before="100" w:beforeAutospacing="1" w:after="100" w:afterAutospacing="1"/>
              <w:jc w:val="both"/>
              <w:rPr>
                <w:rFonts w:eastAsia="Times New Roman" w:cs="Times New Roman"/>
                <w:color w:val="191919"/>
                <w:sz w:val="21"/>
                <w:szCs w:val="21"/>
                <w:lang w:val="en-US" w:eastAsia="en-GB"/>
              </w:rPr>
            </w:pPr>
            <w:r>
              <w:rPr>
                <w:rFonts w:eastAsia="Times New Roman" w:cs="Times New Roman"/>
                <w:color w:val="191919"/>
                <w:sz w:val="21"/>
                <w:szCs w:val="21"/>
                <w:lang w:val="en-US" w:eastAsia="en-GB"/>
              </w:rPr>
              <w:t>TSPs</w:t>
            </w:r>
          </w:p>
        </w:tc>
        <w:tc>
          <w:tcPr>
            <w:tcW w:w="2835" w:type="dxa"/>
          </w:tcPr>
          <w:p w14:paraId="39F943CE" w14:textId="668951BC" w:rsidR="00BF121D" w:rsidRPr="00654100" w:rsidRDefault="00262CA2" w:rsidP="009A5938">
            <w:pPr>
              <w:spacing w:before="100" w:beforeAutospacing="1" w:after="100" w:afterAutospacing="1"/>
              <w:jc w:val="both"/>
              <w:rPr>
                <w:rFonts w:eastAsia="Times New Roman" w:cs="Times New Roman"/>
                <w:color w:val="191919"/>
                <w:sz w:val="21"/>
                <w:szCs w:val="21"/>
                <w:lang w:val="en-US" w:eastAsia="en-GB"/>
              </w:rPr>
            </w:pPr>
            <w:r>
              <w:rPr>
                <w:rFonts w:eastAsia="Times New Roman" w:cs="Times New Roman"/>
                <w:color w:val="191919"/>
                <w:sz w:val="21"/>
                <w:szCs w:val="21"/>
                <w:lang w:val="en-US" w:eastAsia="en-GB"/>
              </w:rPr>
              <w:t>CSPs</w:t>
            </w:r>
          </w:p>
        </w:tc>
      </w:tr>
      <w:tr w:rsidR="00BF121D" w:rsidRPr="00654100" w14:paraId="3BB7C09E" w14:textId="77777777" w:rsidTr="00090E71">
        <w:trPr>
          <w:jc w:val="center"/>
        </w:trPr>
        <w:tc>
          <w:tcPr>
            <w:tcW w:w="2547" w:type="dxa"/>
            <w:shd w:val="clear" w:color="auto" w:fill="FF0000"/>
          </w:tcPr>
          <w:p w14:paraId="7E8DFCA3" w14:textId="237005E2" w:rsidR="00BF121D" w:rsidRPr="00654100" w:rsidRDefault="00E06EDD" w:rsidP="009A5938">
            <w:pPr>
              <w:spacing w:before="100" w:beforeAutospacing="1" w:after="100" w:afterAutospacing="1"/>
              <w:jc w:val="both"/>
              <w:rPr>
                <w:rFonts w:eastAsia="Times New Roman" w:cs="Times New Roman"/>
                <w:color w:val="191919"/>
                <w:sz w:val="21"/>
                <w:szCs w:val="21"/>
                <w:lang w:val="en-US" w:eastAsia="en-GB"/>
              </w:rPr>
            </w:pPr>
            <w:r w:rsidRPr="00654100">
              <w:rPr>
                <w:rFonts w:eastAsia="Times New Roman" w:cs="Times New Roman"/>
                <w:color w:val="191919"/>
                <w:sz w:val="21"/>
                <w:szCs w:val="21"/>
                <w:lang w:val="en-US" w:eastAsia="en-GB"/>
              </w:rPr>
              <w:t>Nature</w:t>
            </w:r>
            <w:r w:rsidR="00396C68">
              <w:rPr>
                <w:rFonts w:eastAsia="Times New Roman" w:cs="Times New Roman"/>
                <w:color w:val="191919"/>
                <w:sz w:val="21"/>
                <w:szCs w:val="21"/>
                <w:lang w:val="en-US" w:eastAsia="en-GB"/>
              </w:rPr>
              <w:t xml:space="preserve"> and S</w:t>
            </w:r>
            <w:r w:rsidRPr="00654100">
              <w:rPr>
                <w:rFonts w:eastAsia="Times New Roman" w:cs="Times New Roman"/>
                <w:color w:val="191919"/>
                <w:sz w:val="21"/>
                <w:szCs w:val="21"/>
                <w:lang w:val="en-US" w:eastAsia="en-GB"/>
              </w:rPr>
              <w:t>ize:</w:t>
            </w:r>
            <w:r w:rsidR="00BF121D" w:rsidRPr="00654100">
              <w:rPr>
                <w:rFonts w:eastAsia="Times New Roman" w:cs="Times New Roman"/>
                <w:color w:val="191919"/>
                <w:sz w:val="21"/>
                <w:szCs w:val="21"/>
                <w:lang w:val="en-US" w:eastAsia="en-GB"/>
              </w:rPr>
              <w:t xml:space="preserve"> </w:t>
            </w:r>
            <w:r w:rsidR="004F6934">
              <w:rPr>
                <w:rFonts w:eastAsia="Times New Roman" w:cs="Times New Roman"/>
                <w:color w:val="191919"/>
                <w:sz w:val="21"/>
                <w:szCs w:val="21"/>
                <w:lang w:val="en-US" w:eastAsia="en-GB"/>
              </w:rPr>
              <w:t xml:space="preserve">High </w:t>
            </w:r>
          </w:p>
        </w:tc>
        <w:tc>
          <w:tcPr>
            <w:tcW w:w="2835" w:type="dxa"/>
            <w:shd w:val="clear" w:color="auto" w:fill="FFC000"/>
          </w:tcPr>
          <w:p w14:paraId="2822021C" w14:textId="27E6D7FA" w:rsidR="00BF121D" w:rsidRPr="00654100" w:rsidRDefault="00E06EDD" w:rsidP="009A5938">
            <w:pPr>
              <w:spacing w:before="100" w:beforeAutospacing="1" w:after="100" w:afterAutospacing="1"/>
              <w:jc w:val="both"/>
              <w:rPr>
                <w:rFonts w:eastAsia="Times New Roman" w:cs="Times New Roman"/>
                <w:color w:val="191919"/>
                <w:sz w:val="21"/>
                <w:szCs w:val="21"/>
                <w:lang w:val="en-US" w:eastAsia="en-GB"/>
              </w:rPr>
            </w:pPr>
            <w:r w:rsidRPr="00654100">
              <w:rPr>
                <w:rFonts w:eastAsia="Times New Roman" w:cs="Times New Roman"/>
                <w:color w:val="191919"/>
                <w:sz w:val="21"/>
                <w:szCs w:val="21"/>
                <w:lang w:val="en-US" w:eastAsia="en-GB"/>
              </w:rPr>
              <w:t>Nature</w:t>
            </w:r>
            <w:r w:rsidR="00396C68">
              <w:rPr>
                <w:rFonts w:eastAsia="Times New Roman" w:cs="Times New Roman"/>
                <w:color w:val="191919"/>
                <w:sz w:val="21"/>
                <w:szCs w:val="21"/>
                <w:lang w:val="en-US" w:eastAsia="en-GB"/>
              </w:rPr>
              <w:t xml:space="preserve"> and S</w:t>
            </w:r>
            <w:r w:rsidRPr="00654100">
              <w:rPr>
                <w:rFonts w:eastAsia="Times New Roman" w:cs="Times New Roman"/>
                <w:color w:val="191919"/>
                <w:sz w:val="21"/>
                <w:szCs w:val="21"/>
                <w:lang w:val="en-US" w:eastAsia="en-GB"/>
              </w:rPr>
              <w:t xml:space="preserve">ize: </w:t>
            </w:r>
            <w:r w:rsidR="004F6934">
              <w:rPr>
                <w:rFonts w:eastAsia="Times New Roman" w:cs="Times New Roman"/>
                <w:color w:val="191919"/>
                <w:sz w:val="21"/>
                <w:szCs w:val="21"/>
                <w:lang w:val="en-US" w:eastAsia="en-GB"/>
              </w:rPr>
              <w:t>M</w:t>
            </w:r>
            <w:r w:rsidR="0083642E">
              <w:rPr>
                <w:rFonts w:eastAsia="Times New Roman" w:cs="Times New Roman"/>
                <w:color w:val="191919"/>
                <w:sz w:val="21"/>
                <w:szCs w:val="21"/>
                <w:lang w:val="en-US" w:eastAsia="en-GB"/>
              </w:rPr>
              <w:t>edium</w:t>
            </w:r>
            <w:r w:rsidR="004F6934">
              <w:rPr>
                <w:rFonts w:eastAsia="Times New Roman" w:cs="Times New Roman"/>
                <w:color w:val="191919"/>
                <w:sz w:val="21"/>
                <w:szCs w:val="21"/>
                <w:lang w:val="en-US" w:eastAsia="en-GB"/>
              </w:rPr>
              <w:t xml:space="preserve"> High</w:t>
            </w:r>
          </w:p>
        </w:tc>
      </w:tr>
    </w:tbl>
    <w:p w14:paraId="538EC379" w14:textId="2044DEFE" w:rsidR="006A4F84" w:rsidRDefault="006A4F84" w:rsidP="009A5938">
      <w:pPr>
        <w:jc w:val="both"/>
        <w:rPr>
          <w:rFonts w:ascii="Times New Roman" w:hAnsi="Times New Roman" w:cs="Times New Roman"/>
          <w:sz w:val="21"/>
          <w:szCs w:val="21"/>
          <w:lang w:val="en-US"/>
        </w:rPr>
      </w:pPr>
    </w:p>
    <w:p w14:paraId="0D2B87B9" w14:textId="5A0288B1" w:rsidR="00A55AC0" w:rsidRDefault="00A55AC0" w:rsidP="009A5938">
      <w:pPr>
        <w:jc w:val="both"/>
        <w:rPr>
          <w:rFonts w:ascii="Times New Roman" w:hAnsi="Times New Roman" w:cs="Times New Roman"/>
          <w:sz w:val="21"/>
          <w:szCs w:val="21"/>
          <w:lang w:val="en-US"/>
        </w:rPr>
      </w:pPr>
    </w:p>
    <w:p w14:paraId="2E42C8E4" w14:textId="77777777" w:rsidR="00A55AC0" w:rsidRPr="00654100" w:rsidRDefault="00A55AC0" w:rsidP="009A5938">
      <w:pPr>
        <w:jc w:val="both"/>
        <w:rPr>
          <w:rFonts w:ascii="Times New Roman" w:hAnsi="Times New Roman" w:cs="Times New Roman"/>
          <w:sz w:val="21"/>
          <w:szCs w:val="21"/>
          <w:lang w:val="en-US"/>
        </w:rPr>
      </w:pPr>
    </w:p>
    <w:p w14:paraId="745FF9BB" w14:textId="0940E081" w:rsidR="004231F2" w:rsidRPr="000D24F3" w:rsidRDefault="004231F2" w:rsidP="000D24F3">
      <w:pPr>
        <w:pStyle w:val="Heading2"/>
        <w:ind w:left="936"/>
        <w:rPr>
          <w:rFonts w:ascii="Verdana" w:hAnsi="Verdana"/>
          <w:b/>
          <w:bCs/>
          <w:sz w:val="24"/>
          <w:szCs w:val="24"/>
          <w:lang w:val="en-US"/>
        </w:rPr>
      </w:pPr>
      <w:r w:rsidRPr="000D24F3">
        <w:rPr>
          <w:rFonts w:ascii="Verdana" w:hAnsi="Verdana"/>
          <w:b/>
          <w:bCs/>
          <w:sz w:val="24"/>
          <w:szCs w:val="24"/>
          <w:lang w:val="en-US"/>
        </w:rPr>
        <w:t xml:space="preserve">Risk Category </w:t>
      </w:r>
      <w:r w:rsidR="00806E2D" w:rsidRPr="000D24F3">
        <w:rPr>
          <w:rFonts w:ascii="Verdana" w:hAnsi="Verdana"/>
          <w:b/>
          <w:bCs/>
          <w:sz w:val="24"/>
          <w:szCs w:val="24"/>
          <w:lang w:val="en-US"/>
        </w:rPr>
        <w:t>–</w:t>
      </w:r>
      <w:r w:rsidRPr="000D24F3">
        <w:rPr>
          <w:rFonts w:ascii="Verdana" w:hAnsi="Verdana"/>
          <w:b/>
          <w:bCs/>
          <w:sz w:val="24"/>
          <w:szCs w:val="24"/>
          <w:lang w:val="en-US"/>
        </w:rPr>
        <w:t xml:space="preserve"> </w:t>
      </w:r>
      <w:r w:rsidR="00806E2D" w:rsidRPr="000D24F3">
        <w:rPr>
          <w:rFonts w:ascii="Verdana" w:hAnsi="Verdana"/>
          <w:b/>
          <w:bCs/>
          <w:sz w:val="24"/>
          <w:szCs w:val="24"/>
          <w:lang w:val="en-US"/>
        </w:rPr>
        <w:t xml:space="preserve">Types of </w:t>
      </w:r>
      <w:r w:rsidRPr="000D24F3">
        <w:rPr>
          <w:rFonts w:ascii="Verdana" w:hAnsi="Verdana"/>
          <w:b/>
          <w:bCs/>
          <w:sz w:val="24"/>
          <w:szCs w:val="24"/>
          <w:lang w:val="en-US"/>
        </w:rPr>
        <w:t>Customers</w:t>
      </w:r>
    </w:p>
    <w:p w14:paraId="6A783895" w14:textId="6D66A4DF" w:rsidR="0028709E" w:rsidRPr="00C8353A" w:rsidRDefault="00603251"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C</w:t>
      </w:r>
      <w:r w:rsidR="00920946" w:rsidRPr="00C8353A">
        <w:rPr>
          <w:rFonts w:ascii="Verdana" w:eastAsiaTheme="minorHAnsi" w:hAnsi="Verdana" w:cs="Times New Roman"/>
          <w:color w:val="000000" w:themeColor="text1"/>
          <w:sz w:val="20"/>
          <w:szCs w:val="20"/>
          <w:lang w:val="en-US" w:eastAsia="en-US"/>
        </w:rPr>
        <w:t>IMA registered</w:t>
      </w:r>
      <w:r w:rsidR="000F12CB" w:rsidRPr="00C8353A">
        <w:rPr>
          <w:rFonts w:ascii="Verdana" w:eastAsiaTheme="minorHAnsi" w:hAnsi="Verdana" w:cs="Times New Roman"/>
          <w:color w:val="000000" w:themeColor="text1"/>
          <w:sz w:val="20"/>
          <w:szCs w:val="20"/>
          <w:lang w:val="en-US" w:eastAsia="en-US"/>
        </w:rPr>
        <w:t xml:space="preserve"> </w:t>
      </w:r>
      <w:r w:rsidR="00766CDB" w:rsidRPr="00C8353A">
        <w:rPr>
          <w:rFonts w:ascii="Verdana" w:eastAsiaTheme="minorHAnsi" w:hAnsi="Verdana" w:cs="Times New Roman"/>
          <w:color w:val="000000" w:themeColor="text1"/>
          <w:sz w:val="20"/>
          <w:szCs w:val="20"/>
          <w:lang w:val="en-US" w:eastAsia="en-US"/>
        </w:rPr>
        <w:t xml:space="preserve">TCSPs serve a </w:t>
      </w:r>
      <w:r w:rsidR="00543695" w:rsidRPr="00C8353A">
        <w:rPr>
          <w:rFonts w:ascii="Verdana" w:eastAsiaTheme="minorHAnsi" w:hAnsi="Verdana" w:cs="Times New Roman"/>
          <w:color w:val="000000" w:themeColor="text1"/>
          <w:sz w:val="20"/>
          <w:szCs w:val="20"/>
          <w:lang w:val="en-US" w:eastAsia="en-US"/>
        </w:rPr>
        <w:t xml:space="preserve">total of </w:t>
      </w:r>
      <w:r w:rsidR="00A52A0E" w:rsidRPr="00C8353A">
        <w:rPr>
          <w:rFonts w:ascii="Verdana" w:eastAsiaTheme="minorHAnsi" w:hAnsi="Verdana" w:cs="Times New Roman"/>
          <w:color w:val="000000" w:themeColor="text1"/>
          <w:sz w:val="20"/>
          <w:szCs w:val="20"/>
          <w:lang w:val="en-US" w:eastAsia="en-US"/>
        </w:rPr>
        <w:t>approximately 1</w:t>
      </w:r>
      <w:r w:rsidR="00543695" w:rsidRPr="00C8353A">
        <w:rPr>
          <w:rFonts w:ascii="Verdana" w:eastAsiaTheme="minorHAnsi" w:hAnsi="Verdana" w:cs="Times New Roman"/>
          <w:color w:val="000000" w:themeColor="text1"/>
          <w:sz w:val="20"/>
          <w:szCs w:val="20"/>
          <w:lang w:val="en-US" w:eastAsia="en-US"/>
        </w:rPr>
        <w:t>77</w:t>
      </w:r>
      <w:r w:rsidR="000F12CB" w:rsidRPr="00C8353A">
        <w:rPr>
          <w:rFonts w:ascii="Verdana" w:eastAsiaTheme="minorHAnsi" w:hAnsi="Verdana" w:cs="Times New Roman"/>
          <w:color w:val="000000" w:themeColor="text1"/>
          <w:sz w:val="20"/>
          <w:szCs w:val="20"/>
          <w:lang w:val="en-US" w:eastAsia="en-US"/>
        </w:rPr>
        <w:t>,</w:t>
      </w:r>
      <w:r w:rsidR="00A52A0E" w:rsidRPr="00C8353A">
        <w:rPr>
          <w:rFonts w:ascii="Verdana" w:eastAsiaTheme="minorHAnsi" w:hAnsi="Verdana" w:cs="Times New Roman"/>
          <w:color w:val="000000" w:themeColor="text1"/>
          <w:sz w:val="20"/>
          <w:szCs w:val="20"/>
          <w:lang w:val="en-US" w:eastAsia="en-US"/>
        </w:rPr>
        <w:t xml:space="preserve">000 </w:t>
      </w:r>
      <w:r w:rsidR="00EA5257" w:rsidRPr="00C8353A">
        <w:rPr>
          <w:rFonts w:ascii="Verdana" w:eastAsiaTheme="minorHAnsi" w:hAnsi="Verdana" w:cs="Times New Roman"/>
          <w:color w:val="000000" w:themeColor="text1"/>
          <w:sz w:val="20"/>
          <w:szCs w:val="20"/>
          <w:lang w:val="en-US" w:eastAsia="en-US"/>
        </w:rPr>
        <w:t>customers,</w:t>
      </w:r>
      <w:r w:rsidR="00A52A0E" w:rsidRPr="00C8353A">
        <w:rPr>
          <w:rFonts w:ascii="Verdana" w:eastAsiaTheme="minorHAnsi" w:hAnsi="Verdana" w:cs="Times New Roman"/>
          <w:color w:val="000000" w:themeColor="text1"/>
          <w:sz w:val="20"/>
          <w:szCs w:val="20"/>
          <w:lang w:val="en-US" w:eastAsia="en-US"/>
        </w:rPr>
        <w:t xml:space="preserve"> </w:t>
      </w:r>
      <w:r w:rsidR="00543695" w:rsidRPr="00C8353A">
        <w:rPr>
          <w:rFonts w:ascii="Verdana" w:eastAsiaTheme="minorHAnsi" w:hAnsi="Verdana" w:cs="Times New Roman"/>
          <w:color w:val="000000" w:themeColor="text1"/>
          <w:sz w:val="20"/>
          <w:szCs w:val="20"/>
          <w:lang w:val="en-US" w:eastAsia="en-US"/>
        </w:rPr>
        <w:t>153,000 of which are serviced by TSPs</w:t>
      </w:r>
      <w:r w:rsidR="008C4C3D" w:rsidRPr="00C8353A">
        <w:rPr>
          <w:rFonts w:ascii="Verdana" w:eastAsiaTheme="minorHAnsi" w:hAnsi="Verdana" w:cs="Times New Roman"/>
          <w:color w:val="000000" w:themeColor="text1"/>
          <w:sz w:val="20"/>
          <w:szCs w:val="20"/>
          <w:lang w:val="en-US" w:eastAsia="en-US"/>
        </w:rPr>
        <w:t xml:space="preserve"> and t</w:t>
      </w:r>
      <w:r w:rsidR="00543695" w:rsidRPr="00C8353A">
        <w:rPr>
          <w:rFonts w:ascii="Verdana" w:eastAsiaTheme="minorHAnsi" w:hAnsi="Verdana" w:cs="Times New Roman"/>
          <w:color w:val="000000" w:themeColor="text1"/>
          <w:sz w:val="20"/>
          <w:szCs w:val="20"/>
          <w:lang w:val="en-US" w:eastAsia="en-US"/>
        </w:rPr>
        <w:t xml:space="preserve">he remaining 24,000 by the CSP sector. </w:t>
      </w:r>
      <w:r w:rsidR="0028709E" w:rsidRPr="00C8353A">
        <w:rPr>
          <w:rFonts w:ascii="Verdana" w:eastAsiaTheme="minorHAnsi" w:hAnsi="Verdana" w:cs="Times New Roman"/>
          <w:color w:val="000000" w:themeColor="text1"/>
          <w:sz w:val="20"/>
          <w:szCs w:val="20"/>
          <w:lang w:val="en-US" w:eastAsia="en-US"/>
        </w:rPr>
        <w:t>Of the total population of customers, approximately 40% are natural persons, the remaining 60% are companies.</w:t>
      </w:r>
      <w:r w:rsidR="00A73559" w:rsidRPr="00C8353A">
        <w:rPr>
          <w:rFonts w:ascii="Verdana" w:eastAsiaTheme="minorHAnsi" w:hAnsi="Verdana" w:cs="Times New Roman"/>
          <w:color w:val="000000" w:themeColor="text1"/>
          <w:sz w:val="20"/>
          <w:szCs w:val="20"/>
          <w:lang w:val="en-US" w:eastAsia="en-US"/>
        </w:rPr>
        <w:t xml:space="preserve"> The customer base of the sector </w:t>
      </w:r>
      <w:proofErr w:type="gramStart"/>
      <w:r w:rsidR="00A73559" w:rsidRPr="00C8353A">
        <w:rPr>
          <w:rFonts w:ascii="Verdana" w:eastAsiaTheme="minorHAnsi" w:hAnsi="Verdana" w:cs="Times New Roman"/>
          <w:color w:val="000000" w:themeColor="text1"/>
          <w:sz w:val="20"/>
          <w:szCs w:val="20"/>
          <w:lang w:val="en-US" w:eastAsia="en-US"/>
        </w:rPr>
        <w:t>as a whole is</w:t>
      </w:r>
      <w:proofErr w:type="gramEnd"/>
      <w:r w:rsidR="00A73559" w:rsidRPr="00C8353A">
        <w:rPr>
          <w:rFonts w:ascii="Verdana" w:eastAsiaTheme="minorHAnsi" w:hAnsi="Verdana" w:cs="Times New Roman"/>
          <w:color w:val="000000" w:themeColor="text1"/>
          <w:sz w:val="20"/>
          <w:szCs w:val="20"/>
          <w:lang w:val="en-US" w:eastAsia="en-US"/>
        </w:rPr>
        <w:t xml:space="preserve"> equally domestic (</w:t>
      </w:r>
      <w:r w:rsidR="00DB60E8" w:rsidRPr="00C8353A">
        <w:rPr>
          <w:rFonts w:ascii="Verdana" w:eastAsiaTheme="minorHAnsi" w:hAnsi="Verdana" w:cs="Times New Roman"/>
          <w:color w:val="000000" w:themeColor="text1"/>
          <w:sz w:val="20"/>
          <w:szCs w:val="20"/>
          <w:lang w:val="en-US" w:eastAsia="en-US"/>
        </w:rPr>
        <w:t xml:space="preserve">49%) and international (51%) </w:t>
      </w:r>
      <w:r w:rsidR="000F191A" w:rsidRPr="00C8353A">
        <w:rPr>
          <w:rFonts w:ascii="Verdana" w:eastAsiaTheme="minorHAnsi" w:hAnsi="Verdana" w:cs="Times New Roman"/>
          <w:color w:val="000000" w:themeColor="text1"/>
          <w:sz w:val="20"/>
          <w:szCs w:val="20"/>
          <w:lang w:val="en-US" w:eastAsia="en-US"/>
        </w:rPr>
        <w:t>in nature</w:t>
      </w:r>
      <w:r w:rsidR="004F6934" w:rsidRPr="00C8353A">
        <w:rPr>
          <w:rFonts w:ascii="Verdana" w:eastAsiaTheme="minorHAnsi" w:hAnsi="Verdana" w:cs="Times New Roman"/>
          <w:color w:val="000000" w:themeColor="text1"/>
          <w:sz w:val="20"/>
          <w:szCs w:val="20"/>
          <w:lang w:val="en-US" w:eastAsia="en-US"/>
        </w:rPr>
        <w:t>.</w:t>
      </w:r>
      <w:r w:rsidR="000F191A" w:rsidRPr="00C8353A">
        <w:rPr>
          <w:rFonts w:ascii="Verdana" w:eastAsiaTheme="minorHAnsi" w:hAnsi="Verdana" w:cs="Times New Roman"/>
          <w:color w:val="000000" w:themeColor="text1"/>
          <w:sz w:val="20"/>
          <w:szCs w:val="20"/>
          <w:lang w:val="en-US" w:eastAsia="en-US"/>
        </w:rPr>
        <w:t xml:space="preserve"> </w:t>
      </w:r>
      <w:r w:rsidR="004F6934" w:rsidRPr="00C8353A">
        <w:rPr>
          <w:rFonts w:ascii="Verdana" w:eastAsiaTheme="minorHAnsi" w:hAnsi="Verdana" w:cs="Times New Roman"/>
          <w:color w:val="000000" w:themeColor="text1"/>
          <w:sz w:val="20"/>
          <w:szCs w:val="20"/>
          <w:lang w:val="en-US" w:eastAsia="en-US"/>
        </w:rPr>
        <w:t>I</w:t>
      </w:r>
      <w:r w:rsidR="00DB60E8" w:rsidRPr="00C8353A">
        <w:rPr>
          <w:rFonts w:ascii="Verdana" w:eastAsiaTheme="minorHAnsi" w:hAnsi="Verdana" w:cs="Times New Roman"/>
          <w:color w:val="000000" w:themeColor="text1"/>
          <w:sz w:val="20"/>
          <w:szCs w:val="20"/>
          <w:lang w:val="en-US" w:eastAsia="en-US"/>
        </w:rPr>
        <w:t xml:space="preserve">n cases where TCSPs indicated that the customer is domestic, in practice this may include </w:t>
      </w:r>
      <w:proofErr w:type="gramStart"/>
      <w:r w:rsidR="00DB60E8" w:rsidRPr="00C8353A">
        <w:rPr>
          <w:rFonts w:ascii="Verdana" w:eastAsiaTheme="minorHAnsi" w:hAnsi="Verdana" w:cs="Times New Roman"/>
          <w:color w:val="000000" w:themeColor="text1"/>
          <w:sz w:val="20"/>
          <w:szCs w:val="20"/>
          <w:lang w:val="en-US" w:eastAsia="en-US"/>
        </w:rPr>
        <w:t>a large number of</w:t>
      </w:r>
      <w:proofErr w:type="gramEnd"/>
      <w:r w:rsidR="00DB60E8" w:rsidRPr="00C8353A">
        <w:rPr>
          <w:rFonts w:ascii="Verdana" w:eastAsiaTheme="minorHAnsi" w:hAnsi="Verdana" w:cs="Times New Roman"/>
          <w:color w:val="000000" w:themeColor="text1"/>
          <w:sz w:val="20"/>
          <w:szCs w:val="20"/>
          <w:lang w:val="en-US" w:eastAsia="en-US"/>
        </w:rPr>
        <w:t xml:space="preserve"> cases where the trustee is Caymanian, with the underlying beneficial owner being international.</w:t>
      </w:r>
      <w:r w:rsidR="008C4C3D" w:rsidRPr="00C8353A">
        <w:rPr>
          <w:rFonts w:ascii="Verdana" w:eastAsiaTheme="minorHAnsi" w:hAnsi="Verdana" w:cs="Times New Roman"/>
          <w:color w:val="000000" w:themeColor="text1"/>
          <w:sz w:val="20"/>
          <w:szCs w:val="20"/>
          <w:lang w:val="en-US" w:eastAsia="en-US"/>
        </w:rPr>
        <w:t xml:space="preserve"> </w:t>
      </w:r>
      <w:r w:rsidR="008C4C3D" w:rsidRPr="00C8353A">
        <w:rPr>
          <w:rFonts w:ascii="Verdana" w:eastAsiaTheme="minorHAnsi" w:hAnsi="Verdana" w:cs="Times New Roman"/>
          <w:color w:val="000000" w:themeColor="text1"/>
          <w:sz w:val="20"/>
          <w:szCs w:val="20"/>
          <w:lang w:val="en-US" w:eastAsia="en-US"/>
        </w:rPr>
        <w:tab/>
      </w:r>
    </w:p>
    <w:p w14:paraId="770BBC64" w14:textId="5EF05B3B" w:rsidR="0028709E" w:rsidRPr="00C8353A" w:rsidRDefault="0028709E" w:rsidP="0028709E">
      <w:pPr>
        <w:pStyle w:val="Heading2"/>
        <w:numPr>
          <w:ilvl w:val="0"/>
          <w:numId w:val="0"/>
        </w:numPr>
        <w:spacing w:line="276" w:lineRule="auto"/>
        <w:ind w:right="-6"/>
        <w:jc w:val="both"/>
        <w:rPr>
          <w:rFonts w:ascii="Verdana" w:eastAsiaTheme="minorHAnsi" w:hAnsi="Verdana" w:cs="Times New Roman"/>
          <w:color w:val="000000" w:themeColor="text1"/>
          <w:sz w:val="20"/>
          <w:szCs w:val="20"/>
          <w:lang w:val="en-US" w:eastAsia="en-US"/>
        </w:rPr>
      </w:pPr>
      <w:r w:rsidRPr="00C8353A">
        <w:rPr>
          <w:rFonts w:ascii="Verdana" w:hAnsi="Verdana"/>
          <w:b/>
          <w:bCs/>
          <w:sz w:val="20"/>
          <w:szCs w:val="20"/>
          <w:lang w:val="en-US"/>
        </w:rPr>
        <w:t>TSPs</w:t>
      </w:r>
    </w:p>
    <w:p w14:paraId="759AFC62" w14:textId="7D134F40" w:rsidR="00F57745" w:rsidRPr="00C8353A" w:rsidRDefault="0028709E"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TSPs have </w:t>
      </w:r>
      <w:proofErr w:type="gramStart"/>
      <w:r w:rsidRPr="00C8353A">
        <w:rPr>
          <w:rFonts w:ascii="Verdana" w:eastAsiaTheme="minorHAnsi" w:hAnsi="Verdana" w:cs="Times New Roman"/>
          <w:color w:val="000000" w:themeColor="text1"/>
          <w:sz w:val="20"/>
          <w:szCs w:val="20"/>
          <w:lang w:val="en-US" w:eastAsia="en-US"/>
        </w:rPr>
        <w:t>the majority of</w:t>
      </w:r>
      <w:proofErr w:type="gramEnd"/>
      <w:r w:rsidRPr="00C8353A">
        <w:rPr>
          <w:rFonts w:ascii="Verdana" w:eastAsiaTheme="minorHAnsi" w:hAnsi="Verdana" w:cs="Times New Roman"/>
          <w:color w:val="000000" w:themeColor="text1"/>
          <w:sz w:val="20"/>
          <w:szCs w:val="20"/>
          <w:lang w:val="en-US" w:eastAsia="en-US"/>
        </w:rPr>
        <w:t xml:space="preserve"> customers of the whole TCSP sector in terms of absolute numbers. Approximately 153</w:t>
      </w:r>
      <w:r w:rsidR="004A4FBE" w:rsidRPr="00C8353A">
        <w:rPr>
          <w:rFonts w:ascii="Verdana" w:eastAsiaTheme="minorHAnsi" w:hAnsi="Verdana" w:cs="Times New Roman"/>
          <w:color w:val="000000" w:themeColor="text1"/>
          <w:sz w:val="20"/>
          <w:szCs w:val="20"/>
          <w:lang w:val="en-US" w:eastAsia="en-US"/>
        </w:rPr>
        <w:t>,</w:t>
      </w:r>
      <w:r w:rsidRPr="00C8353A">
        <w:rPr>
          <w:rFonts w:ascii="Verdana" w:eastAsiaTheme="minorHAnsi" w:hAnsi="Verdana" w:cs="Times New Roman"/>
          <w:color w:val="000000" w:themeColor="text1"/>
          <w:sz w:val="20"/>
          <w:szCs w:val="20"/>
          <w:lang w:val="en-US" w:eastAsia="en-US"/>
        </w:rPr>
        <w:t>000 customers or 8</w:t>
      </w:r>
      <w:r w:rsidR="00967DFB" w:rsidRPr="00C8353A">
        <w:rPr>
          <w:rFonts w:ascii="Verdana" w:eastAsiaTheme="minorHAnsi" w:hAnsi="Verdana" w:cs="Times New Roman"/>
          <w:color w:val="000000" w:themeColor="text1"/>
          <w:sz w:val="20"/>
          <w:szCs w:val="20"/>
          <w:lang w:val="en-US" w:eastAsia="en-US"/>
        </w:rPr>
        <w:t>7</w:t>
      </w:r>
      <w:r w:rsidRPr="00C8353A">
        <w:rPr>
          <w:rFonts w:ascii="Verdana" w:eastAsiaTheme="minorHAnsi" w:hAnsi="Verdana" w:cs="Times New Roman"/>
          <w:color w:val="000000" w:themeColor="text1"/>
          <w:sz w:val="20"/>
          <w:szCs w:val="20"/>
          <w:lang w:val="en-US" w:eastAsia="en-US"/>
        </w:rPr>
        <w:t xml:space="preserve">% of the total customer base of the Cayman Islands’ TCSP sector is serviced by </w:t>
      </w:r>
      <w:proofErr w:type="spellStart"/>
      <w:r w:rsidRPr="00C8353A">
        <w:rPr>
          <w:rFonts w:ascii="Verdana" w:eastAsiaTheme="minorHAnsi" w:hAnsi="Verdana" w:cs="Times New Roman"/>
          <w:color w:val="000000" w:themeColor="text1"/>
          <w:sz w:val="20"/>
          <w:szCs w:val="20"/>
          <w:lang w:val="en-US" w:eastAsia="en-US"/>
        </w:rPr>
        <w:t>TSPs.</w:t>
      </w:r>
      <w:proofErr w:type="spellEnd"/>
      <w:r w:rsidRPr="00C8353A">
        <w:rPr>
          <w:rFonts w:ascii="Verdana" w:eastAsiaTheme="minorHAnsi" w:hAnsi="Verdana" w:cs="Times New Roman"/>
          <w:color w:val="000000" w:themeColor="text1"/>
          <w:sz w:val="20"/>
          <w:szCs w:val="20"/>
          <w:lang w:val="en-US" w:eastAsia="en-US"/>
        </w:rPr>
        <w:t xml:space="preserve"> The percentage of natural v</w:t>
      </w:r>
      <w:r w:rsidR="00CD275C" w:rsidRPr="00C8353A">
        <w:rPr>
          <w:rFonts w:ascii="Verdana" w:eastAsiaTheme="minorHAnsi" w:hAnsi="Verdana" w:cs="Times New Roman"/>
          <w:color w:val="000000" w:themeColor="text1"/>
          <w:sz w:val="20"/>
          <w:szCs w:val="20"/>
          <w:lang w:val="en-US" w:eastAsia="en-US"/>
        </w:rPr>
        <w:t>ersus</w:t>
      </w:r>
      <w:r w:rsidRPr="00C8353A">
        <w:rPr>
          <w:rFonts w:ascii="Verdana" w:eastAsiaTheme="minorHAnsi" w:hAnsi="Verdana" w:cs="Times New Roman"/>
          <w:color w:val="000000" w:themeColor="text1"/>
          <w:sz w:val="20"/>
          <w:szCs w:val="20"/>
          <w:lang w:val="en-US" w:eastAsia="en-US"/>
        </w:rPr>
        <w:t xml:space="preserve"> legal persons customers in the TSP sector </w:t>
      </w:r>
      <w:r w:rsidR="00225B38" w:rsidRPr="00C8353A">
        <w:rPr>
          <w:rFonts w:ascii="Verdana" w:eastAsiaTheme="minorHAnsi" w:hAnsi="Verdana" w:cs="Times New Roman"/>
          <w:color w:val="000000" w:themeColor="text1"/>
          <w:sz w:val="20"/>
          <w:szCs w:val="20"/>
          <w:lang w:val="en-US" w:eastAsia="en-US"/>
        </w:rPr>
        <w:t>is representative of the</w:t>
      </w:r>
      <w:r w:rsidRPr="00C8353A">
        <w:rPr>
          <w:rFonts w:ascii="Verdana" w:eastAsiaTheme="minorHAnsi" w:hAnsi="Verdana" w:cs="Times New Roman"/>
          <w:color w:val="000000" w:themeColor="text1"/>
          <w:sz w:val="20"/>
          <w:szCs w:val="20"/>
          <w:lang w:val="en-US" w:eastAsia="en-US"/>
        </w:rPr>
        <w:t xml:space="preserve"> TCSP sector in general, with about 40% of customers being natural persons</w:t>
      </w:r>
      <w:r w:rsidR="000F191A" w:rsidRPr="00C8353A">
        <w:rPr>
          <w:rFonts w:ascii="Verdana" w:eastAsiaTheme="minorHAnsi" w:hAnsi="Verdana" w:cs="Times New Roman"/>
          <w:color w:val="000000" w:themeColor="text1"/>
          <w:sz w:val="20"/>
          <w:szCs w:val="20"/>
          <w:lang w:val="en-US" w:eastAsia="en-US"/>
        </w:rPr>
        <w:t>, the remaining 60% legal persons</w:t>
      </w:r>
      <w:r w:rsidRPr="00C8353A">
        <w:rPr>
          <w:rFonts w:ascii="Verdana" w:eastAsiaTheme="minorHAnsi" w:hAnsi="Verdana" w:cs="Times New Roman"/>
          <w:color w:val="000000" w:themeColor="text1"/>
          <w:sz w:val="20"/>
          <w:szCs w:val="20"/>
          <w:lang w:val="en-US" w:eastAsia="en-US"/>
        </w:rPr>
        <w:t>.</w:t>
      </w:r>
      <w:r w:rsidR="00D87026" w:rsidRPr="00C8353A">
        <w:rPr>
          <w:rFonts w:ascii="Verdana" w:eastAsiaTheme="minorHAnsi" w:hAnsi="Verdana" w:cs="Times New Roman"/>
          <w:color w:val="000000" w:themeColor="text1"/>
          <w:sz w:val="20"/>
          <w:szCs w:val="20"/>
          <w:lang w:val="en-US" w:eastAsia="en-US"/>
        </w:rPr>
        <w:t xml:space="preserve"> </w:t>
      </w:r>
    </w:p>
    <w:p w14:paraId="447687EB" w14:textId="030460B2" w:rsidR="00F57745" w:rsidRPr="00C4450B" w:rsidRDefault="00F57745"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The number of customers translates into </w:t>
      </w:r>
      <w:r w:rsidR="00967DFB" w:rsidRPr="00C8353A">
        <w:rPr>
          <w:rFonts w:ascii="Verdana" w:eastAsiaTheme="minorHAnsi" w:hAnsi="Verdana" w:cs="Times New Roman"/>
          <w:color w:val="000000" w:themeColor="text1"/>
          <w:sz w:val="20"/>
          <w:szCs w:val="20"/>
          <w:lang w:val="en-US" w:eastAsia="en-US"/>
        </w:rPr>
        <w:t>approximately 24,300</w:t>
      </w:r>
      <w:r w:rsidRPr="00C8353A">
        <w:rPr>
          <w:rFonts w:ascii="Verdana" w:eastAsiaTheme="minorHAnsi" w:hAnsi="Verdana" w:cs="Times New Roman"/>
          <w:color w:val="000000" w:themeColor="text1"/>
          <w:sz w:val="20"/>
          <w:szCs w:val="20"/>
          <w:lang w:val="en-US" w:eastAsia="en-US"/>
        </w:rPr>
        <w:t xml:space="preserve"> beneficial owners, of which a</w:t>
      </w:r>
      <w:r w:rsidR="00967DFB" w:rsidRPr="00C8353A">
        <w:rPr>
          <w:rFonts w:ascii="Verdana" w:eastAsiaTheme="minorHAnsi" w:hAnsi="Verdana" w:cs="Times New Roman"/>
          <w:color w:val="000000" w:themeColor="text1"/>
          <w:sz w:val="20"/>
          <w:szCs w:val="20"/>
          <w:lang w:val="en-US" w:eastAsia="en-US"/>
        </w:rPr>
        <w:t>pproximately</w:t>
      </w:r>
      <w:r w:rsidRPr="00C8353A">
        <w:rPr>
          <w:rFonts w:ascii="Verdana" w:eastAsiaTheme="minorHAnsi" w:hAnsi="Verdana" w:cs="Times New Roman"/>
          <w:color w:val="000000" w:themeColor="text1"/>
          <w:sz w:val="20"/>
          <w:szCs w:val="20"/>
          <w:lang w:val="en-US" w:eastAsia="en-US"/>
        </w:rPr>
        <w:t xml:space="preserve"> 3</w:t>
      </w:r>
      <w:r w:rsidR="00967DFB" w:rsidRPr="00C8353A">
        <w:rPr>
          <w:rFonts w:ascii="Verdana" w:eastAsiaTheme="minorHAnsi" w:hAnsi="Verdana" w:cs="Times New Roman"/>
          <w:color w:val="000000" w:themeColor="text1"/>
          <w:sz w:val="20"/>
          <w:szCs w:val="20"/>
          <w:lang w:val="en-US" w:eastAsia="en-US"/>
        </w:rPr>
        <w:t>,700</w:t>
      </w:r>
      <w:r w:rsidR="004A4FBE" w:rsidRPr="00C8353A">
        <w:rPr>
          <w:rFonts w:ascii="Verdana" w:eastAsiaTheme="minorHAnsi" w:hAnsi="Verdana" w:cs="Times New Roman"/>
          <w:color w:val="000000" w:themeColor="text1"/>
          <w:sz w:val="20"/>
          <w:szCs w:val="20"/>
          <w:lang w:val="en-US" w:eastAsia="en-US"/>
        </w:rPr>
        <w:t xml:space="preserve"> (</w:t>
      </w:r>
      <w:r w:rsidRPr="00C4450B">
        <w:rPr>
          <w:rFonts w:ascii="Verdana" w:eastAsiaTheme="minorHAnsi" w:hAnsi="Verdana" w:cs="Times New Roman"/>
          <w:color w:val="000000" w:themeColor="text1"/>
          <w:sz w:val="20"/>
          <w:szCs w:val="20"/>
          <w:lang w:val="en-US" w:eastAsia="en-US"/>
        </w:rPr>
        <w:t>15%</w:t>
      </w:r>
      <w:r w:rsidR="004A4FBE" w:rsidRPr="00C4450B">
        <w:rPr>
          <w:rFonts w:ascii="Verdana" w:eastAsiaTheme="minorHAnsi" w:hAnsi="Verdana" w:cs="Times New Roman"/>
          <w:color w:val="000000" w:themeColor="text1"/>
          <w:sz w:val="20"/>
          <w:szCs w:val="20"/>
          <w:lang w:val="en-US" w:eastAsia="en-US"/>
        </w:rPr>
        <w:t>)</w:t>
      </w:r>
      <w:r w:rsidRPr="00C4450B">
        <w:rPr>
          <w:rFonts w:ascii="Verdana" w:eastAsiaTheme="minorHAnsi" w:hAnsi="Verdana" w:cs="Times New Roman"/>
          <w:color w:val="000000" w:themeColor="text1"/>
          <w:sz w:val="20"/>
          <w:szCs w:val="20"/>
          <w:lang w:val="en-US" w:eastAsia="en-US"/>
        </w:rPr>
        <w:t xml:space="preserve"> come from a high-risk jurisdiction.</w:t>
      </w:r>
    </w:p>
    <w:p w14:paraId="3E56A188" w14:textId="040070D0" w:rsidR="00800391" w:rsidRPr="00C4450B" w:rsidRDefault="000F191A"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4450B">
        <w:rPr>
          <w:rFonts w:ascii="Verdana" w:eastAsiaTheme="minorHAnsi" w:hAnsi="Verdana" w:cs="Times New Roman"/>
          <w:color w:val="000000" w:themeColor="text1"/>
          <w:sz w:val="20"/>
          <w:szCs w:val="20"/>
          <w:lang w:val="en-US" w:eastAsia="en-US"/>
        </w:rPr>
        <w:t>The customer base of TSPs includes 1,502 PEP customers or beneficial owners, 1</w:t>
      </w:r>
      <w:r w:rsidR="00967DFB" w:rsidRPr="00C4450B">
        <w:rPr>
          <w:rFonts w:ascii="Verdana" w:eastAsiaTheme="minorHAnsi" w:hAnsi="Verdana" w:cs="Times New Roman"/>
          <w:color w:val="000000" w:themeColor="text1"/>
          <w:sz w:val="20"/>
          <w:szCs w:val="20"/>
          <w:lang w:val="en-US" w:eastAsia="en-US"/>
        </w:rPr>
        <w:t>92</w:t>
      </w:r>
      <w:r w:rsidRPr="00C4450B">
        <w:rPr>
          <w:rFonts w:ascii="Verdana" w:eastAsiaTheme="minorHAnsi" w:hAnsi="Verdana" w:cs="Times New Roman"/>
          <w:color w:val="000000" w:themeColor="text1"/>
          <w:sz w:val="20"/>
          <w:szCs w:val="20"/>
          <w:lang w:val="en-US" w:eastAsia="en-US"/>
        </w:rPr>
        <w:t xml:space="preserve"> of which come from a high-risk jurisdiction. 46</w:t>
      </w:r>
      <w:r w:rsidR="000474F9" w:rsidRPr="00C4450B">
        <w:rPr>
          <w:rFonts w:ascii="Verdana" w:eastAsiaTheme="minorHAnsi" w:hAnsi="Verdana" w:cs="Times New Roman"/>
          <w:color w:val="000000" w:themeColor="text1"/>
          <w:sz w:val="20"/>
          <w:szCs w:val="20"/>
          <w:lang w:val="en-US" w:eastAsia="en-US"/>
        </w:rPr>
        <w:t xml:space="preserve">,250 </w:t>
      </w:r>
      <w:r w:rsidRPr="00C4450B">
        <w:rPr>
          <w:rFonts w:ascii="Verdana" w:eastAsiaTheme="minorHAnsi" w:hAnsi="Verdana" w:cs="Times New Roman"/>
          <w:color w:val="000000" w:themeColor="text1"/>
          <w:sz w:val="20"/>
          <w:szCs w:val="20"/>
          <w:lang w:val="en-US" w:eastAsia="en-US"/>
        </w:rPr>
        <w:t xml:space="preserve">TSP customers, which accounts for about 30% of the total customer base of TSPs, are high net worth individuals, which together are holding about 12% of the assets managed by the Cayman Islands’ TSP sector. </w:t>
      </w:r>
      <w:r w:rsidR="000474F9" w:rsidRPr="00C4450B">
        <w:rPr>
          <w:rFonts w:ascii="Verdana" w:eastAsiaTheme="minorHAnsi" w:hAnsi="Verdana" w:cs="Times New Roman"/>
          <w:color w:val="000000" w:themeColor="text1"/>
          <w:sz w:val="20"/>
          <w:szCs w:val="20"/>
          <w:lang w:val="en-US" w:eastAsia="en-US"/>
        </w:rPr>
        <w:t xml:space="preserve">5730 </w:t>
      </w:r>
      <w:r w:rsidRPr="00C4450B">
        <w:rPr>
          <w:rFonts w:ascii="Verdana" w:eastAsiaTheme="minorHAnsi" w:hAnsi="Verdana" w:cs="Times New Roman"/>
          <w:color w:val="000000" w:themeColor="text1"/>
          <w:sz w:val="20"/>
          <w:szCs w:val="20"/>
          <w:lang w:val="en-US" w:eastAsia="en-US"/>
        </w:rPr>
        <w:t xml:space="preserve">of those persons come from a high-risk jurisdiction. </w:t>
      </w:r>
    </w:p>
    <w:p w14:paraId="5C6D624B" w14:textId="2F374982" w:rsidR="00955962" w:rsidRPr="00C4450B" w:rsidRDefault="00423616" w:rsidP="004E5F89">
      <w:pPr>
        <w:pStyle w:val="Heading2"/>
        <w:numPr>
          <w:ilvl w:val="0"/>
          <w:numId w:val="0"/>
        </w:numPr>
        <w:rPr>
          <w:rFonts w:ascii="Verdana" w:hAnsi="Verdana"/>
          <w:b/>
          <w:bCs/>
          <w:sz w:val="20"/>
          <w:szCs w:val="20"/>
          <w:lang w:val="en-US"/>
        </w:rPr>
      </w:pPr>
      <w:r w:rsidRPr="00C4450B">
        <w:rPr>
          <w:rFonts w:ascii="Verdana" w:hAnsi="Verdana"/>
          <w:b/>
          <w:bCs/>
          <w:sz w:val="20"/>
          <w:szCs w:val="20"/>
          <w:lang w:val="en-US"/>
        </w:rPr>
        <w:t>CSPs</w:t>
      </w:r>
    </w:p>
    <w:p w14:paraId="3F0A1B17" w14:textId="6A2A0574" w:rsidR="00AC56A1" w:rsidRPr="00C4450B" w:rsidRDefault="00423616"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4450B">
        <w:rPr>
          <w:rFonts w:ascii="Verdana" w:eastAsiaTheme="minorHAnsi" w:hAnsi="Verdana" w:cs="Times New Roman"/>
          <w:color w:val="000000" w:themeColor="text1"/>
          <w:sz w:val="20"/>
          <w:szCs w:val="20"/>
          <w:lang w:val="en-US" w:eastAsia="en-US"/>
        </w:rPr>
        <w:t>CSPs have</w:t>
      </w:r>
      <w:r w:rsidR="00BD04F8" w:rsidRPr="00C4450B">
        <w:rPr>
          <w:rFonts w:ascii="Verdana" w:eastAsiaTheme="minorHAnsi" w:hAnsi="Verdana" w:cs="Times New Roman"/>
          <w:color w:val="000000" w:themeColor="text1"/>
          <w:sz w:val="20"/>
          <w:szCs w:val="20"/>
          <w:lang w:val="en-US" w:eastAsia="en-US"/>
        </w:rPr>
        <w:t xml:space="preserve"> a much lower customer base which </w:t>
      </w:r>
      <w:r w:rsidRPr="00C4450B">
        <w:rPr>
          <w:rFonts w:ascii="Verdana" w:eastAsiaTheme="minorHAnsi" w:hAnsi="Verdana" w:cs="Times New Roman"/>
          <w:color w:val="000000" w:themeColor="text1"/>
          <w:sz w:val="20"/>
          <w:szCs w:val="20"/>
          <w:lang w:val="en-US" w:eastAsia="en-US"/>
        </w:rPr>
        <w:t>total</w:t>
      </w:r>
      <w:r w:rsidR="00BD04F8" w:rsidRPr="00C4450B">
        <w:rPr>
          <w:rFonts w:ascii="Verdana" w:eastAsiaTheme="minorHAnsi" w:hAnsi="Verdana" w:cs="Times New Roman"/>
          <w:color w:val="000000" w:themeColor="text1"/>
          <w:sz w:val="20"/>
          <w:szCs w:val="20"/>
          <w:lang w:val="en-US" w:eastAsia="en-US"/>
        </w:rPr>
        <w:t xml:space="preserve">s </w:t>
      </w:r>
      <w:r w:rsidR="00AC56A1" w:rsidRPr="00C4450B">
        <w:rPr>
          <w:rFonts w:ascii="Verdana" w:eastAsiaTheme="minorHAnsi" w:hAnsi="Verdana" w:cs="Times New Roman"/>
          <w:color w:val="000000" w:themeColor="text1"/>
          <w:sz w:val="20"/>
          <w:szCs w:val="20"/>
          <w:lang w:val="en-US" w:eastAsia="en-US"/>
        </w:rPr>
        <w:t>23,500</w:t>
      </w:r>
      <w:r w:rsidRPr="00C4450B">
        <w:rPr>
          <w:rFonts w:ascii="Verdana" w:eastAsiaTheme="minorHAnsi" w:hAnsi="Verdana" w:cs="Times New Roman"/>
          <w:color w:val="000000" w:themeColor="text1"/>
          <w:sz w:val="20"/>
          <w:szCs w:val="20"/>
          <w:lang w:val="en-US" w:eastAsia="en-US"/>
        </w:rPr>
        <w:t xml:space="preserve"> customers</w:t>
      </w:r>
      <w:r w:rsidR="00BD04F8" w:rsidRPr="00C4450B">
        <w:rPr>
          <w:rFonts w:ascii="Verdana" w:eastAsiaTheme="minorHAnsi" w:hAnsi="Verdana" w:cs="Times New Roman"/>
          <w:color w:val="000000" w:themeColor="text1"/>
          <w:sz w:val="20"/>
          <w:szCs w:val="20"/>
          <w:lang w:val="en-US" w:eastAsia="en-US"/>
        </w:rPr>
        <w:t xml:space="preserve">. However, the </w:t>
      </w:r>
      <w:proofErr w:type="gramStart"/>
      <w:r w:rsidR="00BD04F8" w:rsidRPr="00C4450B">
        <w:rPr>
          <w:rFonts w:ascii="Verdana" w:eastAsiaTheme="minorHAnsi" w:hAnsi="Verdana" w:cs="Times New Roman"/>
          <w:color w:val="000000" w:themeColor="text1"/>
          <w:sz w:val="20"/>
          <w:szCs w:val="20"/>
          <w:lang w:val="en-US" w:eastAsia="en-US"/>
        </w:rPr>
        <w:t xml:space="preserve">have </w:t>
      </w:r>
      <w:r w:rsidR="00800391" w:rsidRPr="00C4450B">
        <w:rPr>
          <w:rFonts w:ascii="Verdana" w:eastAsiaTheme="minorHAnsi" w:hAnsi="Verdana" w:cs="Times New Roman"/>
          <w:color w:val="000000" w:themeColor="text1"/>
          <w:sz w:val="20"/>
          <w:szCs w:val="20"/>
          <w:lang w:val="en-US" w:eastAsia="en-US"/>
        </w:rPr>
        <w:t xml:space="preserve"> a</w:t>
      </w:r>
      <w:proofErr w:type="gramEnd"/>
      <w:r w:rsidR="00800391" w:rsidRPr="00C4450B">
        <w:rPr>
          <w:rFonts w:ascii="Verdana" w:eastAsiaTheme="minorHAnsi" w:hAnsi="Verdana" w:cs="Times New Roman"/>
          <w:color w:val="000000" w:themeColor="text1"/>
          <w:sz w:val="20"/>
          <w:szCs w:val="20"/>
          <w:lang w:val="en-US" w:eastAsia="en-US"/>
        </w:rPr>
        <w:t xml:space="preserve"> slightly </w:t>
      </w:r>
      <w:r w:rsidR="00804BD1" w:rsidRPr="00C4450B">
        <w:rPr>
          <w:rFonts w:ascii="Verdana" w:eastAsiaTheme="minorHAnsi" w:hAnsi="Verdana" w:cs="Times New Roman"/>
          <w:color w:val="000000" w:themeColor="text1"/>
          <w:sz w:val="20"/>
          <w:szCs w:val="20"/>
          <w:lang w:val="en-US" w:eastAsia="en-US"/>
        </w:rPr>
        <w:t>lower</w:t>
      </w:r>
      <w:r w:rsidR="00800391" w:rsidRPr="00C4450B">
        <w:rPr>
          <w:rFonts w:ascii="Verdana" w:eastAsiaTheme="minorHAnsi" w:hAnsi="Verdana" w:cs="Times New Roman"/>
          <w:color w:val="000000" w:themeColor="text1"/>
          <w:sz w:val="20"/>
          <w:szCs w:val="20"/>
          <w:lang w:val="en-US" w:eastAsia="en-US"/>
        </w:rPr>
        <w:t xml:space="preserve"> share </w:t>
      </w:r>
      <w:r w:rsidR="00BD04F8" w:rsidRPr="00C4450B">
        <w:rPr>
          <w:rFonts w:ascii="Verdana" w:eastAsiaTheme="minorHAnsi" w:hAnsi="Verdana" w:cs="Times New Roman"/>
          <w:color w:val="000000" w:themeColor="text1"/>
          <w:sz w:val="20"/>
          <w:szCs w:val="20"/>
          <w:lang w:val="en-US" w:eastAsia="en-US"/>
        </w:rPr>
        <w:t>(</w:t>
      </w:r>
      <w:r w:rsidR="00804BD1" w:rsidRPr="00C4450B">
        <w:rPr>
          <w:rFonts w:ascii="Verdana" w:eastAsiaTheme="minorHAnsi" w:hAnsi="Verdana" w:cs="Times New Roman"/>
          <w:sz w:val="20"/>
          <w:szCs w:val="20"/>
          <w:lang w:val="en-US" w:eastAsia="en-US"/>
        </w:rPr>
        <w:t>3</w:t>
      </w:r>
      <w:r w:rsidR="00800391" w:rsidRPr="00C4450B">
        <w:rPr>
          <w:rFonts w:ascii="Verdana" w:eastAsiaTheme="minorHAnsi" w:hAnsi="Verdana" w:cs="Times New Roman"/>
          <w:sz w:val="20"/>
          <w:szCs w:val="20"/>
          <w:lang w:val="en-US" w:eastAsia="en-US"/>
        </w:rPr>
        <w:t>4%</w:t>
      </w:r>
      <w:r w:rsidR="00BD04F8" w:rsidRPr="00C4450B">
        <w:rPr>
          <w:rFonts w:ascii="Verdana" w:eastAsiaTheme="minorHAnsi" w:hAnsi="Verdana" w:cs="Times New Roman"/>
          <w:sz w:val="20"/>
          <w:szCs w:val="20"/>
          <w:lang w:val="en-US" w:eastAsia="en-US"/>
        </w:rPr>
        <w:t>)</w:t>
      </w:r>
      <w:r w:rsidR="00800391" w:rsidRPr="00C4450B">
        <w:rPr>
          <w:rFonts w:ascii="Verdana" w:eastAsiaTheme="minorHAnsi" w:hAnsi="Verdana" w:cs="Times New Roman"/>
          <w:sz w:val="20"/>
          <w:szCs w:val="20"/>
          <w:lang w:val="en-US" w:eastAsia="en-US"/>
        </w:rPr>
        <w:t xml:space="preserve"> of</w:t>
      </w:r>
      <w:r w:rsidR="00804BD1" w:rsidRPr="00C4450B">
        <w:rPr>
          <w:rFonts w:ascii="Verdana" w:eastAsiaTheme="minorHAnsi" w:hAnsi="Verdana" w:cs="Times New Roman"/>
          <w:sz w:val="20"/>
          <w:szCs w:val="20"/>
          <w:lang w:val="en-US" w:eastAsia="en-US"/>
        </w:rPr>
        <w:t xml:space="preserve"> natural</w:t>
      </w:r>
      <w:r w:rsidR="00800391" w:rsidRPr="00C4450B">
        <w:rPr>
          <w:rFonts w:ascii="Verdana" w:eastAsiaTheme="minorHAnsi" w:hAnsi="Verdana" w:cs="Times New Roman"/>
          <w:sz w:val="20"/>
          <w:szCs w:val="20"/>
          <w:lang w:val="en-US" w:eastAsia="en-US"/>
        </w:rPr>
        <w:t xml:space="preserve"> </w:t>
      </w:r>
      <w:r w:rsidR="00800391" w:rsidRPr="00C4450B">
        <w:rPr>
          <w:rFonts w:ascii="Verdana" w:eastAsiaTheme="minorHAnsi" w:hAnsi="Verdana" w:cs="Times New Roman"/>
          <w:color w:val="000000" w:themeColor="text1"/>
          <w:sz w:val="20"/>
          <w:szCs w:val="20"/>
          <w:lang w:val="en-US" w:eastAsia="en-US"/>
        </w:rPr>
        <w:t xml:space="preserve">person customers compared to the sector as a whole. </w:t>
      </w:r>
      <w:r w:rsidR="00AC61DF" w:rsidRPr="00C4450B">
        <w:rPr>
          <w:rFonts w:ascii="Verdana" w:eastAsiaTheme="minorHAnsi" w:hAnsi="Verdana" w:cs="Times New Roman"/>
          <w:color w:val="000000" w:themeColor="text1"/>
          <w:sz w:val="20"/>
          <w:szCs w:val="20"/>
          <w:lang w:val="en-US" w:eastAsia="en-US"/>
        </w:rPr>
        <w:t xml:space="preserve">As in the case of TSPs, also customers of CSPs are about 50% local and international, with about </w:t>
      </w:r>
      <w:r w:rsidRPr="00C4450B">
        <w:rPr>
          <w:rFonts w:ascii="Verdana" w:eastAsiaTheme="minorHAnsi" w:hAnsi="Verdana" w:cs="Times New Roman"/>
          <w:color w:val="000000" w:themeColor="text1"/>
          <w:sz w:val="20"/>
          <w:szCs w:val="20"/>
          <w:lang w:val="en-US" w:eastAsia="en-US"/>
        </w:rPr>
        <w:t>1</w:t>
      </w:r>
      <w:r w:rsidR="00AC56A1" w:rsidRPr="00C4450B">
        <w:rPr>
          <w:rFonts w:ascii="Verdana" w:eastAsiaTheme="minorHAnsi" w:hAnsi="Verdana" w:cs="Times New Roman"/>
          <w:color w:val="000000" w:themeColor="text1"/>
          <w:sz w:val="20"/>
          <w:szCs w:val="20"/>
          <w:lang w:val="en-US" w:eastAsia="en-US"/>
        </w:rPr>
        <w:t>,700</w:t>
      </w:r>
      <w:r w:rsidRPr="00C4450B">
        <w:rPr>
          <w:rFonts w:ascii="Verdana" w:eastAsiaTheme="minorHAnsi" w:hAnsi="Verdana" w:cs="Times New Roman"/>
          <w:color w:val="000000" w:themeColor="text1"/>
          <w:sz w:val="20"/>
          <w:szCs w:val="20"/>
          <w:lang w:val="en-US" w:eastAsia="en-US"/>
        </w:rPr>
        <w:t xml:space="preserve"> or </w:t>
      </w:r>
      <w:r w:rsidR="0028709E" w:rsidRPr="00C4450B">
        <w:rPr>
          <w:rFonts w:ascii="Verdana" w:eastAsiaTheme="minorHAnsi" w:hAnsi="Verdana" w:cs="Times New Roman"/>
          <w:color w:val="000000" w:themeColor="text1"/>
          <w:sz w:val="20"/>
          <w:szCs w:val="20"/>
          <w:lang w:val="en-US" w:eastAsia="en-US"/>
        </w:rPr>
        <w:t xml:space="preserve">around </w:t>
      </w:r>
      <w:r w:rsidR="00AC56A1" w:rsidRPr="00C4450B">
        <w:rPr>
          <w:rFonts w:ascii="Verdana" w:eastAsiaTheme="minorHAnsi" w:hAnsi="Verdana" w:cs="Times New Roman"/>
          <w:color w:val="000000" w:themeColor="text1"/>
          <w:sz w:val="20"/>
          <w:szCs w:val="20"/>
          <w:lang w:val="en-US" w:eastAsia="en-US"/>
        </w:rPr>
        <w:t>7</w:t>
      </w:r>
      <w:r w:rsidRPr="00C4450B">
        <w:rPr>
          <w:rFonts w:ascii="Verdana" w:eastAsiaTheme="minorHAnsi" w:hAnsi="Verdana" w:cs="Times New Roman"/>
          <w:color w:val="000000" w:themeColor="text1"/>
          <w:sz w:val="20"/>
          <w:szCs w:val="20"/>
          <w:lang w:val="en-US" w:eastAsia="en-US"/>
        </w:rPr>
        <w:t xml:space="preserve">% </w:t>
      </w:r>
      <w:r w:rsidR="0028709E" w:rsidRPr="00C4450B">
        <w:rPr>
          <w:rFonts w:ascii="Verdana" w:eastAsiaTheme="minorHAnsi" w:hAnsi="Verdana" w:cs="Times New Roman"/>
          <w:color w:val="000000" w:themeColor="text1"/>
          <w:sz w:val="20"/>
          <w:szCs w:val="20"/>
          <w:lang w:val="en-US" w:eastAsia="en-US"/>
        </w:rPr>
        <w:t xml:space="preserve">of all CSP customers </w:t>
      </w:r>
      <w:r w:rsidRPr="00C4450B">
        <w:rPr>
          <w:rFonts w:ascii="Verdana" w:eastAsiaTheme="minorHAnsi" w:hAnsi="Verdana" w:cs="Times New Roman"/>
          <w:color w:val="000000" w:themeColor="text1"/>
          <w:sz w:val="20"/>
          <w:szCs w:val="20"/>
          <w:lang w:val="en-US" w:eastAsia="en-US"/>
        </w:rPr>
        <w:t xml:space="preserve">are from a high-risk jurisdiction. </w:t>
      </w:r>
    </w:p>
    <w:p w14:paraId="01BE23E4" w14:textId="6FFFD03E" w:rsidR="00AC56A1" w:rsidRPr="00C8353A" w:rsidRDefault="00AC56A1"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The customer base of CSPs includes 57 PEP customers or beneficial owners, 2 of which come from a high-risk jurisdiction. 51 CSP customers, which accounts for approximately 0.2% of the total customer base of TSPs, are high net worth individuals. </w:t>
      </w:r>
    </w:p>
    <w:p w14:paraId="1E06A1F4" w14:textId="3B94C136" w:rsidR="004A4FBE" w:rsidRPr="00C8353A" w:rsidRDefault="004A4FBE"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The below chart contains a comparison of the customer base of TSPs and CSPs;</w:t>
      </w:r>
    </w:p>
    <w:p w14:paraId="3A943B07" w14:textId="13CD1159" w:rsidR="004A4FBE" w:rsidRPr="00AC56A1" w:rsidRDefault="004A4FBE" w:rsidP="00BD04F8">
      <w:pPr>
        <w:pStyle w:val="Heading2"/>
        <w:numPr>
          <w:ilvl w:val="0"/>
          <w:numId w:val="0"/>
        </w:numPr>
        <w:spacing w:line="276" w:lineRule="auto"/>
        <w:ind w:left="360" w:right="-6"/>
        <w:jc w:val="both"/>
        <w:rPr>
          <w:rFonts w:asciiTheme="minorHAnsi" w:eastAsiaTheme="minorHAnsi" w:hAnsiTheme="minorHAnsi" w:cs="Times New Roman"/>
          <w:color w:val="000000" w:themeColor="text1"/>
          <w:szCs w:val="22"/>
          <w:lang w:val="en-US" w:eastAsia="en-US"/>
        </w:rPr>
      </w:pPr>
      <w:r>
        <w:rPr>
          <w:noProof/>
        </w:rPr>
        <w:drawing>
          <wp:inline distT="0" distB="0" distL="0" distR="0" wp14:anchorId="3D1F3576" wp14:editId="7152B732">
            <wp:extent cx="4572000" cy="2743200"/>
            <wp:effectExtent l="0" t="0" r="0" b="0"/>
            <wp:docPr id="2" name="Chart 2">
              <a:extLst xmlns:a="http://schemas.openxmlformats.org/drawingml/2006/main">
                <a:ext uri="{FF2B5EF4-FFF2-40B4-BE49-F238E27FC236}">
                  <a16:creationId xmlns:a16="http://schemas.microsoft.com/office/drawing/2014/main" id="{80407D8C-D373-428B-BDA8-35331C66B7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20C275" w14:textId="1C18B706" w:rsidR="008A6982" w:rsidRPr="00C8353A" w:rsidRDefault="008A6982" w:rsidP="004E5F89">
      <w:pPr>
        <w:pStyle w:val="Heading2"/>
        <w:numPr>
          <w:ilvl w:val="0"/>
          <w:numId w:val="0"/>
        </w:numPr>
        <w:rPr>
          <w:rFonts w:ascii="Verdana" w:hAnsi="Verdana"/>
          <w:b/>
          <w:bCs/>
          <w:sz w:val="20"/>
          <w:szCs w:val="20"/>
          <w:lang w:val="en-US"/>
        </w:rPr>
      </w:pPr>
      <w:r w:rsidRPr="00C8353A">
        <w:rPr>
          <w:rFonts w:ascii="Verdana" w:hAnsi="Verdana"/>
          <w:b/>
          <w:bCs/>
          <w:sz w:val="20"/>
          <w:szCs w:val="20"/>
          <w:lang w:val="en-US"/>
        </w:rPr>
        <w:t xml:space="preserve">Conclusion for Risk Category </w:t>
      </w:r>
      <w:r w:rsidR="003C014A" w:rsidRPr="00C8353A">
        <w:rPr>
          <w:rFonts w:ascii="Verdana" w:hAnsi="Verdana"/>
          <w:b/>
          <w:bCs/>
          <w:sz w:val="20"/>
          <w:szCs w:val="20"/>
          <w:lang w:val="en-US"/>
        </w:rPr>
        <w:t xml:space="preserve">Types of </w:t>
      </w:r>
      <w:r w:rsidR="004E28AF" w:rsidRPr="00C8353A">
        <w:rPr>
          <w:rFonts w:ascii="Verdana" w:hAnsi="Verdana"/>
          <w:b/>
          <w:bCs/>
          <w:sz w:val="20"/>
          <w:szCs w:val="20"/>
          <w:lang w:val="en-US"/>
        </w:rPr>
        <w:t>Customers</w:t>
      </w:r>
    </w:p>
    <w:p w14:paraId="147E9280" w14:textId="713F6658" w:rsidR="004858E5" w:rsidRPr="00C8353A" w:rsidRDefault="003C014A"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The customer base of the TCSP sector is</w:t>
      </w:r>
      <w:r w:rsidR="004858E5" w:rsidRPr="00C8353A">
        <w:rPr>
          <w:rFonts w:ascii="Verdana" w:eastAsiaTheme="minorHAnsi" w:hAnsi="Verdana" w:cs="Times New Roman"/>
          <w:color w:val="000000" w:themeColor="text1"/>
          <w:sz w:val="20"/>
          <w:szCs w:val="20"/>
          <w:lang w:val="en-US" w:eastAsia="en-US"/>
        </w:rPr>
        <w:t xml:space="preserve"> </w:t>
      </w:r>
      <w:r w:rsidR="00EF5688" w:rsidRPr="00C8353A">
        <w:rPr>
          <w:rFonts w:ascii="Verdana" w:eastAsiaTheme="minorHAnsi" w:hAnsi="Verdana" w:cs="Times New Roman"/>
          <w:color w:val="000000" w:themeColor="text1"/>
          <w:sz w:val="20"/>
          <w:szCs w:val="20"/>
          <w:lang w:val="en-US" w:eastAsia="en-US"/>
        </w:rPr>
        <w:t xml:space="preserve">equally domestic and international in nature. </w:t>
      </w:r>
      <w:r w:rsidR="004858E5" w:rsidRPr="00C8353A">
        <w:rPr>
          <w:rFonts w:ascii="Verdana" w:eastAsiaTheme="minorHAnsi" w:hAnsi="Verdana" w:cs="Times New Roman"/>
          <w:color w:val="000000" w:themeColor="text1"/>
          <w:sz w:val="20"/>
          <w:szCs w:val="20"/>
          <w:lang w:val="en-US" w:eastAsia="en-US"/>
        </w:rPr>
        <w:t xml:space="preserve">TSPs have </w:t>
      </w:r>
      <w:proofErr w:type="gramStart"/>
      <w:r w:rsidR="004858E5" w:rsidRPr="00C8353A">
        <w:rPr>
          <w:rFonts w:ascii="Verdana" w:eastAsiaTheme="minorHAnsi" w:hAnsi="Verdana" w:cs="Times New Roman"/>
          <w:color w:val="000000" w:themeColor="text1"/>
          <w:sz w:val="20"/>
          <w:szCs w:val="20"/>
          <w:lang w:val="en-US" w:eastAsia="en-US"/>
        </w:rPr>
        <w:t>the vast majority of</w:t>
      </w:r>
      <w:proofErr w:type="gramEnd"/>
      <w:r w:rsidR="004858E5" w:rsidRPr="00C8353A">
        <w:rPr>
          <w:rFonts w:ascii="Verdana" w:eastAsiaTheme="minorHAnsi" w:hAnsi="Verdana" w:cs="Times New Roman"/>
          <w:color w:val="000000" w:themeColor="text1"/>
          <w:sz w:val="20"/>
          <w:szCs w:val="20"/>
          <w:lang w:val="en-US" w:eastAsia="en-US"/>
        </w:rPr>
        <w:t xml:space="preserve"> these customers (87%). </w:t>
      </w:r>
      <w:r w:rsidR="00EF5688" w:rsidRPr="00C8353A">
        <w:rPr>
          <w:rFonts w:ascii="Verdana" w:eastAsiaTheme="minorHAnsi" w:hAnsi="Verdana" w:cs="Times New Roman"/>
          <w:color w:val="000000" w:themeColor="text1"/>
          <w:sz w:val="20"/>
          <w:szCs w:val="20"/>
          <w:lang w:val="en-US" w:eastAsia="en-US"/>
        </w:rPr>
        <w:t xml:space="preserve">A significant percentage (30%) of the total customer base of TSPs, are high net worth individuals, </w:t>
      </w:r>
      <w:proofErr w:type="gramStart"/>
      <w:r w:rsidR="00EF5688" w:rsidRPr="00C8353A">
        <w:rPr>
          <w:rFonts w:ascii="Verdana" w:eastAsiaTheme="minorHAnsi" w:hAnsi="Verdana" w:cs="Times New Roman"/>
          <w:color w:val="000000" w:themeColor="text1"/>
          <w:sz w:val="20"/>
          <w:szCs w:val="20"/>
          <w:lang w:val="en-US" w:eastAsia="en-US"/>
        </w:rPr>
        <w:t>a number of</w:t>
      </w:r>
      <w:proofErr w:type="gramEnd"/>
      <w:r w:rsidR="00EF5688" w:rsidRPr="00C8353A">
        <w:rPr>
          <w:rFonts w:ascii="Verdana" w:eastAsiaTheme="minorHAnsi" w:hAnsi="Verdana" w:cs="Times New Roman"/>
          <w:color w:val="000000" w:themeColor="text1"/>
          <w:sz w:val="20"/>
          <w:szCs w:val="20"/>
          <w:lang w:val="en-US" w:eastAsia="en-US"/>
        </w:rPr>
        <w:t xml:space="preserve"> which come from high risk jurisdictions and which together are holding about 12% of the assets managed by the Cayman Islands’ TSP sector. TSPs also have </w:t>
      </w:r>
      <w:proofErr w:type="gramStart"/>
      <w:r w:rsidR="00EF5688" w:rsidRPr="00C8353A">
        <w:rPr>
          <w:rFonts w:ascii="Verdana" w:eastAsiaTheme="minorHAnsi" w:hAnsi="Verdana" w:cs="Times New Roman"/>
          <w:color w:val="000000" w:themeColor="text1"/>
          <w:sz w:val="20"/>
          <w:szCs w:val="20"/>
          <w:lang w:val="en-US" w:eastAsia="en-US"/>
        </w:rPr>
        <w:t>a large number of</w:t>
      </w:r>
      <w:proofErr w:type="gramEnd"/>
      <w:r w:rsidR="00EF5688" w:rsidRPr="00C8353A">
        <w:rPr>
          <w:rFonts w:ascii="Verdana" w:eastAsiaTheme="minorHAnsi" w:hAnsi="Verdana" w:cs="Times New Roman"/>
          <w:color w:val="000000" w:themeColor="text1"/>
          <w:sz w:val="20"/>
          <w:szCs w:val="20"/>
          <w:lang w:val="en-US" w:eastAsia="en-US"/>
        </w:rPr>
        <w:t xml:space="preserve"> PEPs as customers who are also domiciled in high risk jurisdictions. CSPs have the remaining 13% of the customer base</w:t>
      </w:r>
      <w:r w:rsidR="004858E5" w:rsidRPr="00C8353A">
        <w:rPr>
          <w:rFonts w:ascii="Verdana" w:eastAsiaTheme="minorHAnsi" w:hAnsi="Verdana" w:cs="Times New Roman"/>
          <w:color w:val="000000" w:themeColor="text1"/>
          <w:sz w:val="20"/>
          <w:szCs w:val="20"/>
          <w:lang w:val="en-US" w:eastAsia="en-US"/>
        </w:rPr>
        <w:t xml:space="preserve">. A small percentage of CSP customers are from high risk jurisdictions. CSPs also have a small number of PEPs as customers, some of which are also from high risk jurisdictions. </w:t>
      </w:r>
    </w:p>
    <w:p w14:paraId="28462466" w14:textId="77777777" w:rsidR="00315DE8" w:rsidRPr="00315DE8" w:rsidRDefault="00315DE8" w:rsidP="00315DE8">
      <w:pPr>
        <w:pStyle w:val="Heading2"/>
        <w:numPr>
          <w:ilvl w:val="0"/>
          <w:numId w:val="0"/>
        </w:numPr>
        <w:spacing w:line="276" w:lineRule="auto"/>
        <w:ind w:left="360" w:right="-6"/>
        <w:jc w:val="both"/>
        <w:rPr>
          <w:rFonts w:asciiTheme="minorHAnsi" w:eastAsiaTheme="minorHAnsi" w:hAnsiTheme="minorHAnsi" w:cs="Times New Roman"/>
          <w:color w:val="000000" w:themeColor="text1"/>
          <w:szCs w:val="22"/>
          <w:lang w:val="en-US" w:eastAsia="en-US"/>
        </w:rPr>
      </w:pPr>
    </w:p>
    <w:tbl>
      <w:tblPr>
        <w:tblStyle w:val="TableGrid"/>
        <w:tblW w:w="0" w:type="auto"/>
        <w:jc w:val="center"/>
        <w:tblLook w:val="04A0" w:firstRow="1" w:lastRow="0" w:firstColumn="1" w:lastColumn="0" w:noHBand="0" w:noVBand="1"/>
      </w:tblPr>
      <w:tblGrid>
        <w:gridCol w:w="2547"/>
        <w:gridCol w:w="2835"/>
      </w:tblGrid>
      <w:tr w:rsidR="00F015D0" w:rsidRPr="00654100" w14:paraId="75F92337" w14:textId="77777777" w:rsidTr="001F794B">
        <w:trPr>
          <w:jc w:val="center"/>
        </w:trPr>
        <w:tc>
          <w:tcPr>
            <w:tcW w:w="2547" w:type="dxa"/>
          </w:tcPr>
          <w:p w14:paraId="0E61C135" w14:textId="20390A19" w:rsidR="00F015D0" w:rsidRPr="00654100" w:rsidRDefault="00262CA2" w:rsidP="009A5938">
            <w:pPr>
              <w:spacing w:before="100" w:beforeAutospacing="1" w:after="100" w:afterAutospacing="1"/>
              <w:jc w:val="both"/>
              <w:rPr>
                <w:rFonts w:eastAsia="Times New Roman" w:cs="Times New Roman"/>
                <w:color w:val="191919"/>
                <w:sz w:val="21"/>
                <w:szCs w:val="21"/>
                <w:lang w:val="en-US" w:eastAsia="en-GB"/>
              </w:rPr>
            </w:pPr>
            <w:r>
              <w:rPr>
                <w:rFonts w:eastAsia="Times New Roman" w:cs="Times New Roman"/>
                <w:color w:val="191919"/>
                <w:sz w:val="21"/>
                <w:szCs w:val="21"/>
                <w:lang w:val="en-US" w:eastAsia="en-GB"/>
              </w:rPr>
              <w:t>TSPs</w:t>
            </w:r>
          </w:p>
        </w:tc>
        <w:tc>
          <w:tcPr>
            <w:tcW w:w="2835" w:type="dxa"/>
          </w:tcPr>
          <w:p w14:paraId="5B8440FC" w14:textId="206B37BE" w:rsidR="00F015D0" w:rsidRPr="00654100" w:rsidRDefault="00262CA2" w:rsidP="009A5938">
            <w:pPr>
              <w:spacing w:before="100" w:beforeAutospacing="1" w:after="100" w:afterAutospacing="1"/>
              <w:jc w:val="both"/>
              <w:rPr>
                <w:rFonts w:eastAsia="Times New Roman" w:cs="Times New Roman"/>
                <w:color w:val="191919"/>
                <w:sz w:val="21"/>
                <w:szCs w:val="21"/>
                <w:lang w:val="en-US" w:eastAsia="en-GB"/>
              </w:rPr>
            </w:pPr>
            <w:r>
              <w:rPr>
                <w:rFonts w:eastAsia="Times New Roman" w:cs="Times New Roman"/>
                <w:color w:val="191919"/>
                <w:sz w:val="21"/>
                <w:szCs w:val="21"/>
                <w:lang w:val="en-US" w:eastAsia="en-GB"/>
              </w:rPr>
              <w:t>CSPs</w:t>
            </w:r>
          </w:p>
        </w:tc>
      </w:tr>
      <w:tr w:rsidR="00F015D0" w:rsidRPr="00654100" w14:paraId="6292A4BE" w14:textId="77777777" w:rsidTr="00090E71">
        <w:trPr>
          <w:jc w:val="center"/>
        </w:trPr>
        <w:tc>
          <w:tcPr>
            <w:tcW w:w="2547" w:type="dxa"/>
            <w:shd w:val="clear" w:color="auto" w:fill="FF0000"/>
          </w:tcPr>
          <w:p w14:paraId="71C8FA0D" w14:textId="1507AEB1" w:rsidR="00F015D0" w:rsidRPr="00654100" w:rsidRDefault="00F015D0" w:rsidP="009A5938">
            <w:pPr>
              <w:spacing w:before="100" w:beforeAutospacing="1" w:after="100" w:afterAutospacing="1"/>
              <w:jc w:val="both"/>
              <w:rPr>
                <w:rFonts w:eastAsia="Times New Roman" w:cs="Times New Roman"/>
                <w:color w:val="191919"/>
                <w:sz w:val="21"/>
                <w:szCs w:val="21"/>
                <w:lang w:val="en-US" w:eastAsia="en-GB"/>
              </w:rPr>
            </w:pPr>
            <w:r w:rsidRPr="00654100">
              <w:rPr>
                <w:rFonts w:eastAsia="Times New Roman" w:cs="Times New Roman"/>
                <w:color w:val="191919"/>
                <w:sz w:val="21"/>
                <w:szCs w:val="21"/>
                <w:lang w:val="en-US" w:eastAsia="en-GB"/>
              </w:rPr>
              <w:t>Customer</w:t>
            </w:r>
            <w:r w:rsidR="00E06EDD" w:rsidRPr="00654100">
              <w:rPr>
                <w:rFonts w:eastAsia="Times New Roman" w:cs="Times New Roman"/>
                <w:color w:val="191919"/>
                <w:sz w:val="21"/>
                <w:szCs w:val="21"/>
                <w:lang w:val="en-US" w:eastAsia="en-GB"/>
              </w:rPr>
              <w:t xml:space="preserve">: </w:t>
            </w:r>
            <w:r w:rsidR="003F5377">
              <w:rPr>
                <w:rFonts w:eastAsia="Times New Roman" w:cs="Times New Roman"/>
                <w:color w:val="191919"/>
                <w:sz w:val="21"/>
                <w:szCs w:val="21"/>
                <w:lang w:val="en-US" w:eastAsia="en-GB"/>
              </w:rPr>
              <w:t>H</w:t>
            </w:r>
            <w:r w:rsidR="0083642E">
              <w:rPr>
                <w:rFonts w:eastAsia="Times New Roman" w:cs="Times New Roman"/>
                <w:color w:val="191919"/>
                <w:sz w:val="21"/>
                <w:szCs w:val="21"/>
                <w:lang w:val="en-US" w:eastAsia="en-GB"/>
              </w:rPr>
              <w:t>igh</w:t>
            </w:r>
          </w:p>
        </w:tc>
        <w:tc>
          <w:tcPr>
            <w:tcW w:w="2835" w:type="dxa"/>
            <w:shd w:val="clear" w:color="auto" w:fill="FFFF00"/>
          </w:tcPr>
          <w:p w14:paraId="42695C85" w14:textId="271F5FFC" w:rsidR="00F015D0" w:rsidRPr="00654100" w:rsidRDefault="00F015D0" w:rsidP="009A5938">
            <w:pPr>
              <w:spacing w:before="100" w:beforeAutospacing="1" w:after="100" w:afterAutospacing="1"/>
              <w:jc w:val="both"/>
              <w:rPr>
                <w:rFonts w:eastAsia="Times New Roman" w:cs="Times New Roman"/>
                <w:color w:val="191919"/>
                <w:sz w:val="21"/>
                <w:szCs w:val="21"/>
                <w:lang w:val="en-US" w:eastAsia="en-GB"/>
              </w:rPr>
            </w:pPr>
            <w:r w:rsidRPr="00654100">
              <w:rPr>
                <w:rFonts w:eastAsia="Times New Roman" w:cs="Times New Roman"/>
                <w:color w:val="191919"/>
                <w:sz w:val="21"/>
                <w:szCs w:val="21"/>
                <w:lang w:val="en-US" w:eastAsia="en-GB"/>
              </w:rPr>
              <w:t>Customer</w:t>
            </w:r>
            <w:r w:rsidR="00E06EDD" w:rsidRPr="00654100">
              <w:rPr>
                <w:rFonts w:eastAsia="Times New Roman" w:cs="Times New Roman"/>
                <w:color w:val="191919"/>
                <w:sz w:val="21"/>
                <w:szCs w:val="21"/>
                <w:lang w:val="en-US" w:eastAsia="en-GB"/>
              </w:rPr>
              <w:t xml:space="preserve">: </w:t>
            </w:r>
            <w:r w:rsidR="003F5377">
              <w:rPr>
                <w:rFonts w:eastAsia="Times New Roman" w:cs="Times New Roman"/>
                <w:color w:val="191919"/>
                <w:sz w:val="21"/>
                <w:szCs w:val="21"/>
                <w:lang w:val="en-US" w:eastAsia="en-GB"/>
              </w:rPr>
              <w:t>M</w:t>
            </w:r>
            <w:r w:rsidR="0083642E">
              <w:rPr>
                <w:rFonts w:eastAsia="Times New Roman" w:cs="Times New Roman"/>
                <w:color w:val="191919"/>
                <w:sz w:val="21"/>
                <w:szCs w:val="21"/>
                <w:lang w:val="en-US" w:eastAsia="en-GB"/>
              </w:rPr>
              <w:t>edium Low</w:t>
            </w:r>
          </w:p>
        </w:tc>
      </w:tr>
    </w:tbl>
    <w:p w14:paraId="3D137B5E" w14:textId="53219D75" w:rsidR="0083642E" w:rsidRDefault="0083642E" w:rsidP="009A5938">
      <w:pPr>
        <w:jc w:val="both"/>
        <w:rPr>
          <w:rFonts w:ascii="Times New Roman" w:eastAsia="Times New Roman" w:hAnsi="Times New Roman" w:cs="Times New Roman"/>
          <w:b/>
          <w:bCs/>
          <w:color w:val="191919"/>
          <w:sz w:val="21"/>
          <w:szCs w:val="21"/>
          <w:lang w:val="en-US" w:eastAsia="en-GB"/>
        </w:rPr>
      </w:pPr>
    </w:p>
    <w:p w14:paraId="4BA2680C" w14:textId="307E6655" w:rsidR="00A55AC0" w:rsidRDefault="00A55AC0" w:rsidP="009A5938">
      <w:pPr>
        <w:jc w:val="both"/>
        <w:rPr>
          <w:rFonts w:ascii="Times New Roman" w:eastAsia="Times New Roman" w:hAnsi="Times New Roman" w:cs="Times New Roman"/>
          <w:b/>
          <w:bCs/>
          <w:color w:val="191919"/>
          <w:sz w:val="21"/>
          <w:szCs w:val="21"/>
          <w:lang w:val="en-US" w:eastAsia="en-GB"/>
        </w:rPr>
      </w:pPr>
    </w:p>
    <w:p w14:paraId="7C2899C6" w14:textId="77777777" w:rsidR="00A55AC0" w:rsidRPr="00654100" w:rsidRDefault="00A55AC0" w:rsidP="009A5938">
      <w:pPr>
        <w:jc w:val="both"/>
        <w:rPr>
          <w:rFonts w:ascii="Times New Roman" w:eastAsia="Times New Roman" w:hAnsi="Times New Roman" w:cs="Times New Roman"/>
          <w:b/>
          <w:bCs/>
          <w:color w:val="191919"/>
          <w:sz w:val="21"/>
          <w:szCs w:val="21"/>
          <w:lang w:val="en-US" w:eastAsia="en-GB"/>
        </w:rPr>
      </w:pPr>
    </w:p>
    <w:p w14:paraId="336BE880" w14:textId="5A4083CA" w:rsidR="00760D79" w:rsidRPr="000D24F3" w:rsidRDefault="004E28AF" w:rsidP="000D24F3">
      <w:pPr>
        <w:pStyle w:val="Heading2"/>
        <w:ind w:left="936"/>
        <w:rPr>
          <w:rFonts w:ascii="Verdana" w:hAnsi="Verdana"/>
          <w:b/>
          <w:bCs/>
          <w:sz w:val="24"/>
          <w:szCs w:val="24"/>
          <w:lang w:val="en-US"/>
        </w:rPr>
      </w:pPr>
      <w:r w:rsidRPr="000D24F3">
        <w:rPr>
          <w:rFonts w:ascii="Verdana" w:hAnsi="Verdana"/>
          <w:b/>
          <w:bCs/>
          <w:sz w:val="24"/>
          <w:szCs w:val="24"/>
          <w:lang w:val="en-US"/>
        </w:rPr>
        <w:t xml:space="preserve">Risk Category </w:t>
      </w:r>
      <w:r w:rsidR="00C23C53" w:rsidRPr="000D24F3">
        <w:rPr>
          <w:rFonts w:ascii="Verdana" w:hAnsi="Verdana"/>
          <w:b/>
          <w:bCs/>
          <w:sz w:val="24"/>
          <w:szCs w:val="24"/>
          <w:lang w:val="en-US"/>
        </w:rPr>
        <w:t>–Products and Services</w:t>
      </w:r>
    </w:p>
    <w:p w14:paraId="0B41BF4D" w14:textId="77777777" w:rsidR="00665BA0" w:rsidRPr="00C8353A" w:rsidRDefault="00262CA2" w:rsidP="00665BA0">
      <w:pPr>
        <w:pStyle w:val="Heading2"/>
        <w:numPr>
          <w:ilvl w:val="0"/>
          <w:numId w:val="0"/>
        </w:numPr>
        <w:rPr>
          <w:rFonts w:ascii="Verdana" w:hAnsi="Verdana"/>
          <w:b/>
          <w:bCs/>
          <w:sz w:val="20"/>
          <w:szCs w:val="20"/>
          <w:lang w:val="en-US"/>
        </w:rPr>
      </w:pPr>
      <w:r w:rsidRPr="00C8353A">
        <w:rPr>
          <w:rFonts w:ascii="Verdana" w:hAnsi="Verdana"/>
          <w:b/>
          <w:bCs/>
          <w:sz w:val="20"/>
          <w:szCs w:val="20"/>
          <w:lang w:val="en-US"/>
        </w:rPr>
        <w:t>TSPs</w:t>
      </w:r>
    </w:p>
    <w:p w14:paraId="59CB4151" w14:textId="4BF81A04" w:rsidR="00760D79" w:rsidRPr="00C8353A" w:rsidRDefault="00760D79" w:rsidP="00082EA5">
      <w:pPr>
        <w:pStyle w:val="Heading2"/>
        <w:numPr>
          <w:ilvl w:val="0"/>
          <w:numId w:val="3"/>
        </w:numPr>
        <w:spacing w:line="276" w:lineRule="auto"/>
        <w:ind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The primary services offered by the TCSP sector consist of Administrator, Enforcer, Executor, Protector, Trustee, Director and Registered Office</w:t>
      </w:r>
      <w:r w:rsidR="0083642E" w:rsidRPr="00C8353A">
        <w:rPr>
          <w:rFonts w:ascii="Verdana" w:eastAsiaTheme="minorHAnsi" w:hAnsi="Verdana" w:cs="Times New Roman"/>
          <w:color w:val="000000" w:themeColor="text1"/>
          <w:sz w:val="20"/>
          <w:szCs w:val="20"/>
          <w:lang w:val="en-US" w:eastAsia="en-US"/>
        </w:rPr>
        <w:t xml:space="preserve"> services</w:t>
      </w:r>
      <w:r w:rsidRPr="00C8353A">
        <w:rPr>
          <w:rFonts w:ascii="Verdana" w:eastAsiaTheme="minorHAnsi" w:hAnsi="Verdana" w:cs="Times New Roman"/>
          <w:color w:val="000000" w:themeColor="text1"/>
          <w:sz w:val="20"/>
          <w:szCs w:val="20"/>
          <w:lang w:val="en-US" w:eastAsia="en-US"/>
        </w:rPr>
        <w:t xml:space="preserve">.  </w:t>
      </w:r>
    </w:p>
    <w:p w14:paraId="74498734" w14:textId="01C46C1D" w:rsidR="00665BA0" w:rsidRPr="00C8353A" w:rsidRDefault="00665BA0" w:rsidP="00082EA5">
      <w:pPr>
        <w:pStyle w:val="Heading2"/>
        <w:numPr>
          <w:ilvl w:val="0"/>
          <w:numId w:val="3"/>
        </w:numPr>
        <w:spacing w:line="276" w:lineRule="auto"/>
        <w:ind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TSPs include </w:t>
      </w:r>
      <w:r w:rsidR="001B61B8">
        <w:rPr>
          <w:rFonts w:ascii="Verdana" w:eastAsiaTheme="minorHAnsi" w:hAnsi="Verdana" w:cs="Times New Roman"/>
          <w:color w:val="000000" w:themeColor="text1"/>
          <w:sz w:val="20"/>
          <w:szCs w:val="20"/>
          <w:lang w:val="en-US" w:eastAsia="en-US"/>
        </w:rPr>
        <w:t xml:space="preserve">Trust </w:t>
      </w:r>
      <w:proofErr w:type="spellStart"/>
      <w:r w:rsidR="001B61B8">
        <w:rPr>
          <w:rFonts w:ascii="Verdana" w:eastAsiaTheme="minorHAnsi" w:hAnsi="Verdana" w:cs="Times New Roman"/>
          <w:color w:val="000000" w:themeColor="text1"/>
          <w:sz w:val="20"/>
          <w:szCs w:val="20"/>
          <w:lang w:val="en-US" w:eastAsia="en-US"/>
        </w:rPr>
        <w:t>Licences</w:t>
      </w:r>
      <w:proofErr w:type="spellEnd"/>
      <w:r w:rsidRPr="00C8353A">
        <w:rPr>
          <w:rFonts w:ascii="Verdana" w:eastAsiaTheme="minorHAnsi" w:hAnsi="Verdana" w:cs="Times New Roman"/>
          <w:color w:val="000000" w:themeColor="text1"/>
          <w:sz w:val="20"/>
          <w:szCs w:val="20"/>
          <w:lang w:val="en-US" w:eastAsia="en-US"/>
        </w:rPr>
        <w:t xml:space="preserve"> (57), </w:t>
      </w:r>
      <w:r w:rsidR="001B61B8">
        <w:rPr>
          <w:rFonts w:ascii="Verdana" w:eastAsiaTheme="minorHAnsi" w:hAnsi="Verdana" w:cs="Times New Roman"/>
          <w:color w:val="000000" w:themeColor="text1"/>
          <w:sz w:val="20"/>
          <w:szCs w:val="20"/>
          <w:lang w:val="en-US" w:eastAsia="en-US"/>
        </w:rPr>
        <w:t>R</w:t>
      </w:r>
      <w:r w:rsidRPr="00C8353A">
        <w:rPr>
          <w:rFonts w:ascii="Verdana" w:eastAsiaTheme="minorHAnsi" w:hAnsi="Verdana" w:cs="Times New Roman"/>
          <w:color w:val="000000" w:themeColor="text1"/>
          <w:sz w:val="20"/>
          <w:szCs w:val="20"/>
          <w:lang w:val="en-US" w:eastAsia="en-US"/>
        </w:rPr>
        <w:t xml:space="preserve">estricted </w:t>
      </w:r>
      <w:r w:rsidR="001B61B8">
        <w:rPr>
          <w:rFonts w:ascii="Verdana" w:eastAsiaTheme="minorHAnsi" w:hAnsi="Verdana" w:cs="Times New Roman"/>
          <w:color w:val="000000" w:themeColor="text1"/>
          <w:sz w:val="20"/>
          <w:szCs w:val="20"/>
          <w:lang w:val="en-US" w:eastAsia="en-US"/>
        </w:rPr>
        <w:t>T</w:t>
      </w:r>
      <w:r w:rsidRPr="00C8353A">
        <w:rPr>
          <w:rFonts w:ascii="Verdana" w:eastAsiaTheme="minorHAnsi" w:hAnsi="Verdana" w:cs="Times New Roman"/>
          <w:color w:val="000000" w:themeColor="text1"/>
          <w:sz w:val="20"/>
          <w:szCs w:val="20"/>
          <w:lang w:val="en-US" w:eastAsia="en-US"/>
        </w:rPr>
        <w:t>rust</w:t>
      </w:r>
      <w:r w:rsidR="001B61B8">
        <w:rPr>
          <w:rFonts w:ascii="Verdana" w:eastAsiaTheme="minorHAnsi" w:hAnsi="Verdana" w:cs="Times New Roman"/>
          <w:color w:val="000000" w:themeColor="text1"/>
          <w:sz w:val="20"/>
          <w:szCs w:val="20"/>
          <w:lang w:val="en-US" w:eastAsia="en-US"/>
        </w:rPr>
        <w:t xml:space="preserve"> </w:t>
      </w:r>
      <w:proofErr w:type="spellStart"/>
      <w:r w:rsidR="001B61B8">
        <w:rPr>
          <w:rFonts w:ascii="Verdana" w:eastAsiaTheme="minorHAnsi" w:hAnsi="Verdana" w:cs="Times New Roman"/>
          <w:color w:val="000000" w:themeColor="text1"/>
          <w:sz w:val="20"/>
          <w:szCs w:val="20"/>
          <w:lang w:val="en-US" w:eastAsia="en-US"/>
        </w:rPr>
        <w:t>Licences</w:t>
      </w:r>
      <w:r w:rsidRPr="00C8353A">
        <w:rPr>
          <w:rFonts w:ascii="Verdana" w:eastAsiaTheme="minorHAnsi" w:hAnsi="Verdana" w:cs="Times New Roman"/>
          <w:color w:val="000000" w:themeColor="text1"/>
          <w:sz w:val="20"/>
          <w:szCs w:val="20"/>
          <w:lang w:val="en-US" w:eastAsia="en-US"/>
        </w:rPr>
        <w:t>s</w:t>
      </w:r>
      <w:proofErr w:type="spellEnd"/>
      <w:r w:rsidRPr="00C8353A">
        <w:rPr>
          <w:rFonts w:ascii="Verdana" w:eastAsiaTheme="minorHAnsi" w:hAnsi="Verdana" w:cs="Times New Roman"/>
          <w:color w:val="000000" w:themeColor="text1"/>
          <w:sz w:val="20"/>
          <w:szCs w:val="20"/>
          <w:lang w:val="en-US" w:eastAsia="en-US"/>
        </w:rPr>
        <w:t xml:space="preserve"> (58) </w:t>
      </w:r>
      <w:r w:rsidR="00383187">
        <w:rPr>
          <w:rFonts w:ascii="Verdana" w:eastAsiaTheme="minorHAnsi" w:hAnsi="Verdana" w:cs="Times New Roman"/>
          <w:color w:val="000000" w:themeColor="text1"/>
          <w:sz w:val="20"/>
          <w:szCs w:val="20"/>
          <w:lang w:val="en-US" w:eastAsia="en-US"/>
        </w:rPr>
        <w:t>N</w:t>
      </w:r>
      <w:r w:rsidRPr="00C8353A">
        <w:rPr>
          <w:rFonts w:ascii="Verdana" w:eastAsiaTheme="minorHAnsi" w:hAnsi="Verdana" w:cs="Times New Roman"/>
          <w:color w:val="000000" w:themeColor="text1"/>
          <w:sz w:val="20"/>
          <w:szCs w:val="20"/>
          <w:lang w:val="en-US" w:eastAsia="en-US"/>
        </w:rPr>
        <w:t xml:space="preserve">ominee </w:t>
      </w:r>
      <w:r w:rsidR="00383187">
        <w:rPr>
          <w:rFonts w:ascii="Verdana" w:eastAsiaTheme="minorHAnsi" w:hAnsi="Verdana" w:cs="Times New Roman"/>
          <w:color w:val="000000" w:themeColor="text1"/>
          <w:sz w:val="20"/>
          <w:szCs w:val="20"/>
          <w:lang w:val="en-US" w:eastAsia="en-US"/>
        </w:rPr>
        <w:t>(T</w:t>
      </w:r>
      <w:r w:rsidRPr="00C8353A">
        <w:rPr>
          <w:rFonts w:ascii="Verdana" w:eastAsiaTheme="minorHAnsi" w:hAnsi="Verdana" w:cs="Times New Roman"/>
          <w:color w:val="000000" w:themeColor="text1"/>
          <w:sz w:val="20"/>
          <w:szCs w:val="20"/>
          <w:lang w:val="en-US" w:eastAsia="en-US"/>
        </w:rPr>
        <w:t>rust</w:t>
      </w:r>
      <w:r w:rsidR="00383187">
        <w:rPr>
          <w:rFonts w:ascii="Verdana" w:eastAsiaTheme="minorHAnsi" w:hAnsi="Verdana" w:cs="Times New Roman"/>
          <w:color w:val="000000" w:themeColor="text1"/>
          <w:sz w:val="20"/>
          <w:szCs w:val="20"/>
          <w:lang w:val="en-US" w:eastAsia="en-US"/>
        </w:rPr>
        <w:t xml:space="preserve">) </w:t>
      </w:r>
      <w:proofErr w:type="spellStart"/>
      <w:r w:rsidR="00383187">
        <w:rPr>
          <w:rFonts w:ascii="Verdana" w:eastAsiaTheme="minorHAnsi" w:hAnsi="Verdana" w:cs="Times New Roman"/>
          <w:color w:val="000000" w:themeColor="text1"/>
          <w:sz w:val="20"/>
          <w:szCs w:val="20"/>
          <w:lang w:val="en-US" w:eastAsia="en-US"/>
        </w:rPr>
        <w:t>Licence</w:t>
      </w:r>
      <w:r w:rsidRPr="00C8353A">
        <w:rPr>
          <w:rFonts w:ascii="Verdana" w:eastAsiaTheme="minorHAnsi" w:hAnsi="Verdana" w:cs="Times New Roman"/>
          <w:color w:val="000000" w:themeColor="text1"/>
          <w:sz w:val="20"/>
          <w:szCs w:val="20"/>
          <w:lang w:val="en-US" w:eastAsia="en-US"/>
        </w:rPr>
        <w:t>s</w:t>
      </w:r>
      <w:proofErr w:type="spellEnd"/>
      <w:r w:rsidRPr="00C8353A">
        <w:rPr>
          <w:rFonts w:ascii="Verdana" w:eastAsiaTheme="minorHAnsi" w:hAnsi="Verdana" w:cs="Times New Roman"/>
          <w:color w:val="000000" w:themeColor="text1"/>
          <w:sz w:val="20"/>
          <w:szCs w:val="20"/>
          <w:lang w:val="en-US" w:eastAsia="en-US"/>
        </w:rPr>
        <w:t xml:space="preserve"> (29), </w:t>
      </w:r>
      <w:r w:rsidR="00383187">
        <w:rPr>
          <w:rFonts w:ascii="Verdana" w:eastAsiaTheme="minorHAnsi" w:hAnsi="Verdana" w:cs="Times New Roman"/>
          <w:color w:val="000000" w:themeColor="text1"/>
          <w:sz w:val="20"/>
          <w:szCs w:val="20"/>
          <w:lang w:val="en-US" w:eastAsia="en-US"/>
        </w:rPr>
        <w:t>P</w:t>
      </w:r>
      <w:r w:rsidRPr="00C8353A">
        <w:rPr>
          <w:rFonts w:ascii="Verdana" w:eastAsiaTheme="minorHAnsi" w:hAnsi="Verdana" w:cs="Times New Roman"/>
          <w:color w:val="000000" w:themeColor="text1"/>
          <w:sz w:val="20"/>
          <w:szCs w:val="20"/>
          <w:lang w:val="en-US" w:eastAsia="en-US"/>
        </w:rPr>
        <w:t xml:space="preserve">rivate </w:t>
      </w:r>
      <w:r w:rsidR="00383187">
        <w:rPr>
          <w:rFonts w:ascii="Verdana" w:eastAsiaTheme="minorHAnsi" w:hAnsi="Verdana" w:cs="Times New Roman"/>
          <w:color w:val="000000" w:themeColor="text1"/>
          <w:sz w:val="20"/>
          <w:szCs w:val="20"/>
          <w:lang w:val="en-US" w:eastAsia="en-US"/>
        </w:rPr>
        <w:t>T</w:t>
      </w:r>
      <w:r w:rsidRPr="00C8353A">
        <w:rPr>
          <w:rFonts w:ascii="Verdana" w:eastAsiaTheme="minorHAnsi" w:hAnsi="Verdana" w:cs="Times New Roman"/>
          <w:color w:val="000000" w:themeColor="text1"/>
          <w:sz w:val="20"/>
          <w:szCs w:val="20"/>
          <w:lang w:val="en-US" w:eastAsia="en-US"/>
        </w:rPr>
        <w:t xml:space="preserve">rust </w:t>
      </w:r>
      <w:r w:rsidR="00383187">
        <w:rPr>
          <w:rFonts w:ascii="Verdana" w:eastAsiaTheme="minorHAnsi" w:hAnsi="Verdana" w:cs="Times New Roman"/>
          <w:color w:val="000000" w:themeColor="text1"/>
          <w:sz w:val="20"/>
          <w:szCs w:val="20"/>
          <w:lang w:val="en-US" w:eastAsia="en-US"/>
        </w:rPr>
        <w:t>C</w:t>
      </w:r>
      <w:r w:rsidRPr="00C8353A">
        <w:rPr>
          <w:rFonts w:ascii="Verdana" w:eastAsiaTheme="minorHAnsi" w:hAnsi="Verdana" w:cs="Times New Roman"/>
          <w:color w:val="000000" w:themeColor="text1"/>
          <w:sz w:val="20"/>
          <w:szCs w:val="20"/>
          <w:lang w:val="en-US" w:eastAsia="en-US"/>
        </w:rPr>
        <w:t xml:space="preserve">ompanies (131) and </w:t>
      </w:r>
      <w:r w:rsidR="00383187">
        <w:rPr>
          <w:rFonts w:ascii="Verdana" w:eastAsiaTheme="minorHAnsi" w:hAnsi="Verdana" w:cs="Times New Roman"/>
          <w:color w:val="000000" w:themeColor="text1"/>
          <w:sz w:val="20"/>
          <w:szCs w:val="20"/>
          <w:lang w:val="en-US" w:eastAsia="en-US"/>
        </w:rPr>
        <w:t>C</w:t>
      </w:r>
      <w:r w:rsidRPr="00C8353A">
        <w:rPr>
          <w:rFonts w:ascii="Verdana" w:eastAsiaTheme="minorHAnsi" w:hAnsi="Verdana" w:cs="Times New Roman"/>
          <w:color w:val="000000" w:themeColor="text1"/>
          <w:sz w:val="20"/>
          <w:szCs w:val="20"/>
          <w:lang w:val="en-US" w:eastAsia="en-US"/>
        </w:rPr>
        <w:t xml:space="preserve">ontrolled </w:t>
      </w:r>
      <w:r w:rsidR="00383187">
        <w:rPr>
          <w:rFonts w:ascii="Verdana" w:eastAsiaTheme="minorHAnsi" w:hAnsi="Verdana" w:cs="Times New Roman"/>
          <w:color w:val="000000" w:themeColor="text1"/>
          <w:sz w:val="20"/>
          <w:szCs w:val="20"/>
          <w:lang w:val="en-US" w:eastAsia="en-US"/>
        </w:rPr>
        <w:t>S</w:t>
      </w:r>
      <w:r w:rsidR="00383187" w:rsidRPr="00C8353A">
        <w:rPr>
          <w:rFonts w:ascii="Verdana" w:eastAsiaTheme="minorHAnsi" w:hAnsi="Verdana" w:cs="Times New Roman"/>
          <w:color w:val="000000" w:themeColor="text1"/>
          <w:sz w:val="20"/>
          <w:szCs w:val="20"/>
          <w:lang w:val="en-US" w:eastAsia="en-US"/>
        </w:rPr>
        <w:t xml:space="preserve">ubsidiaries </w:t>
      </w:r>
      <w:r w:rsidRPr="00C8353A">
        <w:rPr>
          <w:rFonts w:ascii="Verdana" w:eastAsiaTheme="minorHAnsi" w:hAnsi="Verdana" w:cs="Times New Roman"/>
          <w:color w:val="000000" w:themeColor="text1"/>
          <w:sz w:val="20"/>
          <w:szCs w:val="20"/>
          <w:lang w:val="en-US" w:eastAsia="en-US"/>
        </w:rPr>
        <w:t xml:space="preserve">(47). From an AML/CFT perspective, it is important to note the difference in the risk associated with Nominee </w:t>
      </w:r>
      <w:r w:rsidR="00383187">
        <w:rPr>
          <w:rFonts w:ascii="Verdana" w:eastAsiaTheme="minorHAnsi" w:hAnsi="Verdana" w:cs="Times New Roman"/>
          <w:color w:val="000000" w:themeColor="text1"/>
          <w:sz w:val="20"/>
          <w:szCs w:val="20"/>
          <w:lang w:val="en-US" w:eastAsia="en-US"/>
        </w:rPr>
        <w:t>(</w:t>
      </w:r>
      <w:r w:rsidRPr="00C8353A">
        <w:rPr>
          <w:rFonts w:ascii="Verdana" w:eastAsiaTheme="minorHAnsi" w:hAnsi="Verdana" w:cs="Times New Roman"/>
          <w:color w:val="000000" w:themeColor="text1"/>
          <w:sz w:val="20"/>
          <w:szCs w:val="20"/>
          <w:lang w:val="en-US" w:eastAsia="en-US"/>
        </w:rPr>
        <w:t>Trust</w:t>
      </w:r>
      <w:r w:rsidR="00383187">
        <w:rPr>
          <w:rFonts w:ascii="Verdana" w:eastAsiaTheme="minorHAnsi" w:hAnsi="Verdana" w:cs="Times New Roman"/>
          <w:color w:val="000000" w:themeColor="text1"/>
          <w:sz w:val="20"/>
          <w:szCs w:val="20"/>
          <w:lang w:val="en-US" w:eastAsia="en-US"/>
        </w:rPr>
        <w:t>)</w:t>
      </w:r>
      <w:r w:rsidRPr="00C8353A">
        <w:rPr>
          <w:rFonts w:ascii="Verdana" w:eastAsiaTheme="minorHAnsi" w:hAnsi="Verdana" w:cs="Times New Roman"/>
          <w:color w:val="000000" w:themeColor="text1"/>
          <w:sz w:val="20"/>
          <w:szCs w:val="20"/>
          <w:lang w:val="en-US" w:eastAsia="en-US"/>
        </w:rPr>
        <w:t xml:space="preserve"> </w:t>
      </w:r>
      <w:proofErr w:type="spellStart"/>
      <w:r w:rsidRPr="00C8353A">
        <w:rPr>
          <w:rFonts w:ascii="Verdana" w:eastAsiaTheme="minorHAnsi" w:hAnsi="Verdana" w:cs="Times New Roman"/>
          <w:color w:val="000000" w:themeColor="text1"/>
          <w:sz w:val="20"/>
          <w:szCs w:val="20"/>
          <w:lang w:val="en-US" w:eastAsia="en-US"/>
        </w:rPr>
        <w:t>Licences</w:t>
      </w:r>
      <w:proofErr w:type="spellEnd"/>
      <w:r w:rsidRPr="00C8353A">
        <w:rPr>
          <w:rFonts w:ascii="Verdana" w:eastAsiaTheme="minorHAnsi" w:hAnsi="Verdana" w:cs="Times New Roman"/>
          <w:color w:val="000000" w:themeColor="text1"/>
          <w:sz w:val="20"/>
          <w:szCs w:val="20"/>
          <w:lang w:val="en-US" w:eastAsia="en-US"/>
        </w:rPr>
        <w:t xml:space="preserve"> and Restricted Trust </w:t>
      </w:r>
      <w:proofErr w:type="spellStart"/>
      <w:r w:rsidRPr="00C8353A">
        <w:rPr>
          <w:rFonts w:ascii="Verdana" w:eastAsiaTheme="minorHAnsi" w:hAnsi="Verdana" w:cs="Times New Roman"/>
          <w:color w:val="000000" w:themeColor="text1"/>
          <w:sz w:val="20"/>
          <w:szCs w:val="20"/>
          <w:lang w:val="en-US" w:eastAsia="en-US"/>
        </w:rPr>
        <w:t>Licences</w:t>
      </w:r>
      <w:proofErr w:type="spellEnd"/>
      <w:r w:rsidRPr="00C8353A">
        <w:rPr>
          <w:rFonts w:ascii="Verdana" w:eastAsiaTheme="minorHAnsi" w:hAnsi="Verdana" w:cs="Times New Roman"/>
          <w:color w:val="000000" w:themeColor="text1"/>
          <w:sz w:val="20"/>
          <w:szCs w:val="20"/>
          <w:lang w:val="en-US" w:eastAsia="en-US"/>
        </w:rPr>
        <w:t xml:space="preserve">. Restricted Trust </w:t>
      </w:r>
      <w:proofErr w:type="spellStart"/>
      <w:r w:rsidRPr="00C8353A">
        <w:rPr>
          <w:rFonts w:ascii="Verdana" w:eastAsiaTheme="minorHAnsi" w:hAnsi="Verdana" w:cs="Times New Roman"/>
          <w:color w:val="000000" w:themeColor="text1"/>
          <w:sz w:val="20"/>
          <w:szCs w:val="20"/>
          <w:lang w:val="en-US" w:eastAsia="en-US"/>
        </w:rPr>
        <w:t>Licences</w:t>
      </w:r>
      <w:proofErr w:type="spellEnd"/>
      <w:r w:rsidRPr="00C8353A">
        <w:rPr>
          <w:rFonts w:ascii="Verdana" w:eastAsiaTheme="minorHAnsi" w:hAnsi="Verdana" w:cs="Times New Roman"/>
          <w:color w:val="000000" w:themeColor="text1"/>
          <w:sz w:val="20"/>
          <w:szCs w:val="20"/>
          <w:lang w:val="en-US" w:eastAsia="en-US"/>
        </w:rPr>
        <w:t xml:space="preserve"> are typically granted in respect of a single family or a small group of families for private wealth management purposes. A Nominee </w:t>
      </w:r>
      <w:r w:rsidR="00383187">
        <w:rPr>
          <w:rFonts w:ascii="Verdana" w:eastAsiaTheme="minorHAnsi" w:hAnsi="Verdana" w:cs="Times New Roman"/>
          <w:color w:val="000000" w:themeColor="text1"/>
          <w:sz w:val="20"/>
          <w:szCs w:val="20"/>
          <w:lang w:val="en-US" w:eastAsia="en-US"/>
        </w:rPr>
        <w:t>(</w:t>
      </w:r>
      <w:r w:rsidRPr="00C8353A">
        <w:rPr>
          <w:rFonts w:ascii="Verdana" w:eastAsiaTheme="minorHAnsi" w:hAnsi="Verdana" w:cs="Times New Roman"/>
          <w:color w:val="000000" w:themeColor="text1"/>
          <w:sz w:val="20"/>
          <w:szCs w:val="20"/>
          <w:lang w:val="en-US" w:eastAsia="en-US"/>
        </w:rPr>
        <w:t>Trust</w:t>
      </w:r>
      <w:r w:rsidR="00383187">
        <w:rPr>
          <w:rFonts w:ascii="Verdana" w:eastAsiaTheme="minorHAnsi" w:hAnsi="Verdana" w:cs="Times New Roman"/>
          <w:color w:val="000000" w:themeColor="text1"/>
          <w:sz w:val="20"/>
          <w:szCs w:val="20"/>
          <w:lang w:val="en-US" w:eastAsia="en-US"/>
        </w:rPr>
        <w:t>)</w:t>
      </w:r>
      <w:r w:rsidRPr="00C8353A">
        <w:rPr>
          <w:rFonts w:ascii="Verdana" w:eastAsiaTheme="minorHAnsi" w:hAnsi="Verdana" w:cs="Times New Roman"/>
          <w:color w:val="000000" w:themeColor="text1"/>
          <w:sz w:val="20"/>
          <w:szCs w:val="20"/>
          <w:lang w:val="en-US" w:eastAsia="en-US"/>
        </w:rPr>
        <w:t xml:space="preserve"> L</w:t>
      </w:r>
      <w:proofErr w:type="spellStart"/>
      <w:r w:rsidRPr="00C8353A">
        <w:rPr>
          <w:rFonts w:ascii="Verdana" w:eastAsiaTheme="minorHAnsi" w:hAnsi="Verdana" w:cs="Times New Roman"/>
          <w:color w:val="000000" w:themeColor="text1"/>
          <w:sz w:val="20"/>
          <w:szCs w:val="20"/>
          <w:lang w:val="en-US" w:eastAsia="en-US"/>
        </w:rPr>
        <w:t>icence</w:t>
      </w:r>
      <w:proofErr w:type="spellEnd"/>
      <w:r w:rsidRPr="00C8353A">
        <w:rPr>
          <w:rFonts w:ascii="Verdana" w:eastAsiaTheme="minorHAnsi" w:hAnsi="Verdana" w:cs="Times New Roman"/>
          <w:color w:val="000000" w:themeColor="text1"/>
          <w:sz w:val="20"/>
          <w:szCs w:val="20"/>
          <w:lang w:val="en-US" w:eastAsia="en-US"/>
        </w:rPr>
        <w:t xml:space="preserve"> is a subsidiary of an entity that holds a Trust </w:t>
      </w:r>
      <w:proofErr w:type="spellStart"/>
      <w:r w:rsidRPr="00C8353A">
        <w:rPr>
          <w:rFonts w:ascii="Verdana" w:eastAsiaTheme="minorHAnsi" w:hAnsi="Verdana" w:cs="Times New Roman"/>
          <w:color w:val="000000" w:themeColor="text1"/>
          <w:sz w:val="20"/>
          <w:szCs w:val="20"/>
          <w:lang w:val="en-US" w:eastAsia="en-US"/>
        </w:rPr>
        <w:t>Licence</w:t>
      </w:r>
      <w:proofErr w:type="spellEnd"/>
      <w:r w:rsidRPr="00C8353A">
        <w:rPr>
          <w:rFonts w:ascii="Verdana" w:eastAsiaTheme="minorHAnsi" w:hAnsi="Verdana" w:cs="Times New Roman"/>
          <w:color w:val="000000" w:themeColor="text1"/>
          <w:sz w:val="20"/>
          <w:szCs w:val="20"/>
          <w:lang w:val="en-US" w:eastAsia="en-US"/>
        </w:rPr>
        <w:t xml:space="preserve"> and it provides nominee services to its parent.</w:t>
      </w:r>
    </w:p>
    <w:p w14:paraId="4FD115B9" w14:textId="72DAADD5" w:rsidR="00665BA0" w:rsidRPr="00C8353A" w:rsidRDefault="00665BA0" w:rsidP="00082EA5">
      <w:pPr>
        <w:pStyle w:val="Heading2"/>
        <w:numPr>
          <w:ilvl w:val="0"/>
          <w:numId w:val="3"/>
        </w:numPr>
        <w:spacing w:line="276" w:lineRule="auto"/>
        <w:ind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Trust licensees, inclusive of unrestricted, restricted, and controlled subsidiaries, primarily provide general trusteeship services to various trust structures. In addition, other services include the provision of trusteeships to Unit Trusts, trusteeships to Star Trusts, and acting as protector/enforcer/executor of trust structures. Trust licensees are also permitted to provide corporate services under the Bank and Trust Companies Law (2013 Revision). Trusts can be discretionary or non-discretionary. </w:t>
      </w:r>
    </w:p>
    <w:p w14:paraId="7F274B14" w14:textId="50AB909C" w:rsidR="00315DE8" w:rsidRPr="00C8353A" w:rsidRDefault="00C67FF2" w:rsidP="00082EA5">
      <w:pPr>
        <w:pStyle w:val="Heading2"/>
        <w:numPr>
          <w:ilvl w:val="0"/>
          <w:numId w:val="3"/>
        </w:numPr>
        <w:spacing w:line="276" w:lineRule="auto"/>
        <w:ind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The provision of trust services for TCSPs </w:t>
      </w:r>
      <w:r w:rsidR="00AE6097" w:rsidRPr="00C8353A">
        <w:rPr>
          <w:rFonts w:ascii="Verdana" w:eastAsiaTheme="minorHAnsi" w:hAnsi="Verdana" w:cs="Times New Roman"/>
          <w:color w:val="000000" w:themeColor="text1"/>
          <w:sz w:val="20"/>
          <w:szCs w:val="20"/>
          <w:lang w:val="en-US" w:eastAsia="en-US"/>
        </w:rPr>
        <w:t xml:space="preserve">can vary from low risk to high risk, depending on the nature of the trust. </w:t>
      </w:r>
      <w:r w:rsidRPr="00C8353A">
        <w:rPr>
          <w:rFonts w:ascii="Verdana" w:eastAsiaTheme="minorHAnsi" w:hAnsi="Verdana" w:cs="Times New Roman"/>
          <w:color w:val="000000" w:themeColor="text1"/>
          <w:sz w:val="20"/>
          <w:szCs w:val="20"/>
          <w:lang w:val="en-US" w:eastAsia="en-US"/>
        </w:rPr>
        <w:t xml:space="preserve">Certain trusts may be considered </w:t>
      </w:r>
      <w:r w:rsidR="00AE6097" w:rsidRPr="00C8353A">
        <w:rPr>
          <w:rFonts w:ascii="Verdana" w:eastAsiaTheme="minorHAnsi" w:hAnsi="Verdana" w:cs="Times New Roman"/>
          <w:color w:val="000000" w:themeColor="text1"/>
          <w:sz w:val="20"/>
          <w:szCs w:val="20"/>
          <w:lang w:val="en-US" w:eastAsia="en-US"/>
        </w:rPr>
        <w:t xml:space="preserve">lower risk trusts, such </w:t>
      </w:r>
      <w:r w:rsidR="0083642E" w:rsidRPr="00C8353A">
        <w:rPr>
          <w:rFonts w:ascii="Verdana" w:eastAsiaTheme="minorHAnsi" w:hAnsi="Verdana" w:cs="Times New Roman"/>
          <w:color w:val="000000" w:themeColor="text1"/>
          <w:sz w:val="20"/>
          <w:szCs w:val="20"/>
          <w:lang w:val="en-US" w:eastAsia="en-US"/>
        </w:rPr>
        <w:t xml:space="preserve">as </w:t>
      </w:r>
      <w:r w:rsidR="00AE6097" w:rsidRPr="00C8353A">
        <w:rPr>
          <w:rFonts w:ascii="Verdana" w:eastAsiaTheme="minorHAnsi" w:hAnsi="Verdana" w:cs="Times New Roman"/>
          <w:color w:val="000000" w:themeColor="text1"/>
          <w:sz w:val="20"/>
          <w:szCs w:val="20"/>
          <w:lang w:val="en-US" w:eastAsia="en-US"/>
        </w:rPr>
        <w:t>those established by parents for the benefit of children or vulnerable individuals, to more complex structures, where the source of trust funds is unclear. The establishing of complex corporate structures and corporate vehicles may increase the risk of money laundering in more complex corporate structures, or where the TCSP acts or arranges for someone to act as a nominee shareholder, as the beneficial owner and true source of funds is obscured. This could facilitate the introduction of illicit proceeds of crime into the financial system.</w:t>
      </w:r>
    </w:p>
    <w:p w14:paraId="60D79B71" w14:textId="77777777" w:rsidR="00535AB3" w:rsidRPr="00C8353A" w:rsidRDefault="00535AB3" w:rsidP="00082EA5">
      <w:pPr>
        <w:pStyle w:val="Heading2"/>
        <w:numPr>
          <w:ilvl w:val="0"/>
          <w:numId w:val="0"/>
        </w:numPr>
        <w:spacing w:line="276" w:lineRule="auto"/>
        <w:ind w:left="360"/>
        <w:jc w:val="both"/>
        <w:rPr>
          <w:rFonts w:ascii="Verdana" w:eastAsiaTheme="minorHAnsi" w:hAnsi="Verdana" w:cs="Times New Roman"/>
          <w:color w:val="000000" w:themeColor="text1"/>
          <w:sz w:val="20"/>
          <w:szCs w:val="20"/>
          <w:lang w:val="en-US" w:eastAsia="en-US"/>
        </w:rPr>
      </w:pPr>
    </w:p>
    <w:p w14:paraId="39210027" w14:textId="7901C0E3" w:rsidR="008850BE" w:rsidRPr="00C8353A" w:rsidRDefault="008850BE" w:rsidP="00082EA5">
      <w:pPr>
        <w:pStyle w:val="ListParagraph"/>
        <w:numPr>
          <w:ilvl w:val="0"/>
          <w:numId w:val="3"/>
        </w:numPr>
        <w:ind w:firstLine="0"/>
        <w:rPr>
          <w:rFonts w:ascii="Verdana" w:hAnsi="Verdana" w:cs="Times New Roman"/>
          <w:color w:val="000000" w:themeColor="text1"/>
          <w:sz w:val="20"/>
          <w:szCs w:val="20"/>
          <w:lang w:val="en-US"/>
        </w:rPr>
      </w:pPr>
      <w:r w:rsidRPr="00C8353A">
        <w:rPr>
          <w:rFonts w:ascii="Verdana" w:hAnsi="Verdana" w:cs="Times New Roman"/>
          <w:color w:val="000000" w:themeColor="text1"/>
          <w:sz w:val="20"/>
          <w:szCs w:val="20"/>
          <w:lang w:val="en-US"/>
        </w:rPr>
        <w:t xml:space="preserve">The below table outlines the primary services provided by the registered entities. </w:t>
      </w:r>
    </w:p>
    <w:p w14:paraId="5351BA67" w14:textId="77777777" w:rsidR="008850BE" w:rsidRPr="00C8353A" w:rsidRDefault="008850BE" w:rsidP="008850BE">
      <w:pPr>
        <w:pStyle w:val="ListParagraph"/>
        <w:rPr>
          <w:rFonts w:ascii="Verdana" w:hAnsi="Verdana" w:cs="Times New Roman"/>
          <w:color w:val="000000" w:themeColor="text1"/>
          <w:sz w:val="20"/>
          <w:szCs w:val="20"/>
          <w:lang w:val="en-US"/>
        </w:rPr>
      </w:pPr>
    </w:p>
    <w:p w14:paraId="3AD5FFA0" w14:textId="1F6DB90E" w:rsidR="008850BE" w:rsidRDefault="009E0B28" w:rsidP="008850BE">
      <w:pPr>
        <w:pStyle w:val="Heading2"/>
        <w:numPr>
          <w:ilvl w:val="0"/>
          <w:numId w:val="0"/>
        </w:numPr>
        <w:ind w:left="1440" w:hanging="360"/>
        <w:rPr>
          <w:rFonts w:asciiTheme="minorHAnsi" w:eastAsiaTheme="minorHAnsi" w:hAnsiTheme="minorHAnsi" w:cs="Times New Roman"/>
          <w:color w:val="000000" w:themeColor="text1"/>
          <w:szCs w:val="22"/>
          <w:lang w:val="en-US" w:eastAsia="en-US"/>
        </w:rPr>
      </w:pPr>
      <w:r>
        <w:rPr>
          <w:noProof/>
        </w:rPr>
        <w:drawing>
          <wp:inline distT="0" distB="0" distL="0" distR="0" wp14:anchorId="4F610ED3" wp14:editId="47C9D19C">
            <wp:extent cx="4572000" cy="2743200"/>
            <wp:effectExtent l="0" t="0" r="0" b="0"/>
            <wp:docPr id="7" name="Chart 7">
              <a:extLst xmlns:a="http://schemas.openxmlformats.org/drawingml/2006/main">
                <a:ext uri="{FF2B5EF4-FFF2-40B4-BE49-F238E27FC236}">
                  <a16:creationId xmlns:a16="http://schemas.microsoft.com/office/drawing/2014/main" id="{D747BC2E-991C-4BC5-A39B-09241330AE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005DBB" w14:textId="77777777" w:rsidR="008850BE" w:rsidRPr="00C8353A" w:rsidRDefault="008850BE" w:rsidP="008850BE">
      <w:pPr>
        <w:pStyle w:val="Heading2"/>
        <w:numPr>
          <w:ilvl w:val="0"/>
          <w:numId w:val="0"/>
        </w:numPr>
        <w:ind w:left="1440" w:hanging="360"/>
        <w:rPr>
          <w:rFonts w:ascii="Verdana" w:eastAsiaTheme="minorHAnsi" w:hAnsi="Verdana" w:cs="Times New Roman"/>
          <w:color w:val="000000" w:themeColor="text1"/>
          <w:sz w:val="20"/>
          <w:szCs w:val="20"/>
          <w:lang w:val="en-US" w:eastAsia="en-US"/>
        </w:rPr>
      </w:pPr>
    </w:p>
    <w:p w14:paraId="013FE4C7" w14:textId="7E38D687" w:rsidR="008850BE" w:rsidRPr="00C8353A" w:rsidRDefault="008850BE" w:rsidP="00082EA5">
      <w:pPr>
        <w:pStyle w:val="ListParagraph"/>
        <w:numPr>
          <w:ilvl w:val="0"/>
          <w:numId w:val="3"/>
        </w:numPr>
        <w:spacing w:line="276" w:lineRule="auto"/>
        <w:ind w:left="0" w:firstLine="0"/>
        <w:jc w:val="both"/>
        <w:rPr>
          <w:rFonts w:ascii="Verdana" w:hAnsi="Verdana" w:cs="Times New Roman"/>
          <w:color w:val="000000" w:themeColor="text1"/>
          <w:sz w:val="20"/>
          <w:szCs w:val="20"/>
          <w:lang w:val="en-US"/>
        </w:rPr>
      </w:pPr>
      <w:r w:rsidRPr="00C8353A">
        <w:rPr>
          <w:rFonts w:ascii="Verdana" w:hAnsi="Verdana" w:cs="Times New Roman"/>
          <w:color w:val="000000" w:themeColor="text1"/>
          <w:sz w:val="20"/>
          <w:szCs w:val="20"/>
          <w:lang w:val="en-US"/>
        </w:rPr>
        <w:t xml:space="preserve">Providing registered office or business address facilities is considered higher risk where the TCSP is not providing other TCSP services to a client (i.e. no other business relationship). This service allows the entity to maintain a physical footprint in the </w:t>
      </w:r>
      <w:proofErr w:type="gramStart"/>
      <w:r w:rsidRPr="00C8353A">
        <w:rPr>
          <w:rFonts w:ascii="Verdana" w:hAnsi="Verdana" w:cs="Times New Roman"/>
          <w:color w:val="000000" w:themeColor="text1"/>
          <w:sz w:val="20"/>
          <w:szCs w:val="20"/>
          <w:lang w:val="en-US"/>
        </w:rPr>
        <w:t>country, but</w:t>
      </w:r>
      <w:proofErr w:type="gramEnd"/>
      <w:r w:rsidRPr="00C8353A">
        <w:rPr>
          <w:rFonts w:ascii="Verdana" w:hAnsi="Verdana" w:cs="Times New Roman"/>
          <w:color w:val="000000" w:themeColor="text1"/>
          <w:sz w:val="20"/>
          <w:szCs w:val="20"/>
          <w:lang w:val="en-US"/>
        </w:rPr>
        <w:t xml:space="preserve"> can distance the entity from other assets and activities controlled by the beneficial owner. The lack of interaction between the TCSP and the customer may lead to a difficulty in detecting suspicious activity. </w:t>
      </w:r>
      <w:r w:rsidR="00C67FF2" w:rsidRPr="00C8353A">
        <w:rPr>
          <w:rFonts w:ascii="Verdana" w:hAnsi="Verdana" w:cs="Times New Roman"/>
          <w:color w:val="000000" w:themeColor="text1"/>
          <w:sz w:val="20"/>
          <w:szCs w:val="20"/>
          <w:lang w:val="en-US"/>
        </w:rPr>
        <w:t xml:space="preserve">Of the entities providing Registered Office services, </w:t>
      </w:r>
      <w:r w:rsidR="00225B38" w:rsidRPr="00C8353A">
        <w:rPr>
          <w:rFonts w:ascii="Verdana" w:hAnsi="Verdana" w:cs="Times New Roman"/>
          <w:color w:val="000000" w:themeColor="text1"/>
          <w:sz w:val="20"/>
          <w:szCs w:val="20"/>
          <w:lang w:val="en-US"/>
        </w:rPr>
        <w:t xml:space="preserve">approximately 65 </w:t>
      </w:r>
      <w:r w:rsidR="00C67FF2" w:rsidRPr="00C8353A">
        <w:rPr>
          <w:rFonts w:ascii="Verdana" w:hAnsi="Verdana" w:cs="Times New Roman"/>
          <w:color w:val="000000" w:themeColor="text1"/>
          <w:sz w:val="20"/>
          <w:szCs w:val="20"/>
          <w:lang w:val="en-US"/>
        </w:rPr>
        <w:t>of these are also engaged in the provision of other services</w:t>
      </w:r>
      <w:r w:rsidR="00225B38" w:rsidRPr="00C8353A">
        <w:rPr>
          <w:rFonts w:ascii="Verdana" w:hAnsi="Verdana" w:cs="Times New Roman"/>
          <w:color w:val="000000" w:themeColor="text1"/>
          <w:sz w:val="20"/>
          <w:szCs w:val="20"/>
          <w:lang w:val="en-US"/>
        </w:rPr>
        <w:t>, which goes to mitigating the risk somewhat.</w:t>
      </w:r>
      <w:r w:rsidR="00C67FF2" w:rsidRPr="00C8353A">
        <w:rPr>
          <w:rFonts w:ascii="Verdana" w:hAnsi="Verdana" w:cs="Times New Roman"/>
          <w:color w:val="000000" w:themeColor="text1"/>
          <w:sz w:val="20"/>
          <w:szCs w:val="20"/>
          <w:lang w:val="en-US"/>
        </w:rPr>
        <w:t xml:space="preserve"> </w:t>
      </w:r>
      <w:r w:rsidRPr="00C8353A">
        <w:rPr>
          <w:rFonts w:ascii="Verdana" w:hAnsi="Verdana" w:cs="Times New Roman"/>
          <w:color w:val="000000" w:themeColor="text1"/>
          <w:sz w:val="20"/>
          <w:szCs w:val="20"/>
          <w:lang w:val="en-US"/>
        </w:rPr>
        <w:t>Th</w:t>
      </w:r>
      <w:r w:rsidR="00225B38" w:rsidRPr="00C8353A">
        <w:rPr>
          <w:rFonts w:ascii="Verdana" w:hAnsi="Verdana" w:cs="Times New Roman"/>
          <w:color w:val="000000" w:themeColor="text1"/>
          <w:sz w:val="20"/>
          <w:szCs w:val="20"/>
          <w:lang w:val="en-US"/>
        </w:rPr>
        <w:t>e</w:t>
      </w:r>
      <w:r w:rsidRPr="00C8353A">
        <w:rPr>
          <w:rFonts w:ascii="Verdana" w:hAnsi="Verdana" w:cs="Times New Roman"/>
          <w:color w:val="000000" w:themeColor="text1"/>
          <w:sz w:val="20"/>
          <w:szCs w:val="20"/>
          <w:lang w:val="en-US"/>
        </w:rPr>
        <w:t xml:space="preserve"> </w:t>
      </w:r>
      <w:r w:rsidR="00C67FF2" w:rsidRPr="00C8353A">
        <w:rPr>
          <w:rFonts w:ascii="Verdana" w:hAnsi="Verdana" w:cs="Times New Roman"/>
          <w:color w:val="000000" w:themeColor="text1"/>
          <w:sz w:val="20"/>
          <w:szCs w:val="20"/>
          <w:lang w:val="en-US"/>
        </w:rPr>
        <w:t>service of Registered Office</w:t>
      </w:r>
      <w:r w:rsidRPr="00C8353A">
        <w:rPr>
          <w:rFonts w:ascii="Verdana" w:hAnsi="Verdana" w:cs="Times New Roman"/>
          <w:color w:val="000000" w:themeColor="text1"/>
          <w:sz w:val="20"/>
          <w:szCs w:val="20"/>
          <w:lang w:val="en-US"/>
        </w:rPr>
        <w:t xml:space="preserve"> is overall the most dominant </w:t>
      </w:r>
      <w:r w:rsidR="00C67FF2" w:rsidRPr="00C8353A">
        <w:rPr>
          <w:rFonts w:ascii="Verdana" w:hAnsi="Verdana" w:cs="Times New Roman"/>
          <w:color w:val="000000" w:themeColor="text1"/>
          <w:sz w:val="20"/>
          <w:szCs w:val="20"/>
          <w:lang w:val="en-US"/>
        </w:rPr>
        <w:t xml:space="preserve">service </w:t>
      </w:r>
      <w:r w:rsidRPr="00C8353A">
        <w:rPr>
          <w:rFonts w:ascii="Verdana" w:hAnsi="Verdana" w:cs="Times New Roman"/>
          <w:color w:val="000000" w:themeColor="text1"/>
          <w:sz w:val="20"/>
          <w:szCs w:val="20"/>
          <w:lang w:val="en-US"/>
        </w:rPr>
        <w:t xml:space="preserve">in the sector. </w:t>
      </w:r>
    </w:p>
    <w:p w14:paraId="0B386A08" w14:textId="77777777" w:rsidR="008850BE" w:rsidRPr="00C8353A" w:rsidRDefault="008850BE" w:rsidP="00082EA5">
      <w:pPr>
        <w:pStyle w:val="ListParagraph"/>
        <w:spacing w:line="276" w:lineRule="auto"/>
        <w:jc w:val="both"/>
        <w:rPr>
          <w:rFonts w:ascii="Verdana" w:hAnsi="Verdana" w:cs="Times New Roman"/>
          <w:color w:val="000000" w:themeColor="text1"/>
          <w:sz w:val="20"/>
          <w:szCs w:val="20"/>
          <w:lang w:val="en-US"/>
        </w:rPr>
      </w:pPr>
    </w:p>
    <w:p w14:paraId="39FFABFE" w14:textId="74E9C606" w:rsidR="008850BE" w:rsidRPr="00C8353A" w:rsidRDefault="008850BE" w:rsidP="00082EA5">
      <w:pPr>
        <w:pStyle w:val="ListParagraph"/>
        <w:numPr>
          <w:ilvl w:val="0"/>
          <w:numId w:val="3"/>
        </w:numPr>
        <w:spacing w:line="276" w:lineRule="auto"/>
        <w:ind w:left="0" w:firstLine="0"/>
        <w:jc w:val="both"/>
        <w:rPr>
          <w:rFonts w:ascii="Verdana" w:hAnsi="Verdana" w:cs="Times New Roman"/>
          <w:color w:val="000000" w:themeColor="text1"/>
          <w:sz w:val="20"/>
          <w:szCs w:val="20"/>
          <w:lang w:val="en-US"/>
        </w:rPr>
      </w:pPr>
      <w:r w:rsidRPr="00C8353A">
        <w:rPr>
          <w:rFonts w:ascii="Verdana" w:hAnsi="Verdana" w:cs="Times New Roman"/>
          <w:color w:val="000000" w:themeColor="text1"/>
          <w:sz w:val="20"/>
          <w:szCs w:val="20"/>
          <w:lang w:val="en-US"/>
        </w:rPr>
        <w:t xml:space="preserve">Director Services </w:t>
      </w:r>
      <w:r w:rsidR="00152BF9" w:rsidRPr="00C8353A">
        <w:rPr>
          <w:rFonts w:ascii="Verdana" w:hAnsi="Verdana" w:cs="Times New Roman"/>
          <w:color w:val="000000" w:themeColor="text1"/>
          <w:sz w:val="20"/>
          <w:szCs w:val="20"/>
          <w:lang w:val="en-US"/>
        </w:rPr>
        <w:t xml:space="preserve">may be </w:t>
      </w:r>
      <w:r w:rsidRPr="00C8353A">
        <w:rPr>
          <w:rFonts w:ascii="Verdana" w:hAnsi="Verdana" w:cs="Times New Roman"/>
          <w:color w:val="000000" w:themeColor="text1"/>
          <w:sz w:val="20"/>
          <w:szCs w:val="20"/>
          <w:lang w:val="en-US"/>
        </w:rPr>
        <w:t>vulnerable to exploitation for the purpose of disguising the true controllers and beneficial owners or an entity, it’s assets and transactions</w:t>
      </w:r>
      <w:r w:rsidR="00152BF9" w:rsidRPr="00C8353A">
        <w:rPr>
          <w:rFonts w:ascii="Verdana" w:hAnsi="Verdana" w:cs="Times New Roman"/>
          <w:color w:val="000000" w:themeColor="text1"/>
          <w:sz w:val="20"/>
          <w:szCs w:val="20"/>
          <w:lang w:val="en-US"/>
        </w:rPr>
        <w:t xml:space="preserve"> and as a result must be considered as potentially higher risk</w:t>
      </w:r>
      <w:r w:rsidRPr="00C8353A">
        <w:rPr>
          <w:rFonts w:ascii="Verdana" w:hAnsi="Verdana" w:cs="Times New Roman"/>
          <w:color w:val="000000" w:themeColor="text1"/>
          <w:sz w:val="20"/>
          <w:szCs w:val="20"/>
          <w:lang w:val="en-US"/>
        </w:rPr>
        <w:t>. 74 TSPs provide Trustee services. Trustees are required to act on behalf of the interests of the beneficiary rather than their own, which results in a risk of the entity becoming the effective legal owner of the of criminal assets and of dealing with the proceeds of crime</w:t>
      </w:r>
      <w:r w:rsidR="00152BF9" w:rsidRPr="00C8353A">
        <w:rPr>
          <w:rFonts w:ascii="Verdana" w:hAnsi="Verdana" w:cs="Times New Roman"/>
          <w:color w:val="000000" w:themeColor="text1"/>
          <w:sz w:val="20"/>
          <w:szCs w:val="20"/>
          <w:lang w:val="en-US"/>
        </w:rPr>
        <w:t xml:space="preserve">, again increasing the ML/TF risk. </w:t>
      </w:r>
    </w:p>
    <w:p w14:paraId="475ECA1E" w14:textId="77777777" w:rsidR="003E4671" w:rsidRPr="00C8353A" w:rsidRDefault="003E4671" w:rsidP="00315DE8">
      <w:pPr>
        <w:spacing w:line="276" w:lineRule="auto"/>
        <w:jc w:val="both"/>
        <w:rPr>
          <w:rFonts w:ascii="Verdana" w:hAnsi="Verdana" w:cs="Times New Roman"/>
          <w:color w:val="000000" w:themeColor="text1"/>
          <w:sz w:val="20"/>
          <w:szCs w:val="20"/>
          <w:lang w:val="en-US"/>
        </w:rPr>
      </w:pPr>
    </w:p>
    <w:p w14:paraId="3F294FA8" w14:textId="00FA9AD6" w:rsidR="0051072D" w:rsidRPr="00C8353A" w:rsidRDefault="00543695" w:rsidP="00315DE8">
      <w:pPr>
        <w:pStyle w:val="Heading2"/>
        <w:numPr>
          <w:ilvl w:val="0"/>
          <w:numId w:val="0"/>
        </w:numPr>
        <w:spacing w:line="276" w:lineRule="auto"/>
        <w:ind w:left="360" w:right="-6"/>
        <w:jc w:val="both"/>
        <w:rPr>
          <w:rFonts w:ascii="Verdana" w:hAnsi="Verdana"/>
          <w:b/>
          <w:iCs/>
          <w:color w:val="000000" w:themeColor="text1"/>
          <w:sz w:val="20"/>
          <w:szCs w:val="20"/>
          <w:lang w:val="en-US"/>
        </w:rPr>
      </w:pPr>
      <w:r w:rsidRPr="00C8353A">
        <w:rPr>
          <w:rFonts w:ascii="Verdana" w:hAnsi="Verdana"/>
          <w:b/>
          <w:bCs/>
          <w:iCs/>
          <w:sz w:val="20"/>
          <w:szCs w:val="20"/>
          <w:lang w:val="en-US"/>
        </w:rPr>
        <w:t>Value of Assets Held</w:t>
      </w:r>
    </w:p>
    <w:p w14:paraId="47555195" w14:textId="322259C1" w:rsidR="002F0BDE" w:rsidRPr="00C8353A" w:rsidRDefault="00CD275C"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An analysis of the </w:t>
      </w:r>
      <w:r w:rsidR="00543695" w:rsidRPr="00C8353A">
        <w:rPr>
          <w:rFonts w:ascii="Verdana" w:eastAsiaTheme="minorHAnsi" w:hAnsi="Verdana" w:cs="Times New Roman"/>
          <w:color w:val="000000" w:themeColor="text1"/>
          <w:sz w:val="20"/>
          <w:szCs w:val="20"/>
          <w:lang w:val="en-US" w:eastAsia="en-US"/>
        </w:rPr>
        <w:t>assets held by clients</w:t>
      </w:r>
      <w:r w:rsidR="00AE6097" w:rsidRPr="00C8353A">
        <w:rPr>
          <w:rFonts w:ascii="Verdana" w:eastAsiaTheme="minorHAnsi" w:hAnsi="Verdana" w:cs="Times New Roman"/>
          <w:color w:val="000000" w:themeColor="text1"/>
          <w:sz w:val="20"/>
          <w:szCs w:val="20"/>
          <w:lang w:val="en-US" w:eastAsia="en-US"/>
        </w:rPr>
        <w:t xml:space="preserve"> indicate that the </w:t>
      </w:r>
      <w:r w:rsidR="00543695" w:rsidRPr="00C8353A">
        <w:rPr>
          <w:rFonts w:ascii="Verdana" w:eastAsiaTheme="minorHAnsi" w:hAnsi="Verdana" w:cs="Times New Roman"/>
          <w:color w:val="000000" w:themeColor="text1"/>
          <w:sz w:val="20"/>
          <w:szCs w:val="20"/>
          <w:lang w:val="en-US" w:eastAsia="en-US"/>
        </w:rPr>
        <w:t>TSP sector far outperforms the CSP sector. I</w:t>
      </w:r>
      <w:r w:rsidR="00665BA0" w:rsidRPr="00C8353A">
        <w:rPr>
          <w:rFonts w:ascii="Verdana" w:eastAsiaTheme="minorHAnsi" w:hAnsi="Verdana" w:cs="Times New Roman"/>
          <w:color w:val="000000" w:themeColor="text1"/>
          <w:sz w:val="20"/>
          <w:szCs w:val="20"/>
          <w:lang w:val="en-US" w:eastAsia="en-US"/>
        </w:rPr>
        <w:t>n</w:t>
      </w:r>
      <w:r w:rsidR="00543695" w:rsidRPr="00C8353A">
        <w:rPr>
          <w:rFonts w:ascii="Verdana" w:eastAsiaTheme="minorHAnsi" w:hAnsi="Verdana" w:cs="Times New Roman"/>
          <w:color w:val="000000" w:themeColor="text1"/>
          <w:sz w:val="20"/>
          <w:szCs w:val="20"/>
          <w:lang w:val="en-US" w:eastAsia="en-US"/>
        </w:rPr>
        <w:t xml:space="preserve"> total, the TCSP sector in the Cayman Islands holds approximately 694 billion USD for its client base, 668 billion USD of which are held by TSPs and the remaining 26 billion by CSPs.</w:t>
      </w:r>
      <w:r w:rsidR="00703A95" w:rsidRPr="00C8353A">
        <w:rPr>
          <w:rFonts w:ascii="Verdana" w:eastAsiaTheme="minorHAnsi" w:hAnsi="Verdana" w:cs="Times New Roman"/>
          <w:color w:val="000000" w:themeColor="text1"/>
          <w:sz w:val="20"/>
          <w:szCs w:val="20"/>
          <w:lang w:val="en-US" w:eastAsia="en-US"/>
        </w:rPr>
        <w:t xml:space="preserve"> Of the 694 billion USD, the vast majority namely 506 billion USD are not located in the Cayman Islands, which confirms that TCSPs in the Cayman Islands are linked with the Cayman Islands banking sector to only a limited extent. The vast share of assets held by trusts managed by Cayman Islands TCSPs are in the United States of America, followed by Switzerland and the United Kingdom of Great Britain.</w:t>
      </w:r>
      <w:r w:rsidR="002F0BDE" w:rsidRPr="00C8353A">
        <w:rPr>
          <w:rFonts w:ascii="Verdana" w:eastAsiaTheme="minorHAnsi" w:hAnsi="Verdana" w:cs="Times New Roman"/>
          <w:color w:val="000000" w:themeColor="text1"/>
          <w:sz w:val="20"/>
          <w:szCs w:val="20"/>
          <w:lang w:val="en-US" w:eastAsia="en-US"/>
        </w:rPr>
        <w:t xml:space="preserve"> </w:t>
      </w:r>
      <w:r w:rsidR="002D7891" w:rsidRPr="00C8353A">
        <w:rPr>
          <w:rFonts w:ascii="Verdana" w:eastAsiaTheme="minorHAnsi" w:hAnsi="Verdana" w:cs="Times New Roman"/>
          <w:color w:val="000000" w:themeColor="text1"/>
          <w:sz w:val="20"/>
          <w:szCs w:val="20"/>
          <w:lang w:val="en-US" w:eastAsia="en-US"/>
        </w:rPr>
        <w:t xml:space="preserve">When compared with the value of assets held by other sectors within the financial services industry, the total assets held by TCSPs may be considered significant in value. </w:t>
      </w:r>
    </w:p>
    <w:p w14:paraId="150E65C7" w14:textId="42ED902D" w:rsidR="005F259B" w:rsidRPr="00C8353A" w:rsidRDefault="005F259B"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The products and services engaged in by the c</w:t>
      </w:r>
      <w:r w:rsidR="00152BF9" w:rsidRPr="00C8353A">
        <w:rPr>
          <w:rFonts w:ascii="Verdana" w:eastAsiaTheme="minorHAnsi" w:hAnsi="Verdana" w:cs="Times New Roman"/>
          <w:color w:val="000000" w:themeColor="text1"/>
          <w:sz w:val="20"/>
          <w:szCs w:val="20"/>
          <w:lang w:val="en-US" w:eastAsia="en-US"/>
        </w:rPr>
        <w:t>ustomers</w:t>
      </w:r>
      <w:r w:rsidRPr="00C8353A">
        <w:rPr>
          <w:rFonts w:ascii="Verdana" w:eastAsiaTheme="minorHAnsi" w:hAnsi="Verdana" w:cs="Times New Roman"/>
          <w:color w:val="000000" w:themeColor="text1"/>
          <w:sz w:val="20"/>
          <w:szCs w:val="20"/>
          <w:lang w:val="en-US" w:eastAsia="en-US"/>
        </w:rPr>
        <w:t xml:space="preserve"> of the </w:t>
      </w:r>
      <w:r w:rsidR="00152BF9" w:rsidRPr="00C8353A">
        <w:rPr>
          <w:rFonts w:ascii="Verdana" w:eastAsiaTheme="minorHAnsi" w:hAnsi="Verdana" w:cs="Times New Roman"/>
          <w:color w:val="000000" w:themeColor="text1"/>
          <w:sz w:val="20"/>
          <w:szCs w:val="20"/>
          <w:lang w:val="en-US" w:eastAsia="en-US"/>
        </w:rPr>
        <w:t xml:space="preserve">registered </w:t>
      </w:r>
      <w:r w:rsidRPr="00C8353A">
        <w:rPr>
          <w:rFonts w:ascii="Verdana" w:eastAsiaTheme="minorHAnsi" w:hAnsi="Verdana" w:cs="Times New Roman"/>
          <w:color w:val="000000" w:themeColor="text1"/>
          <w:sz w:val="20"/>
          <w:szCs w:val="20"/>
          <w:lang w:val="en-US" w:eastAsia="en-US"/>
        </w:rPr>
        <w:t xml:space="preserve">entities vary from those activities which are considered low risk to very high risk. Examples of these </w:t>
      </w:r>
      <w:r w:rsidR="001A33C7" w:rsidRPr="00C8353A">
        <w:rPr>
          <w:rFonts w:ascii="Verdana" w:eastAsiaTheme="minorHAnsi" w:hAnsi="Verdana" w:cs="Times New Roman"/>
          <w:color w:val="000000" w:themeColor="text1"/>
          <w:sz w:val="20"/>
          <w:szCs w:val="20"/>
          <w:lang w:val="en-US" w:eastAsia="en-US"/>
        </w:rPr>
        <w:t xml:space="preserve">higher risk </w:t>
      </w:r>
      <w:r w:rsidRPr="00C8353A">
        <w:rPr>
          <w:rFonts w:ascii="Verdana" w:eastAsiaTheme="minorHAnsi" w:hAnsi="Verdana" w:cs="Times New Roman"/>
          <w:color w:val="000000" w:themeColor="text1"/>
          <w:sz w:val="20"/>
          <w:szCs w:val="20"/>
          <w:lang w:val="en-US" w:eastAsia="en-US"/>
        </w:rPr>
        <w:t>activities are demonstrated below:</w:t>
      </w:r>
    </w:p>
    <w:p w14:paraId="770D8F03" w14:textId="6DD7F5FE" w:rsidR="00E11F21" w:rsidRPr="00315DE8" w:rsidRDefault="00E11F21" w:rsidP="00315DE8">
      <w:pPr>
        <w:pStyle w:val="Heading2"/>
        <w:numPr>
          <w:ilvl w:val="0"/>
          <w:numId w:val="0"/>
        </w:numPr>
        <w:spacing w:line="276" w:lineRule="auto"/>
        <w:ind w:left="1440" w:right="-6" w:hanging="360"/>
        <w:jc w:val="both"/>
        <w:rPr>
          <w:rFonts w:asciiTheme="minorHAnsi" w:eastAsiaTheme="minorHAnsi" w:hAnsiTheme="minorHAnsi" w:cs="Times New Roman"/>
          <w:color w:val="000000" w:themeColor="text1"/>
          <w:szCs w:val="22"/>
          <w:lang w:val="en-US" w:eastAsia="en-US"/>
        </w:rPr>
      </w:pPr>
    </w:p>
    <w:p w14:paraId="6FFC09AF" w14:textId="43145F6E" w:rsidR="005F259B" w:rsidRPr="00315DE8" w:rsidRDefault="006F1F86" w:rsidP="00315DE8">
      <w:pPr>
        <w:pStyle w:val="Heading2"/>
        <w:numPr>
          <w:ilvl w:val="0"/>
          <w:numId w:val="0"/>
        </w:numPr>
        <w:spacing w:line="276" w:lineRule="auto"/>
        <w:ind w:right="-6"/>
        <w:jc w:val="center"/>
        <w:rPr>
          <w:rFonts w:asciiTheme="minorHAnsi" w:eastAsiaTheme="minorHAnsi" w:hAnsiTheme="minorHAnsi" w:cs="Times New Roman"/>
          <w:color w:val="000000" w:themeColor="text1"/>
          <w:szCs w:val="22"/>
          <w:lang w:val="en-US" w:eastAsia="en-US"/>
        </w:rPr>
      </w:pPr>
      <w:r w:rsidRPr="00315DE8">
        <w:rPr>
          <w:noProof/>
          <w:szCs w:val="22"/>
        </w:rPr>
        <w:drawing>
          <wp:inline distT="0" distB="0" distL="0" distR="0" wp14:anchorId="7F9DCBE9" wp14:editId="6C8B7EDC">
            <wp:extent cx="4953000" cy="2919413"/>
            <wp:effectExtent l="0" t="0" r="0" b="14605"/>
            <wp:docPr id="8" name="Chart 8">
              <a:extLst xmlns:a="http://schemas.openxmlformats.org/drawingml/2006/main">
                <a:ext uri="{FF2B5EF4-FFF2-40B4-BE49-F238E27FC236}">
                  <a16:creationId xmlns:a16="http://schemas.microsoft.com/office/drawing/2014/main" id="{FCAB985C-7AB4-4806-A266-B1672D25EE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943348" w14:textId="6E92E850" w:rsidR="003E4671" w:rsidRPr="00C8353A" w:rsidRDefault="00E11F21"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Of the customers of registered entities engaged in potentially higher risk activities outlined above, 41 of the 45</w:t>
      </w:r>
      <w:r w:rsidR="00804BD1" w:rsidRPr="00C8353A">
        <w:rPr>
          <w:rFonts w:ascii="Verdana" w:eastAsiaTheme="minorHAnsi" w:hAnsi="Verdana" w:cs="Times New Roman"/>
          <w:color w:val="000000" w:themeColor="text1"/>
          <w:sz w:val="20"/>
          <w:szCs w:val="20"/>
          <w:lang w:val="en-US" w:eastAsia="en-US"/>
        </w:rPr>
        <w:t>7</w:t>
      </w:r>
      <w:r w:rsidRPr="00C8353A">
        <w:rPr>
          <w:rFonts w:ascii="Verdana" w:eastAsiaTheme="minorHAnsi" w:hAnsi="Verdana" w:cs="Times New Roman"/>
          <w:color w:val="000000" w:themeColor="text1"/>
          <w:sz w:val="20"/>
          <w:szCs w:val="20"/>
          <w:lang w:val="en-US" w:eastAsia="en-US"/>
        </w:rPr>
        <w:t xml:space="preserve"> are in high risk</w:t>
      </w:r>
      <w:r w:rsidR="00152BF9" w:rsidRPr="00C8353A">
        <w:rPr>
          <w:rFonts w:ascii="Verdana" w:eastAsiaTheme="minorHAnsi" w:hAnsi="Verdana" w:cs="Times New Roman"/>
          <w:color w:val="000000" w:themeColor="text1"/>
          <w:sz w:val="20"/>
          <w:szCs w:val="20"/>
          <w:lang w:val="en-US" w:eastAsia="en-US"/>
        </w:rPr>
        <w:t xml:space="preserve"> or </w:t>
      </w:r>
      <w:r w:rsidRPr="00C8353A">
        <w:rPr>
          <w:rFonts w:ascii="Verdana" w:eastAsiaTheme="minorHAnsi" w:hAnsi="Verdana" w:cs="Times New Roman"/>
          <w:color w:val="000000" w:themeColor="text1"/>
          <w:sz w:val="20"/>
          <w:szCs w:val="20"/>
          <w:lang w:val="en-US" w:eastAsia="en-US"/>
        </w:rPr>
        <w:t xml:space="preserve">sanctioned jurisdictions. </w:t>
      </w:r>
      <w:r w:rsidR="005F259B" w:rsidRPr="00C8353A">
        <w:rPr>
          <w:rFonts w:ascii="Verdana" w:eastAsiaTheme="minorHAnsi" w:hAnsi="Verdana" w:cs="Times New Roman"/>
          <w:color w:val="000000" w:themeColor="text1"/>
          <w:sz w:val="20"/>
          <w:szCs w:val="20"/>
          <w:lang w:val="en-US" w:eastAsia="en-US"/>
        </w:rPr>
        <w:t xml:space="preserve"> </w:t>
      </w:r>
    </w:p>
    <w:p w14:paraId="6F91031F" w14:textId="73BFCE0A" w:rsidR="0096656B" w:rsidRPr="00C8353A" w:rsidRDefault="00EF3E4E" w:rsidP="00315DE8">
      <w:pPr>
        <w:pStyle w:val="Heading2"/>
        <w:numPr>
          <w:ilvl w:val="0"/>
          <w:numId w:val="0"/>
        </w:numPr>
        <w:spacing w:line="276" w:lineRule="auto"/>
        <w:ind w:right="-6"/>
        <w:jc w:val="both"/>
        <w:rPr>
          <w:rFonts w:ascii="Verdana" w:hAnsi="Verdana"/>
          <w:b/>
          <w:bCs/>
          <w:sz w:val="20"/>
          <w:szCs w:val="20"/>
          <w:lang w:val="en-US"/>
        </w:rPr>
      </w:pPr>
      <w:r w:rsidRPr="00C8353A">
        <w:rPr>
          <w:rFonts w:ascii="Verdana" w:hAnsi="Verdana"/>
          <w:b/>
          <w:bCs/>
          <w:sz w:val="20"/>
          <w:szCs w:val="20"/>
          <w:lang w:val="en-US"/>
        </w:rPr>
        <w:t xml:space="preserve">Conclusion for Risk Category </w:t>
      </w:r>
      <w:r w:rsidR="00225F30" w:rsidRPr="00C8353A">
        <w:rPr>
          <w:rFonts w:ascii="Verdana" w:hAnsi="Verdana"/>
          <w:b/>
          <w:bCs/>
          <w:sz w:val="20"/>
          <w:szCs w:val="20"/>
          <w:lang w:val="en-US"/>
        </w:rPr>
        <w:t xml:space="preserve">for </w:t>
      </w:r>
      <w:r w:rsidRPr="00C8353A">
        <w:rPr>
          <w:rFonts w:ascii="Verdana" w:hAnsi="Verdana"/>
          <w:b/>
          <w:bCs/>
          <w:sz w:val="20"/>
          <w:szCs w:val="20"/>
          <w:lang w:val="en-US"/>
        </w:rPr>
        <w:t>Products and Services</w:t>
      </w:r>
    </w:p>
    <w:p w14:paraId="66867D82" w14:textId="146F33DF" w:rsidR="00152BF9" w:rsidRPr="00C8353A" w:rsidRDefault="00843AB5" w:rsidP="00082EA5">
      <w:pPr>
        <w:pStyle w:val="Heading2"/>
        <w:numPr>
          <w:ilvl w:val="0"/>
          <w:numId w:val="3"/>
        </w:numPr>
        <w:spacing w:line="276" w:lineRule="auto"/>
        <w:ind w:left="0" w:firstLine="0"/>
        <w:jc w:val="both"/>
        <w:rPr>
          <w:rFonts w:ascii="Verdana" w:hAnsi="Verdana"/>
          <w:sz w:val="20"/>
          <w:szCs w:val="20"/>
          <w:lang w:val="en-US"/>
        </w:rPr>
      </w:pPr>
      <w:r w:rsidRPr="00C8353A">
        <w:rPr>
          <w:rFonts w:ascii="Verdana" w:hAnsi="Verdana"/>
          <w:sz w:val="20"/>
          <w:szCs w:val="20"/>
          <w:lang w:val="en-US"/>
        </w:rPr>
        <w:t>There is higher level of risk surrounding the services which are provided by the TCSP secto</w:t>
      </w:r>
      <w:r w:rsidR="00AE6097" w:rsidRPr="00C8353A">
        <w:rPr>
          <w:rFonts w:ascii="Verdana" w:hAnsi="Verdana"/>
          <w:sz w:val="20"/>
          <w:szCs w:val="20"/>
          <w:lang w:val="en-US"/>
        </w:rPr>
        <w:t>r</w:t>
      </w:r>
      <w:r w:rsidR="003E4671" w:rsidRPr="00C8353A">
        <w:rPr>
          <w:rFonts w:ascii="Verdana" w:hAnsi="Verdana"/>
          <w:sz w:val="20"/>
          <w:szCs w:val="20"/>
          <w:lang w:val="en-US"/>
        </w:rPr>
        <w:t xml:space="preserve"> compared to other sectors</w:t>
      </w:r>
      <w:r w:rsidR="00AE6097" w:rsidRPr="00C8353A">
        <w:rPr>
          <w:rFonts w:ascii="Verdana" w:hAnsi="Verdana"/>
          <w:sz w:val="20"/>
          <w:szCs w:val="20"/>
          <w:lang w:val="en-US"/>
        </w:rPr>
        <w:t xml:space="preserve"> </w:t>
      </w:r>
      <w:r w:rsidRPr="00C8353A">
        <w:rPr>
          <w:rFonts w:ascii="Verdana" w:hAnsi="Verdana"/>
          <w:sz w:val="20"/>
          <w:szCs w:val="20"/>
          <w:lang w:val="en-US"/>
        </w:rPr>
        <w:t xml:space="preserve">given </w:t>
      </w:r>
      <w:r w:rsidR="007A061A" w:rsidRPr="00C8353A">
        <w:rPr>
          <w:rFonts w:ascii="Verdana" w:hAnsi="Verdana"/>
          <w:sz w:val="20"/>
          <w:szCs w:val="20"/>
          <w:lang w:val="en-US"/>
        </w:rPr>
        <w:t>the</w:t>
      </w:r>
      <w:r w:rsidR="003E4671" w:rsidRPr="00C8353A">
        <w:rPr>
          <w:rFonts w:ascii="Verdana" w:hAnsi="Verdana"/>
          <w:sz w:val="20"/>
          <w:szCs w:val="20"/>
          <w:lang w:val="en-US"/>
        </w:rPr>
        <w:t xml:space="preserve"> </w:t>
      </w:r>
      <w:r w:rsidR="007A061A" w:rsidRPr="00C8353A">
        <w:rPr>
          <w:rFonts w:ascii="Verdana" w:hAnsi="Verdana"/>
          <w:sz w:val="20"/>
          <w:szCs w:val="20"/>
          <w:lang w:val="en-US"/>
        </w:rPr>
        <w:t>opaqueness and the complexit</w:t>
      </w:r>
      <w:r w:rsidRPr="00C8353A">
        <w:rPr>
          <w:rFonts w:ascii="Verdana" w:hAnsi="Verdana"/>
          <w:sz w:val="20"/>
          <w:szCs w:val="20"/>
          <w:lang w:val="en-US"/>
        </w:rPr>
        <w:t>y</w:t>
      </w:r>
      <w:r w:rsidR="003E4671" w:rsidRPr="00C8353A">
        <w:rPr>
          <w:rFonts w:ascii="Verdana" w:hAnsi="Verdana"/>
          <w:sz w:val="20"/>
          <w:szCs w:val="20"/>
          <w:lang w:val="en-US"/>
        </w:rPr>
        <w:t xml:space="preserve"> which surrounds the services offered</w:t>
      </w:r>
      <w:r w:rsidR="00902D7D" w:rsidRPr="00C8353A">
        <w:rPr>
          <w:rFonts w:ascii="Verdana" w:hAnsi="Verdana"/>
          <w:sz w:val="20"/>
          <w:szCs w:val="20"/>
          <w:lang w:val="en-US"/>
        </w:rPr>
        <w:t xml:space="preserve"> which is compounded by the </w:t>
      </w:r>
      <w:r w:rsidR="00315DE8" w:rsidRPr="00C8353A">
        <w:rPr>
          <w:rFonts w:ascii="Verdana" w:hAnsi="Verdana"/>
          <w:sz w:val="20"/>
          <w:szCs w:val="20"/>
          <w:lang w:val="en-US"/>
        </w:rPr>
        <w:t>cross-border</w:t>
      </w:r>
      <w:r w:rsidR="00902D7D" w:rsidRPr="00C8353A">
        <w:rPr>
          <w:rFonts w:ascii="Verdana" w:hAnsi="Verdana"/>
          <w:sz w:val="20"/>
          <w:szCs w:val="20"/>
          <w:lang w:val="en-US"/>
        </w:rPr>
        <w:t xml:space="preserve"> nature of the business</w:t>
      </w:r>
      <w:r w:rsidR="002D7891" w:rsidRPr="00C8353A">
        <w:rPr>
          <w:rFonts w:ascii="Verdana" w:hAnsi="Verdana"/>
          <w:sz w:val="20"/>
          <w:szCs w:val="20"/>
          <w:lang w:val="en-US"/>
        </w:rPr>
        <w:t xml:space="preserve"> and connection to high risk jurisdictions. </w:t>
      </w:r>
      <w:r w:rsidRPr="00C8353A">
        <w:rPr>
          <w:rFonts w:ascii="Verdana" w:hAnsi="Verdana"/>
          <w:sz w:val="20"/>
          <w:szCs w:val="20"/>
          <w:lang w:val="en-US"/>
        </w:rPr>
        <w:t xml:space="preserve">While many of the services which are provided by the customers of the regulated entities are low risk, there are also </w:t>
      </w:r>
      <w:proofErr w:type="gramStart"/>
      <w:r w:rsidRPr="00C8353A">
        <w:rPr>
          <w:rFonts w:ascii="Verdana" w:hAnsi="Verdana"/>
          <w:sz w:val="20"/>
          <w:szCs w:val="20"/>
          <w:lang w:val="en-US"/>
        </w:rPr>
        <w:t>a number of</w:t>
      </w:r>
      <w:proofErr w:type="gramEnd"/>
      <w:r w:rsidRPr="00C8353A">
        <w:rPr>
          <w:rFonts w:ascii="Verdana" w:hAnsi="Verdana"/>
          <w:sz w:val="20"/>
          <w:szCs w:val="20"/>
          <w:lang w:val="en-US"/>
        </w:rPr>
        <w:t xml:space="preserve"> customers engaging in very </w:t>
      </w:r>
      <w:r w:rsidR="00315DE8" w:rsidRPr="00C8353A">
        <w:rPr>
          <w:rFonts w:ascii="Verdana" w:hAnsi="Verdana"/>
          <w:sz w:val="20"/>
          <w:szCs w:val="20"/>
          <w:lang w:val="en-US"/>
        </w:rPr>
        <w:t>high-risk</w:t>
      </w:r>
      <w:r w:rsidRPr="00C8353A">
        <w:rPr>
          <w:rFonts w:ascii="Verdana" w:hAnsi="Verdana"/>
          <w:sz w:val="20"/>
          <w:szCs w:val="20"/>
          <w:lang w:val="en-US"/>
        </w:rPr>
        <w:t xml:space="preserve"> activities, with a significant portion of these activities occurring in high risk or sanctioned jurisdictions. </w:t>
      </w:r>
    </w:p>
    <w:p w14:paraId="288CCF50" w14:textId="77777777" w:rsidR="0036213E" w:rsidRPr="00C8353A" w:rsidRDefault="0036213E" w:rsidP="00315DE8">
      <w:pPr>
        <w:pStyle w:val="Heading2"/>
        <w:numPr>
          <w:ilvl w:val="0"/>
          <w:numId w:val="0"/>
        </w:numPr>
        <w:spacing w:line="276" w:lineRule="auto"/>
        <w:ind w:right="-6"/>
        <w:jc w:val="both"/>
        <w:rPr>
          <w:rFonts w:ascii="Verdana" w:eastAsiaTheme="minorHAnsi" w:hAnsi="Verdana" w:cs="Times New Roman"/>
          <w:color w:val="000000" w:themeColor="text1"/>
          <w:sz w:val="20"/>
          <w:szCs w:val="20"/>
          <w:lang w:val="en-US" w:eastAsia="en-US"/>
        </w:rPr>
      </w:pPr>
    </w:p>
    <w:tbl>
      <w:tblPr>
        <w:tblStyle w:val="TableGrid"/>
        <w:tblW w:w="0" w:type="auto"/>
        <w:jc w:val="center"/>
        <w:tblLook w:val="04A0" w:firstRow="1" w:lastRow="0" w:firstColumn="1" w:lastColumn="0" w:noHBand="0" w:noVBand="1"/>
      </w:tblPr>
      <w:tblGrid>
        <w:gridCol w:w="3119"/>
        <w:gridCol w:w="3680"/>
      </w:tblGrid>
      <w:tr w:rsidR="0036213E" w:rsidRPr="00315DE8" w14:paraId="0308352A" w14:textId="77777777" w:rsidTr="004E5F89">
        <w:trPr>
          <w:jc w:val="center"/>
        </w:trPr>
        <w:tc>
          <w:tcPr>
            <w:tcW w:w="3119" w:type="dxa"/>
          </w:tcPr>
          <w:p w14:paraId="0719E654" w14:textId="6AFDCDDC" w:rsidR="0036213E" w:rsidRPr="00315DE8" w:rsidRDefault="00262CA2" w:rsidP="00315DE8">
            <w:pPr>
              <w:spacing w:before="100" w:beforeAutospacing="1" w:after="100" w:afterAutospacing="1" w:line="276" w:lineRule="auto"/>
              <w:jc w:val="both"/>
              <w:rPr>
                <w:rFonts w:eastAsia="Times New Roman" w:cs="Times New Roman"/>
                <w:color w:val="191919"/>
                <w:sz w:val="22"/>
                <w:szCs w:val="22"/>
                <w:lang w:val="en-US" w:eastAsia="en-GB"/>
              </w:rPr>
            </w:pPr>
            <w:r w:rsidRPr="00315DE8">
              <w:rPr>
                <w:rFonts w:eastAsia="Times New Roman" w:cs="Times New Roman"/>
                <w:color w:val="191919"/>
                <w:sz w:val="22"/>
                <w:szCs w:val="22"/>
                <w:lang w:val="en-US" w:eastAsia="en-GB"/>
              </w:rPr>
              <w:t>TSPs</w:t>
            </w:r>
          </w:p>
        </w:tc>
        <w:tc>
          <w:tcPr>
            <w:tcW w:w="3680" w:type="dxa"/>
          </w:tcPr>
          <w:p w14:paraId="07A5E9D5" w14:textId="2FBE4B34" w:rsidR="0036213E" w:rsidRPr="00315DE8" w:rsidRDefault="00262CA2" w:rsidP="00315DE8">
            <w:pPr>
              <w:spacing w:before="100" w:beforeAutospacing="1" w:after="100" w:afterAutospacing="1" w:line="276" w:lineRule="auto"/>
              <w:jc w:val="both"/>
              <w:rPr>
                <w:rFonts w:eastAsia="Times New Roman" w:cs="Times New Roman"/>
                <w:color w:val="191919"/>
                <w:sz w:val="22"/>
                <w:szCs w:val="22"/>
                <w:lang w:val="en-US" w:eastAsia="en-GB"/>
              </w:rPr>
            </w:pPr>
            <w:r w:rsidRPr="00315DE8">
              <w:rPr>
                <w:rFonts w:eastAsia="Times New Roman" w:cs="Times New Roman"/>
                <w:color w:val="191919"/>
                <w:sz w:val="22"/>
                <w:szCs w:val="22"/>
                <w:lang w:val="en-US" w:eastAsia="en-GB"/>
              </w:rPr>
              <w:t>CSPs</w:t>
            </w:r>
          </w:p>
        </w:tc>
      </w:tr>
      <w:tr w:rsidR="003E4671" w:rsidRPr="00315DE8" w14:paraId="6ED8C2CA" w14:textId="77777777" w:rsidTr="00315DE8">
        <w:trPr>
          <w:jc w:val="center"/>
        </w:trPr>
        <w:tc>
          <w:tcPr>
            <w:tcW w:w="3119" w:type="dxa"/>
            <w:shd w:val="clear" w:color="auto" w:fill="FF0000"/>
          </w:tcPr>
          <w:p w14:paraId="6DBC1676" w14:textId="7235CE66" w:rsidR="003E4671" w:rsidRPr="00315DE8" w:rsidRDefault="003E4671" w:rsidP="00315DE8">
            <w:pPr>
              <w:spacing w:before="100" w:beforeAutospacing="1" w:after="100" w:afterAutospacing="1" w:line="276" w:lineRule="auto"/>
              <w:jc w:val="both"/>
              <w:rPr>
                <w:rFonts w:eastAsia="Times New Roman" w:cs="Times New Roman"/>
                <w:color w:val="191919"/>
                <w:sz w:val="22"/>
                <w:szCs w:val="22"/>
                <w:lang w:val="en-US" w:eastAsia="en-GB"/>
              </w:rPr>
            </w:pPr>
            <w:r w:rsidRPr="00315DE8">
              <w:rPr>
                <w:rFonts w:eastAsia="Times New Roman" w:cs="Times New Roman"/>
                <w:color w:val="191919"/>
                <w:sz w:val="22"/>
                <w:szCs w:val="22"/>
                <w:lang w:val="en-US" w:eastAsia="en-GB"/>
              </w:rPr>
              <w:t xml:space="preserve">Products and Services: </w:t>
            </w:r>
            <w:r w:rsidR="00225F30" w:rsidRPr="00315DE8">
              <w:rPr>
                <w:rFonts w:eastAsia="Times New Roman" w:cs="Times New Roman"/>
                <w:color w:val="191919"/>
                <w:sz w:val="22"/>
                <w:szCs w:val="22"/>
                <w:lang w:val="en-US" w:eastAsia="en-GB"/>
              </w:rPr>
              <w:t>H</w:t>
            </w:r>
            <w:r w:rsidR="002D7891" w:rsidRPr="00315DE8">
              <w:rPr>
                <w:rFonts w:eastAsia="Times New Roman" w:cs="Times New Roman"/>
                <w:color w:val="191919"/>
                <w:sz w:val="22"/>
                <w:szCs w:val="22"/>
                <w:lang w:val="en-US" w:eastAsia="en-GB"/>
              </w:rPr>
              <w:t>igh</w:t>
            </w:r>
          </w:p>
        </w:tc>
        <w:tc>
          <w:tcPr>
            <w:tcW w:w="3680" w:type="dxa"/>
            <w:shd w:val="clear" w:color="auto" w:fill="FFC000"/>
          </w:tcPr>
          <w:p w14:paraId="63B69757" w14:textId="0FA1E6D3" w:rsidR="003E4671" w:rsidRPr="00315DE8" w:rsidRDefault="003E4671" w:rsidP="00315DE8">
            <w:pPr>
              <w:spacing w:before="100" w:beforeAutospacing="1" w:after="100" w:afterAutospacing="1" w:line="276" w:lineRule="auto"/>
              <w:jc w:val="both"/>
              <w:rPr>
                <w:rFonts w:eastAsia="Times New Roman" w:cs="Times New Roman"/>
                <w:color w:val="000000" w:themeColor="text1"/>
                <w:sz w:val="22"/>
                <w:szCs w:val="22"/>
                <w:lang w:val="en-US" w:eastAsia="en-GB"/>
              </w:rPr>
            </w:pPr>
            <w:r w:rsidRPr="00315DE8">
              <w:rPr>
                <w:color w:val="000000" w:themeColor="text1"/>
                <w:sz w:val="22"/>
                <w:szCs w:val="22"/>
                <w:lang w:val="en-US"/>
              </w:rPr>
              <w:t xml:space="preserve">Product and Services: </w:t>
            </w:r>
            <w:r w:rsidR="002D7891" w:rsidRPr="00315DE8">
              <w:rPr>
                <w:color w:val="000000" w:themeColor="text1"/>
                <w:sz w:val="22"/>
                <w:szCs w:val="22"/>
                <w:lang w:val="en-US"/>
              </w:rPr>
              <w:t>Medium High</w:t>
            </w:r>
          </w:p>
        </w:tc>
      </w:tr>
    </w:tbl>
    <w:p w14:paraId="71AFCA8E" w14:textId="7588A136" w:rsidR="0028075B" w:rsidRPr="00C8353A" w:rsidRDefault="00396C68" w:rsidP="00315DE8">
      <w:pPr>
        <w:pStyle w:val="Heading2"/>
        <w:jc w:val="center"/>
        <w:rPr>
          <w:rFonts w:ascii="Verdana" w:hAnsi="Verdana"/>
          <w:b/>
          <w:bCs/>
          <w:sz w:val="20"/>
          <w:szCs w:val="20"/>
          <w:lang w:val="en-US"/>
        </w:rPr>
      </w:pPr>
      <w:r w:rsidRPr="00C8353A">
        <w:rPr>
          <w:rFonts w:ascii="Verdana" w:hAnsi="Verdana"/>
          <w:b/>
          <w:bCs/>
          <w:sz w:val="20"/>
          <w:szCs w:val="20"/>
          <w:lang w:val="en-US"/>
        </w:rPr>
        <w:t xml:space="preserve">Risk Category </w:t>
      </w:r>
      <w:r w:rsidR="00CE4975" w:rsidRPr="00C8353A">
        <w:rPr>
          <w:rFonts w:ascii="Verdana" w:hAnsi="Verdana"/>
          <w:b/>
          <w:bCs/>
          <w:sz w:val="20"/>
          <w:szCs w:val="20"/>
          <w:lang w:val="en-US"/>
        </w:rPr>
        <w:t xml:space="preserve">Delivery </w:t>
      </w:r>
      <w:r w:rsidRPr="00C8353A">
        <w:rPr>
          <w:rFonts w:ascii="Verdana" w:hAnsi="Verdana"/>
          <w:b/>
          <w:bCs/>
          <w:sz w:val="20"/>
          <w:szCs w:val="20"/>
          <w:lang w:val="en-US"/>
        </w:rPr>
        <w:t>C</w:t>
      </w:r>
      <w:r w:rsidR="00CE4975" w:rsidRPr="00C8353A">
        <w:rPr>
          <w:rFonts w:ascii="Verdana" w:hAnsi="Verdana"/>
          <w:b/>
          <w:bCs/>
          <w:sz w:val="20"/>
          <w:szCs w:val="20"/>
          <w:lang w:val="en-US"/>
        </w:rPr>
        <w:t>hannel</w:t>
      </w:r>
      <w:r w:rsidR="00E72460" w:rsidRPr="00C8353A">
        <w:rPr>
          <w:rFonts w:ascii="Verdana" w:hAnsi="Verdana"/>
          <w:b/>
          <w:bCs/>
          <w:sz w:val="20"/>
          <w:szCs w:val="20"/>
          <w:lang w:val="en-US"/>
        </w:rPr>
        <w:t>s</w:t>
      </w:r>
    </w:p>
    <w:p w14:paraId="6B247EA8" w14:textId="77777777" w:rsidR="00AF7952" w:rsidRPr="00C8353A" w:rsidRDefault="00AF7952" w:rsidP="00396C68">
      <w:pPr>
        <w:pStyle w:val="Heading2"/>
        <w:numPr>
          <w:ilvl w:val="0"/>
          <w:numId w:val="0"/>
        </w:numPr>
        <w:rPr>
          <w:rFonts w:ascii="Verdana" w:hAnsi="Verdana"/>
          <w:b/>
          <w:bCs/>
          <w:sz w:val="20"/>
          <w:szCs w:val="20"/>
          <w:u w:val="single"/>
        </w:rPr>
      </w:pPr>
      <w:r w:rsidRPr="00C8353A">
        <w:rPr>
          <w:rFonts w:ascii="Verdana" w:hAnsi="Verdana"/>
          <w:b/>
          <w:bCs/>
          <w:sz w:val="20"/>
          <w:szCs w:val="20"/>
          <w:u w:val="single"/>
        </w:rPr>
        <w:t xml:space="preserve">Face to face </w:t>
      </w:r>
    </w:p>
    <w:p w14:paraId="578F5607" w14:textId="70DE8C1E" w:rsidR="001B1267" w:rsidRPr="00C8353A" w:rsidRDefault="001B1267" w:rsidP="00082EA5">
      <w:pPr>
        <w:pStyle w:val="Heading2"/>
        <w:numPr>
          <w:ilvl w:val="0"/>
          <w:numId w:val="3"/>
        </w:numPr>
        <w:spacing w:line="276" w:lineRule="auto"/>
        <w:ind w:left="0" w:firstLine="0"/>
        <w:jc w:val="both"/>
        <w:rPr>
          <w:rFonts w:ascii="Verdana" w:hAnsi="Verdana"/>
          <w:sz w:val="20"/>
          <w:szCs w:val="20"/>
          <w:lang w:val="en-US"/>
        </w:rPr>
      </w:pPr>
      <w:r w:rsidRPr="00C8353A">
        <w:rPr>
          <w:rFonts w:ascii="Verdana" w:hAnsi="Verdana"/>
          <w:sz w:val="20"/>
          <w:szCs w:val="20"/>
          <w:lang w:val="en-US"/>
        </w:rPr>
        <w:t xml:space="preserve">The delivery channels of the TCSP sector encompass face to face, non-face to face, foreign and local introducers, </w:t>
      </w:r>
      <w:proofErr w:type="gramStart"/>
      <w:r w:rsidRPr="00C8353A">
        <w:rPr>
          <w:rFonts w:ascii="Verdana" w:hAnsi="Verdana"/>
          <w:sz w:val="20"/>
          <w:szCs w:val="20"/>
          <w:lang w:val="en-US"/>
        </w:rPr>
        <w:t>and also</w:t>
      </w:r>
      <w:proofErr w:type="gramEnd"/>
      <w:r w:rsidRPr="00C8353A">
        <w:rPr>
          <w:rFonts w:ascii="Verdana" w:hAnsi="Verdana"/>
          <w:sz w:val="20"/>
          <w:szCs w:val="20"/>
          <w:lang w:val="en-US"/>
        </w:rPr>
        <w:t xml:space="preserve"> a small number of online platforms. Non</w:t>
      </w:r>
      <w:r w:rsidR="00F61A1C" w:rsidRPr="00C8353A">
        <w:rPr>
          <w:rFonts w:ascii="Verdana" w:hAnsi="Verdana"/>
          <w:sz w:val="20"/>
          <w:szCs w:val="20"/>
          <w:lang w:val="en-US"/>
        </w:rPr>
        <w:t>-</w:t>
      </w:r>
      <w:r w:rsidRPr="00C8353A">
        <w:rPr>
          <w:rFonts w:ascii="Verdana" w:hAnsi="Verdana"/>
          <w:sz w:val="20"/>
          <w:szCs w:val="20"/>
          <w:lang w:val="en-US"/>
        </w:rPr>
        <w:t>face to face business is considered higher ML/TF risk to</w:t>
      </w:r>
      <w:r w:rsidR="00F61A1C" w:rsidRPr="00C8353A">
        <w:rPr>
          <w:rFonts w:ascii="Verdana" w:hAnsi="Verdana"/>
          <w:sz w:val="20"/>
          <w:szCs w:val="20"/>
          <w:lang w:val="en-US"/>
        </w:rPr>
        <w:t xml:space="preserve"> business which is conducted in a</w:t>
      </w:r>
      <w:r w:rsidRPr="00C8353A">
        <w:rPr>
          <w:rFonts w:ascii="Verdana" w:hAnsi="Verdana"/>
          <w:sz w:val="20"/>
          <w:szCs w:val="20"/>
          <w:lang w:val="en-US"/>
        </w:rPr>
        <w:t xml:space="preserve"> face to face</w:t>
      </w:r>
      <w:r w:rsidR="00F61A1C" w:rsidRPr="00C8353A">
        <w:rPr>
          <w:rFonts w:ascii="Verdana" w:hAnsi="Verdana"/>
          <w:sz w:val="20"/>
          <w:szCs w:val="20"/>
          <w:lang w:val="en-US"/>
        </w:rPr>
        <w:t xml:space="preserve"> manner</w:t>
      </w:r>
      <w:r w:rsidRPr="00C8353A">
        <w:rPr>
          <w:rFonts w:ascii="Verdana" w:hAnsi="Verdana"/>
          <w:sz w:val="20"/>
          <w:szCs w:val="20"/>
          <w:lang w:val="en-US"/>
        </w:rPr>
        <w:t>.</w:t>
      </w:r>
      <w:r w:rsidR="00F61A1C" w:rsidRPr="00C8353A">
        <w:rPr>
          <w:rFonts w:ascii="Verdana" w:hAnsi="Verdana"/>
          <w:sz w:val="20"/>
          <w:szCs w:val="20"/>
          <w:lang w:val="en-US"/>
        </w:rPr>
        <w:t xml:space="preserve"> The below chart contains a breakdown of those customers who </w:t>
      </w:r>
      <w:r w:rsidR="00856D94" w:rsidRPr="00C8353A">
        <w:rPr>
          <w:rFonts w:ascii="Verdana" w:hAnsi="Verdana"/>
          <w:sz w:val="20"/>
          <w:szCs w:val="20"/>
          <w:lang w:val="en-US"/>
        </w:rPr>
        <w:t xml:space="preserve">were </w:t>
      </w:r>
      <w:r w:rsidR="00F61A1C" w:rsidRPr="00C8353A">
        <w:rPr>
          <w:rFonts w:ascii="Verdana" w:hAnsi="Verdana"/>
          <w:sz w:val="20"/>
          <w:szCs w:val="20"/>
          <w:lang w:val="en-US"/>
        </w:rPr>
        <w:t>dealt</w:t>
      </w:r>
      <w:r w:rsidR="00856D94" w:rsidRPr="00C8353A">
        <w:rPr>
          <w:rFonts w:ascii="Verdana" w:hAnsi="Verdana"/>
          <w:sz w:val="20"/>
          <w:szCs w:val="20"/>
          <w:lang w:val="en-US"/>
        </w:rPr>
        <w:t xml:space="preserve"> with</w:t>
      </w:r>
      <w:r w:rsidR="00F61A1C" w:rsidRPr="00C8353A">
        <w:rPr>
          <w:rFonts w:ascii="Verdana" w:hAnsi="Verdana"/>
          <w:sz w:val="20"/>
          <w:szCs w:val="20"/>
          <w:lang w:val="en-US"/>
        </w:rPr>
        <w:t xml:space="preserve"> both on a face to face and non-face to face basis.</w:t>
      </w:r>
    </w:p>
    <w:p w14:paraId="37E5A8D7" w14:textId="4FF66BB3" w:rsidR="001B1267" w:rsidRDefault="001B1267" w:rsidP="00315DE8">
      <w:pPr>
        <w:pStyle w:val="Heading2"/>
        <w:numPr>
          <w:ilvl w:val="0"/>
          <w:numId w:val="0"/>
        </w:numPr>
        <w:jc w:val="center"/>
        <w:rPr>
          <w:sz w:val="20"/>
          <w:szCs w:val="20"/>
        </w:rPr>
      </w:pPr>
      <w:r>
        <w:rPr>
          <w:noProof/>
        </w:rPr>
        <w:drawing>
          <wp:inline distT="0" distB="0" distL="0" distR="0" wp14:anchorId="3B8E8593" wp14:editId="65A7202F">
            <wp:extent cx="5143500" cy="3648075"/>
            <wp:effectExtent l="0" t="0" r="0" b="9525"/>
            <wp:docPr id="9" name="Chart 9">
              <a:extLst xmlns:a="http://schemas.openxmlformats.org/drawingml/2006/main">
                <a:ext uri="{FF2B5EF4-FFF2-40B4-BE49-F238E27FC236}">
                  <a16:creationId xmlns:a16="http://schemas.microsoft.com/office/drawing/2014/main" id="{DF029FE0-B653-44BE-90B3-61DFAB0841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35F068" w14:textId="77777777" w:rsidR="001B1267" w:rsidRPr="00C8353A" w:rsidRDefault="001B1267" w:rsidP="00396C68">
      <w:pPr>
        <w:pStyle w:val="Heading2"/>
        <w:numPr>
          <w:ilvl w:val="0"/>
          <w:numId w:val="0"/>
        </w:numPr>
        <w:rPr>
          <w:rFonts w:ascii="Verdana" w:hAnsi="Verdana"/>
          <w:sz w:val="20"/>
          <w:szCs w:val="20"/>
        </w:rPr>
      </w:pPr>
    </w:p>
    <w:p w14:paraId="5B79DF31" w14:textId="69F59849" w:rsidR="00DC33E9" w:rsidRPr="00C8353A" w:rsidRDefault="00DC33E9" w:rsidP="00082EA5">
      <w:pPr>
        <w:pStyle w:val="Default"/>
        <w:numPr>
          <w:ilvl w:val="0"/>
          <w:numId w:val="3"/>
        </w:numPr>
        <w:spacing w:line="276" w:lineRule="auto"/>
        <w:ind w:left="0" w:firstLine="0"/>
        <w:jc w:val="both"/>
        <w:rPr>
          <w:rFonts w:eastAsiaTheme="minorEastAsia" w:cstheme="minorHAnsi"/>
          <w:color w:val="auto"/>
          <w:sz w:val="20"/>
          <w:szCs w:val="20"/>
          <w:lang w:val="en-GB" w:eastAsia="zh-TW"/>
        </w:rPr>
      </w:pPr>
      <w:r w:rsidRPr="00C8353A">
        <w:rPr>
          <w:rFonts w:eastAsiaTheme="minorEastAsia" w:cstheme="minorHAnsi"/>
          <w:color w:val="auto"/>
          <w:sz w:val="20"/>
          <w:szCs w:val="20"/>
          <w:lang w:val="en-GB" w:eastAsia="zh-TW"/>
        </w:rPr>
        <w:t>The above table shows the large dependency on non</w:t>
      </w:r>
      <w:r w:rsidR="00F61A1C" w:rsidRPr="00C8353A">
        <w:rPr>
          <w:rFonts w:eastAsiaTheme="minorEastAsia" w:cstheme="minorHAnsi"/>
          <w:color w:val="auto"/>
          <w:sz w:val="20"/>
          <w:szCs w:val="20"/>
          <w:lang w:val="en-GB" w:eastAsia="zh-TW"/>
        </w:rPr>
        <w:t>-</w:t>
      </w:r>
      <w:r w:rsidRPr="00C8353A">
        <w:rPr>
          <w:rFonts w:eastAsiaTheme="minorEastAsia" w:cstheme="minorHAnsi"/>
          <w:color w:val="auto"/>
          <w:sz w:val="20"/>
          <w:szCs w:val="20"/>
          <w:lang w:val="en-GB" w:eastAsia="zh-TW"/>
        </w:rPr>
        <w:t xml:space="preserve">face to face delivery channels for services of registered entities. 77% of TSP activity is non face to face while 62% of </w:t>
      </w:r>
      <w:r w:rsidR="003F6F4A" w:rsidRPr="00C8353A">
        <w:rPr>
          <w:rFonts w:eastAsiaTheme="minorEastAsia" w:cstheme="minorHAnsi"/>
          <w:color w:val="auto"/>
          <w:sz w:val="20"/>
          <w:szCs w:val="20"/>
          <w:lang w:val="en-GB" w:eastAsia="zh-TW"/>
        </w:rPr>
        <w:t>CSP</w:t>
      </w:r>
      <w:r w:rsidR="00AF28C2" w:rsidRPr="00C8353A">
        <w:rPr>
          <w:rFonts w:eastAsiaTheme="minorEastAsia" w:cstheme="minorHAnsi"/>
          <w:color w:val="auto"/>
          <w:sz w:val="20"/>
          <w:szCs w:val="20"/>
          <w:lang w:val="en-GB" w:eastAsia="zh-TW"/>
        </w:rPr>
        <w:t xml:space="preserve"> is non face to face. </w:t>
      </w:r>
      <w:r w:rsidR="002D08BB" w:rsidRPr="00C8353A">
        <w:rPr>
          <w:rFonts w:eastAsiaTheme="minorEastAsia" w:cstheme="minorHAnsi"/>
          <w:color w:val="auto"/>
          <w:sz w:val="20"/>
          <w:szCs w:val="20"/>
          <w:lang w:val="en-GB" w:eastAsia="zh-TW"/>
        </w:rPr>
        <w:t>A business relationship which is conducted on a</w:t>
      </w:r>
      <w:r w:rsidR="00E61B4E" w:rsidRPr="00C8353A">
        <w:rPr>
          <w:rFonts w:eastAsiaTheme="minorEastAsia" w:cstheme="minorHAnsi"/>
          <w:color w:val="auto"/>
          <w:sz w:val="20"/>
          <w:szCs w:val="20"/>
          <w:lang w:val="en-GB" w:eastAsia="zh-TW"/>
        </w:rPr>
        <w:t xml:space="preserve"> non- face to face</w:t>
      </w:r>
      <w:r w:rsidR="002D08BB" w:rsidRPr="00C8353A">
        <w:rPr>
          <w:rFonts w:eastAsiaTheme="minorEastAsia" w:cstheme="minorHAnsi"/>
          <w:color w:val="auto"/>
          <w:sz w:val="20"/>
          <w:szCs w:val="20"/>
          <w:lang w:val="en-GB" w:eastAsia="zh-TW"/>
        </w:rPr>
        <w:t xml:space="preserve"> basis is considered higher risk where the client is not physically present for identification purposes. </w:t>
      </w:r>
      <w:r w:rsidR="0096656B" w:rsidRPr="00C8353A">
        <w:rPr>
          <w:rFonts w:eastAsiaTheme="minorEastAsia" w:cstheme="minorHAnsi"/>
          <w:color w:val="auto"/>
          <w:sz w:val="20"/>
          <w:szCs w:val="20"/>
          <w:lang w:val="en-GB" w:eastAsia="zh-TW"/>
        </w:rPr>
        <w:t xml:space="preserve">7 CSPs accepts clients from online platforms while 2 TSPs accept clients from online platforms.  Of the 9 entities that accepts clients from online platforms, this encompasses 20 relationships with high risk jurisdictions.  The provision of online and virtual services makes the effectiveness of AML/CFT activities more challenging, </w:t>
      </w:r>
      <w:proofErr w:type="gramStart"/>
      <w:r w:rsidR="0096656B" w:rsidRPr="00C8353A">
        <w:rPr>
          <w:rFonts w:eastAsiaTheme="minorEastAsia" w:cstheme="minorHAnsi"/>
          <w:color w:val="auto"/>
          <w:sz w:val="20"/>
          <w:szCs w:val="20"/>
          <w:lang w:val="en-GB" w:eastAsia="zh-TW"/>
        </w:rPr>
        <w:t>in particular the</w:t>
      </w:r>
      <w:proofErr w:type="gramEnd"/>
      <w:r w:rsidR="0096656B" w:rsidRPr="00C8353A">
        <w:rPr>
          <w:rFonts w:eastAsiaTheme="minorEastAsia" w:cstheme="minorHAnsi"/>
          <w:color w:val="auto"/>
          <w:sz w:val="20"/>
          <w:szCs w:val="20"/>
          <w:lang w:val="en-GB" w:eastAsia="zh-TW"/>
        </w:rPr>
        <w:t xml:space="preserve"> ability for TCSPs to accurately perform CDD to identify the ultimate beneficial owner</w:t>
      </w:r>
    </w:p>
    <w:p w14:paraId="1415DF86" w14:textId="77777777" w:rsidR="0096656B" w:rsidRPr="00C8353A" w:rsidRDefault="0096656B" w:rsidP="00082EA5">
      <w:pPr>
        <w:pStyle w:val="Default"/>
        <w:spacing w:line="276" w:lineRule="auto"/>
        <w:jc w:val="both"/>
        <w:rPr>
          <w:rFonts w:eastAsiaTheme="minorEastAsia" w:cstheme="minorBidi"/>
          <w:color w:val="auto"/>
          <w:sz w:val="20"/>
          <w:szCs w:val="20"/>
          <w:lang w:val="en-GB" w:eastAsia="zh-TW"/>
        </w:rPr>
      </w:pPr>
    </w:p>
    <w:p w14:paraId="53B3C91B" w14:textId="22EB14D3" w:rsidR="00225F30" w:rsidRPr="00C8353A" w:rsidRDefault="004B73BF" w:rsidP="00082EA5">
      <w:pPr>
        <w:pStyle w:val="Default"/>
        <w:numPr>
          <w:ilvl w:val="0"/>
          <w:numId w:val="3"/>
        </w:numPr>
        <w:spacing w:line="276" w:lineRule="auto"/>
        <w:ind w:left="0" w:firstLine="0"/>
        <w:jc w:val="both"/>
        <w:rPr>
          <w:rFonts w:eastAsiaTheme="minorEastAsia" w:cstheme="minorHAnsi"/>
          <w:color w:val="auto"/>
          <w:sz w:val="20"/>
          <w:szCs w:val="20"/>
          <w:lang w:val="en-GB" w:eastAsia="zh-TW"/>
        </w:rPr>
      </w:pPr>
      <w:r w:rsidRPr="00C8353A">
        <w:rPr>
          <w:rFonts w:eastAsiaTheme="minorEastAsia" w:cstheme="minorHAnsi"/>
          <w:color w:val="auto"/>
          <w:sz w:val="20"/>
          <w:szCs w:val="20"/>
          <w:lang w:val="en-GB" w:eastAsia="zh-TW"/>
        </w:rPr>
        <w:t xml:space="preserve">Business is taken on from </w:t>
      </w:r>
      <w:proofErr w:type="gramStart"/>
      <w:r w:rsidRPr="00C8353A">
        <w:rPr>
          <w:rFonts w:eastAsiaTheme="minorEastAsia" w:cstheme="minorHAnsi"/>
          <w:color w:val="auto"/>
          <w:sz w:val="20"/>
          <w:szCs w:val="20"/>
          <w:lang w:val="en-GB" w:eastAsia="zh-TW"/>
        </w:rPr>
        <w:t>a number of</w:t>
      </w:r>
      <w:proofErr w:type="gramEnd"/>
      <w:r w:rsidRPr="00C8353A">
        <w:rPr>
          <w:rFonts w:eastAsiaTheme="minorEastAsia" w:cstheme="minorHAnsi"/>
          <w:color w:val="auto"/>
          <w:sz w:val="20"/>
          <w:szCs w:val="20"/>
          <w:lang w:val="en-GB" w:eastAsia="zh-TW"/>
        </w:rPr>
        <w:t xml:space="preserve"> international jurisdictions, of the 232 responses received to this question, 4 TSPs and 7 CSPs </w:t>
      </w:r>
      <w:r w:rsidR="00F73832" w:rsidRPr="00C8353A">
        <w:rPr>
          <w:rFonts w:eastAsiaTheme="minorEastAsia" w:cstheme="minorHAnsi"/>
          <w:color w:val="auto"/>
          <w:sz w:val="20"/>
          <w:szCs w:val="20"/>
          <w:lang w:val="en-GB" w:eastAsia="zh-TW"/>
        </w:rPr>
        <w:t xml:space="preserve">have </w:t>
      </w:r>
      <w:r w:rsidRPr="00C8353A">
        <w:rPr>
          <w:rFonts w:eastAsiaTheme="minorEastAsia" w:cstheme="minorHAnsi"/>
          <w:color w:val="auto"/>
          <w:sz w:val="20"/>
          <w:szCs w:val="20"/>
          <w:lang w:val="en-GB" w:eastAsia="zh-TW"/>
        </w:rPr>
        <w:t xml:space="preserve">taken on business from high risk jurisdictions. </w:t>
      </w:r>
    </w:p>
    <w:p w14:paraId="5D47AECD" w14:textId="77777777" w:rsidR="00225F30" w:rsidRPr="00C8353A" w:rsidRDefault="00225F30" w:rsidP="00315DE8">
      <w:pPr>
        <w:pStyle w:val="Default"/>
        <w:spacing w:line="276" w:lineRule="auto"/>
        <w:jc w:val="both"/>
        <w:rPr>
          <w:rFonts w:eastAsiaTheme="minorEastAsia" w:cstheme="minorHAnsi"/>
          <w:b/>
          <w:bCs/>
          <w:color w:val="auto"/>
          <w:sz w:val="20"/>
          <w:szCs w:val="20"/>
          <w:lang w:val="en-GB" w:eastAsia="zh-TW"/>
        </w:rPr>
      </w:pPr>
    </w:p>
    <w:p w14:paraId="22BD3395" w14:textId="2F8AB620" w:rsidR="00DC33E9" w:rsidRPr="00C8353A" w:rsidRDefault="004B73BF" w:rsidP="00315DE8">
      <w:pPr>
        <w:pStyle w:val="Default"/>
        <w:spacing w:line="276" w:lineRule="auto"/>
        <w:jc w:val="both"/>
        <w:rPr>
          <w:rFonts w:eastAsiaTheme="minorEastAsia" w:cstheme="minorHAnsi"/>
          <w:b/>
          <w:bCs/>
          <w:color w:val="auto"/>
          <w:sz w:val="20"/>
          <w:szCs w:val="20"/>
          <w:lang w:val="en-GB" w:eastAsia="zh-TW"/>
        </w:rPr>
      </w:pPr>
      <w:r w:rsidRPr="00C8353A">
        <w:rPr>
          <w:rFonts w:eastAsiaTheme="minorEastAsia" w:cstheme="minorHAnsi"/>
          <w:b/>
          <w:bCs/>
          <w:color w:val="auto"/>
          <w:sz w:val="20"/>
          <w:szCs w:val="20"/>
          <w:lang w:val="en-GB" w:eastAsia="zh-TW"/>
        </w:rPr>
        <w:t>Outsourced activities</w:t>
      </w:r>
    </w:p>
    <w:p w14:paraId="7779AA6F" w14:textId="77777777" w:rsidR="00315DE8" w:rsidRPr="00C8353A" w:rsidRDefault="00315DE8" w:rsidP="00315DE8">
      <w:pPr>
        <w:pStyle w:val="Default"/>
        <w:spacing w:line="276" w:lineRule="auto"/>
        <w:jc w:val="both"/>
        <w:rPr>
          <w:rFonts w:eastAsiaTheme="minorEastAsia" w:cstheme="minorHAnsi"/>
          <w:b/>
          <w:bCs/>
          <w:color w:val="auto"/>
          <w:sz w:val="20"/>
          <w:szCs w:val="20"/>
          <w:lang w:val="en-GB" w:eastAsia="zh-TW"/>
        </w:rPr>
      </w:pPr>
    </w:p>
    <w:p w14:paraId="42E3FF22" w14:textId="2209E2D7" w:rsidR="004B73BF" w:rsidRPr="00C8353A" w:rsidRDefault="004B73BF" w:rsidP="00082EA5">
      <w:pPr>
        <w:pStyle w:val="Default"/>
        <w:numPr>
          <w:ilvl w:val="0"/>
          <w:numId w:val="3"/>
        </w:numPr>
        <w:spacing w:line="276" w:lineRule="auto"/>
        <w:ind w:left="0" w:firstLine="0"/>
        <w:jc w:val="both"/>
        <w:rPr>
          <w:rFonts w:eastAsiaTheme="minorEastAsia" w:cstheme="minorHAnsi"/>
          <w:color w:val="auto"/>
          <w:sz w:val="20"/>
          <w:szCs w:val="20"/>
          <w:lang w:val="en-GB" w:eastAsia="zh-TW"/>
        </w:rPr>
      </w:pPr>
      <w:proofErr w:type="gramStart"/>
      <w:r w:rsidRPr="00C8353A">
        <w:rPr>
          <w:rFonts w:eastAsiaTheme="minorEastAsia" w:cstheme="minorHAnsi"/>
          <w:color w:val="auto"/>
          <w:sz w:val="20"/>
          <w:szCs w:val="20"/>
          <w:lang w:val="en-GB" w:eastAsia="zh-TW"/>
        </w:rPr>
        <w:t>A number of</w:t>
      </w:r>
      <w:proofErr w:type="gramEnd"/>
      <w:r w:rsidRPr="00C8353A">
        <w:rPr>
          <w:rFonts w:eastAsiaTheme="minorEastAsia" w:cstheme="minorHAnsi"/>
          <w:color w:val="auto"/>
          <w:sz w:val="20"/>
          <w:szCs w:val="20"/>
          <w:lang w:val="en-GB" w:eastAsia="zh-TW"/>
        </w:rPr>
        <w:t xml:space="preserve"> entities outsource activities internationally. </w:t>
      </w:r>
      <w:r w:rsidR="00D343B8" w:rsidRPr="00C8353A">
        <w:rPr>
          <w:rFonts w:eastAsiaTheme="minorEastAsia" w:cstheme="minorHAnsi"/>
          <w:color w:val="auto"/>
          <w:sz w:val="20"/>
          <w:szCs w:val="20"/>
          <w:lang w:val="en-GB" w:eastAsia="zh-TW"/>
        </w:rPr>
        <w:t>The below chart breaks down the various activities outsourced by registered entities. These</w:t>
      </w:r>
      <w:r w:rsidR="003C3C5B" w:rsidRPr="00C8353A">
        <w:rPr>
          <w:rFonts w:eastAsiaTheme="minorEastAsia" w:cstheme="minorHAnsi"/>
          <w:color w:val="auto"/>
          <w:sz w:val="20"/>
          <w:szCs w:val="20"/>
          <w:lang w:val="en-GB" w:eastAsia="zh-TW"/>
        </w:rPr>
        <w:t xml:space="preserve"> activities</w:t>
      </w:r>
      <w:r w:rsidR="00D343B8" w:rsidRPr="00C8353A">
        <w:rPr>
          <w:rFonts w:eastAsiaTheme="minorEastAsia" w:cstheme="minorHAnsi"/>
          <w:color w:val="auto"/>
          <w:sz w:val="20"/>
          <w:szCs w:val="20"/>
          <w:lang w:val="en-GB" w:eastAsia="zh-TW"/>
        </w:rPr>
        <w:t xml:space="preserve"> are not outsourced to high risk jurisdictions</w:t>
      </w:r>
      <w:r w:rsidR="00E3638B" w:rsidRPr="00C8353A">
        <w:rPr>
          <w:rFonts w:eastAsiaTheme="minorEastAsia" w:cstheme="minorHAnsi"/>
          <w:color w:val="auto"/>
          <w:sz w:val="20"/>
          <w:szCs w:val="20"/>
          <w:lang w:val="en-GB" w:eastAsia="zh-TW"/>
        </w:rPr>
        <w:t>.</w:t>
      </w:r>
      <w:r w:rsidR="00F73832" w:rsidRPr="00C8353A">
        <w:rPr>
          <w:rFonts w:eastAsiaTheme="minorEastAsia" w:cstheme="minorHAnsi"/>
          <w:color w:val="auto"/>
          <w:sz w:val="20"/>
          <w:szCs w:val="20"/>
          <w:lang w:val="en-GB" w:eastAsia="zh-TW"/>
        </w:rPr>
        <w:t xml:space="preserve"> Outsourcing of activities by TCSPs carries a risk and places an obligation on these entities to assess any parties performing services on their behalf and to maintain oversight of all outsourced activities. </w:t>
      </w:r>
      <w:r w:rsidR="003C3C5B" w:rsidRPr="00C8353A">
        <w:rPr>
          <w:rFonts w:eastAsiaTheme="minorEastAsia" w:cstheme="minorHAnsi"/>
          <w:color w:val="auto"/>
          <w:sz w:val="20"/>
          <w:szCs w:val="20"/>
          <w:lang w:val="en-GB" w:eastAsia="zh-TW"/>
        </w:rPr>
        <w:t xml:space="preserve">The chart below contains a breakdown of the activities outsourced by registered entities. </w:t>
      </w:r>
    </w:p>
    <w:p w14:paraId="705008F3" w14:textId="77777777" w:rsidR="00225F30" w:rsidRPr="00C8353A" w:rsidRDefault="00225F30" w:rsidP="00225F30">
      <w:pPr>
        <w:pStyle w:val="Default"/>
        <w:ind w:left="360"/>
        <w:rPr>
          <w:rFonts w:eastAsiaTheme="minorEastAsia" w:cstheme="minorHAnsi"/>
          <w:color w:val="auto"/>
          <w:sz w:val="20"/>
          <w:szCs w:val="20"/>
          <w:lang w:val="en-GB" w:eastAsia="zh-TW"/>
        </w:rPr>
      </w:pPr>
    </w:p>
    <w:p w14:paraId="4EF9C3E9" w14:textId="77777777" w:rsidR="00D343B8" w:rsidRPr="00C8353A" w:rsidRDefault="00D343B8" w:rsidP="001B1267">
      <w:pPr>
        <w:pStyle w:val="Default"/>
        <w:rPr>
          <w:rFonts w:eastAsiaTheme="minorEastAsia" w:cstheme="minorBidi"/>
          <w:color w:val="auto"/>
          <w:sz w:val="20"/>
          <w:szCs w:val="20"/>
          <w:lang w:val="en-GB" w:eastAsia="zh-TW"/>
        </w:rPr>
      </w:pPr>
    </w:p>
    <w:p w14:paraId="3A12724C" w14:textId="1884D39F" w:rsidR="00D343B8" w:rsidRPr="004B73BF" w:rsidRDefault="00D343B8" w:rsidP="00315DE8">
      <w:pPr>
        <w:pStyle w:val="Default"/>
        <w:jc w:val="center"/>
        <w:rPr>
          <w:rFonts w:ascii="Calibri" w:eastAsiaTheme="minorEastAsia" w:hAnsi="Calibri" w:cstheme="minorBidi"/>
          <w:color w:val="auto"/>
          <w:sz w:val="20"/>
          <w:szCs w:val="20"/>
          <w:lang w:val="en-GB" w:eastAsia="zh-TW"/>
        </w:rPr>
      </w:pPr>
      <w:r>
        <w:rPr>
          <w:noProof/>
        </w:rPr>
        <w:drawing>
          <wp:inline distT="0" distB="0" distL="0" distR="0" wp14:anchorId="3AB72C4A" wp14:editId="22B99332">
            <wp:extent cx="4572000" cy="2743200"/>
            <wp:effectExtent l="0" t="0" r="0" b="0"/>
            <wp:docPr id="12" name="Chart 12">
              <a:extLst xmlns:a="http://schemas.openxmlformats.org/drawingml/2006/main">
                <a:ext uri="{FF2B5EF4-FFF2-40B4-BE49-F238E27FC236}">
                  <a16:creationId xmlns:a16="http://schemas.microsoft.com/office/drawing/2014/main" id="{CCAE96D1-4308-42D8-9DC6-66093B14D4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0DBA1B" w14:textId="77777777" w:rsidR="00AF7952" w:rsidRDefault="00AF7952" w:rsidP="001B1267">
      <w:pPr>
        <w:pStyle w:val="Default"/>
        <w:rPr>
          <w:rFonts w:ascii="Calibri" w:eastAsiaTheme="minorEastAsia" w:hAnsi="Calibri" w:cstheme="minorBidi"/>
          <w:b/>
          <w:bCs/>
          <w:color w:val="auto"/>
          <w:sz w:val="20"/>
          <w:szCs w:val="20"/>
          <w:lang w:val="en-GB" w:eastAsia="zh-TW"/>
        </w:rPr>
      </w:pPr>
    </w:p>
    <w:p w14:paraId="78D4F5E1" w14:textId="32871374" w:rsidR="006F3B84" w:rsidRPr="00C8353A" w:rsidRDefault="006F3B84" w:rsidP="00315DE8">
      <w:pPr>
        <w:spacing w:before="100" w:beforeAutospacing="1" w:after="100" w:afterAutospacing="1" w:line="276" w:lineRule="auto"/>
        <w:jc w:val="both"/>
        <w:rPr>
          <w:rFonts w:ascii="Verdana" w:eastAsiaTheme="minorEastAsia" w:hAnsi="Verdana" w:cstheme="minorHAnsi"/>
          <w:b/>
          <w:bCs/>
          <w:sz w:val="20"/>
          <w:szCs w:val="20"/>
          <w:u w:val="single"/>
          <w:lang w:eastAsia="zh-TW"/>
        </w:rPr>
      </w:pPr>
      <w:r w:rsidRPr="00C8353A">
        <w:rPr>
          <w:rFonts w:ascii="Verdana" w:eastAsiaTheme="minorEastAsia" w:hAnsi="Verdana" w:cstheme="minorHAnsi"/>
          <w:b/>
          <w:bCs/>
          <w:sz w:val="20"/>
          <w:szCs w:val="20"/>
          <w:u w:val="single"/>
          <w:lang w:eastAsia="zh-TW"/>
        </w:rPr>
        <w:t xml:space="preserve">Eligible introducers </w:t>
      </w:r>
    </w:p>
    <w:p w14:paraId="3AD2434E" w14:textId="79169EEF" w:rsidR="00FF4E0F" w:rsidRPr="00C8353A" w:rsidRDefault="006F3B84" w:rsidP="00082EA5">
      <w:pPr>
        <w:pStyle w:val="ListParagraph"/>
        <w:numPr>
          <w:ilvl w:val="0"/>
          <w:numId w:val="3"/>
        </w:numPr>
        <w:spacing w:before="100" w:beforeAutospacing="1" w:after="100" w:afterAutospacing="1" w:line="276" w:lineRule="auto"/>
        <w:ind w:left="0" w:firstLine="0"/>
        <w:jc w:val="both"/>
        <w:rPr>
          <w:rFonts w:ascii="Verdana" w:eastAsiaTheme="minorEastAsia" w:hAnsi="Verdana" w:cstheme="minorHAnsi"/>
          <w:sz w:val="20"/>
          <w:szCs w:val="20"/>
          <w:lang w:eastAsia="zh-TW"/>
        </w:rPr>
      </w:pPr>
      <w:r w:rsidRPr="00C8353A">
        <w:rPr>
          <w:rFonts w:ascii="Verdana" w:eastAsiaTheme="minorEastAsia" w:hAnsi="Verdana" w:cstheme="minorHAnsi"/>
          <w:sz w:val="20"/>
          <w:szCs w:val="20"/>
          <w:lang w:eastAsia="zh-TW"/>
        </w:rPr>
        <w:t xml:space="preserve">33,400 clients of registered entities rely on introducer relationships, </w:t>
      </w:r>
      <w:r w:rsidR="00FF4E0F" w:rsidRPr="00C8353A">
        <w:rPr>
          <w:rFonts w:ascii="Verdana" w:eastAsiaTheme="minorEastAsia" w:hAnsi="Verdana" w:cstheme="minorHAnsi"/>
          <w:sz w:val="20"/>
          <w:szCs w:val="20"/>
          <w:lang w:eastAsia="zh-TW"/>
        </w:rPr>
        <w:t>32,190</w:t>
      </w:r>
      <w:r w:rsidRPr="00C8353A">
        <w:rPr>
          <w:rFonts w:ascii="Verdana" w:eastAsiaTheme="minorEastAsia" w:hAnsi="Verdana" w:cstheme="minorHAnsi"/>
          <w:sz w:val="20"/>
          <w:szCs w:val="20"/>
          <w:lang w:eastAsia="zh-TW"/>
        </w:rPr>
        <w:t xml:space="preserve"> of these are through relationships with lawyers, </w:t>
      </w:r>
      <w:r w:rsidR="00FF4E0F" w:rsidRPr="00C8353A">
        <w:rPr>
          <w:rFonts w:ascii="Verdana" w:eastAsiaTheme="minorEastAsia" w:hAnsi="Verdana" w:cstheme="minorHAnsi"/>
          <w:sz w:val="20"/>
          <w:szCs w:val="20"/>
          <w:lang w:eastAsia="zh-TW"/>
        </w:rPr>
        <w:t xml:space="preserve">82% of these relationships are within the TSP sub sector. </w:t>
      </w:r>
    </w:p>
    <w:p w14:paraId="54B1834F" w14:textId="77777777" w:rsidR="00225F30" w:rsidRPr="00C8353A" w:rsidRDefault="00225F30" w:rsidP="00082EA5">
      <w:pPr>
        <w:pStyle w:val="ListParagraph"/>
        <w:spacing w:before="100" w:beforeAutospacing="1" w:after="100" w:afterAutospacing="1" w:line="276" w:lineRule="auto"/>
        <w:ind w:left="0"/>
        <w:jc w:val="both"/>
        <w:rPr>
          <w:rFonts w:ascii="Verdana" w:eastAsiaTheme="minorEastAsia" w:hAnsi="Verdana" w:cstheme="minorHAnsi"/>
          <w:sz w:val="20"/>
          <w:szCs w:val="20"/>
          <w:lang w:eastAsia="zh-TW"/>
        </w:rPr>
      </w:pPr>
    </w:p>
    <w:p w14:paraId="2036CDAD" w14:textId="5F117448" w:rsidR="00225F30" w:rsidRPr="00C8353A" w:rsidRDefault="006176F2" w:rsidP="00082EA5">
      <w:pPr>
        <w:pStyle w:val="ListParagraph"/>
        <w:numPr>
          <w:ilvl w:val="0"/>
          <w:numId w:val="3"/>
        </w:numPr>
        <w:spacing w:before="100" w:beforeAutospacing="1" w:after="100" w:afterAutospacing="1" w:line="276" w:lineRule="auto"/>
        <w:ind w:left="0" w:firstLine="0"/>
        <w:jc w:val="both"/>
        <w:rPr>
          <w:rFonts w:ascii="Verdana" w:eastAsiaTheme="minorEastAsia" w:hAnsi="Verdana" w:cstheme="minorHAnsi"/>
          <w:sz w:val="20"/>
          <w:szCs w:val="20"/>
          <w:lang w:eastAsia="zh-TW"/>
        </w:rPr>
      </w:pPr>
      <w:r w:rsidRPr="00C8353A">
        <w:rPr>
          <w:rFonts w:ascii="Verdana" w:eastAsiaTheme="minorEastAsia" w:hAnsi="Verdana" w:cstheme="minorHAnsi"/>
          <w:sz w:val="20"/>
          <w:szCs w:val="20"/>
          <w:lang w:eastAsia="zh-TW"/>
        </w:rPr>
        <w:t>There are 40</w:t>
      </w:r>
      <w:r w:rsidR="00FF4E0F" w:rsidRPr="00C8353A">
        <w:rPr>
          <w:rFonts w:ascii="Verdana" w:eastAsiaTheme="minorEastAsia" w:hAnsi="Verdana" w:cstheme="minorHAnsi"/>
          <w:sz w:val="20"/>
          <w:szCs w:val="20"/>
          <w:lang w:eastAsia="zh-TW"/>
        </w:rPr>
        <w:t xml:space="preserve"> </w:t>
      </w:r>
      <w:r w:rsidRPr="00C8353A">
        <w:rPr>
          <w:rFonts w:ascii="Verdana" w:eastAsiaTheme="minorEastAsia" w:hAnsi="Verdana" w:cstheme="minorHAnsi"/>
          <w:sz w:val="20"/>
          <w:szCs w:val="20"/>
          <w:lang w:eastAsia="zh-TW"/>
        </w:rPr>
        <w:t>relationships with introducers</w:t>
      </w:r>
      <w:r w:rsidR="00FF4E0F" w:rsidRPr="00C8353A">
        <w:rPr>
          <w:rFonts w:ascii="Verdana" w:eastAsiaTheme="minorEastAsia" w:hAnsi="Verdana" w:cstheme="minorHAnsi"/>
          <w:sz w:val="20"/>
          <w:szCs w:val="20"/>
          <w:lang w:eastAsia="zh-TW"/>
        </w:rPr>
        <w:t xml:space="preserve"> within the group</w:t>
      </w:r>
      <w:r w:rsidRPr="00C8353A">
        <w:rPr>
          <w:rFonts w:ascii="Verdana" w:eastAsiaTheme="minorEastAsia" w:hAnsi="Verdana" w:cstheme="minorHAnsi"/>
          <w:sz w:val="20"/>
          <w:szCs w:val="20"/>
          <w:lang w:eastAsia="zh-TW"/>
        </w:rPr>
        <w:t xml:space="preserve"> company</w:t>
      </w:r>
      <w:r w:rsidR="00FF4E0F" w:rsidRPr="00C8353A">
        <w:rPr>
          <w:rFonts w:ascii="Verdana" w:eastAsiaTheme="minorEastAsia" w:hAnsi="Verdana" w:cstheme="minorHAnsi"/>
          <w:sz w:val="20"/>
          <w:szCs w:val="20"/>
          <w:lang w:eastAsia="zh-TW"/>
        </w:rPr>
        <w:t>. 5 of these relationships are with entities in high risk jurisdictions.</w:t>
      </w:r>
      <w:r w:rsidR="00CA6C3E" w:rsidRPr="00C8353A">
        <w:rPr>
          <w:rFonts w:ascii="Verdana" w:eastAsiaTheme="minorEastAsia" w:hAnsi="Verdana" w:cstheme="minorHAnsi"/>
          <w:sz w:val="20"/>
          <w:szCs w:val="20"/>
          <w:lang w:eastAsia="zh-TW"/>
        </w:rPr>
        <w:t xml:space="preserve"> While </w:t>
      </w:r>
      <w:r w:rsidR="00FE5B1A" w:rsidRPr="00C8353A">
        <w:rPr>
          <w:rFonts w:ascii="Verdana" w:eastAsiaTheme="minorEastAsia" w:hAnsi="Verdana" w:cstheme="minorHAnsi"/>
          <w:sz w:val="20"/>
          <w:szCs w:val="20"/>
          <w:lang w:eastAsia="zh-TW"/>
        </w:rPr>
        <w:t xml:space="preserve">using </w:t>
      </w:r>
      <w:r w:rsidR="00CA6C3E" w:rsidRPr="00C8353A">
        <w:rPr>
          <w:rFonts w:ascii="Verdana" w:eastAsiaTheme="minorEastAsia" w:hAnsi="Verdana" w:cstheme="minorHAnsi"/>
          <w:sz w:val="20"/>
          <w:szCs w:val="20"/>
          <w:lang w:eastAsia="zh-TW"/>
        </w:rPr>
        <w:t xml:space="preserve">the services of a </w:t>
      </w:r>
      <w:proofErr w:type="gramStart"/>
      <w:r w:rsidR="00CA6C3E" w:rsidRPr="00C8353A">
        <w:rPr>
          <w:rFonts w:ascii="Verdana" w:eastAsiaTheme="minorEastAsia" w:hAnsi="Verdana" w:cstheme="minorHAnsi"/>
          <w:sz w:val="20"/>
          <w:szCs w:val="20"/>
          <w:lang w:eastAsia="zh-TW"/>
        </w:rPr>
        <w:t>third party</w:t>
      </w:r>
      <w:proofErr w:type="gramEnd"/>
      <w:r w:rsidR="00CA6C3E" w:rsidRPr="00C8353A">
        <w:rPr>
          <w:rFonts w:ascii="Verdana" w:eastAsiaTheme="minorEastAsia" w:hAnsi="Verdana" w:cstheme="minorHAnsi"/>
          <w:sz w:val="20"/>
          <w:szCs w:val="20"/>
          <w:lang w:eastAsia="zh-TW"/>
        </w:rPr>
        <w:t xml:space="preserve"> introducer belonging to the</w:t>
      </w:r>
      <w:r w:rsidR="00FE5B1A" w:rsidRPr="00C8353A">
        <w:rPr>
          <w:rFonts w:ascii="Verdana" w:eastAsiaTheme="minorEastAsia" w:hAnsi="Verdana" w:cstheme="minorHAnsi"/>
          <w:sz w:val="20"/>
          <w:szCs w:val="20"/>
          <w:lang w:eastAsia="zh-TW"/>
        </w:rPr>
        <w:t xml:space="preserve"> </w:t>
      </w:r>
      <w:r w:rsidR="00CA6C3E" w:rsidRPr="00C8353A">
        <w:rPr>
          <w:rFonts w:ascii="Verdana" w:eastAsiaTheme="minorEastAsia" w:hAnsi="Verdana" w:cstheme="minorHAnsi"/>
          <w:sz w:val="20"/>
          <w:szCs w:val="20"/>
          <w:lang w:eastAsia="zh-TW"/>
        </w:rPr>
        <w:t xml:space="preserve">same group, </w:t>
      </w:r>
      <w:r w:rsidR="00FE5B1A" w:rsidRPr="00C8353A">
        <w:rPr>
          <w:rFonts w:ascii="Verdana" w:eastAsiaTheme="minorEastAsia" w:hAnsi="Verdana" w:cstheme="minorHAnsi"/>
          <w:sz w:val="20"/>
          <w:szCs w:val="20"/>
          <w:lang w:eastAsia="zh-TW"/>
        </w:rPr>
        <w:t xml:space="preserve">is lower risk provided that these introducers are subject to similar AML/CFT obligations, relationships in high risk jurisdictions </w:t>
      </w:r>
      <w:r w:rsidR="00225F30" w:rsidRPr="00C8353A">
        <w:rPr>
          <w:rFonts w:ascii="Verdana" w:eastAsiaTheme="minorEastAsia" w:hAnsi="Verdana" w:cstheme="minorHAnsi"/>
          <w:sz w:val="20"/>
          <w:szCs w:val="20"/>
          <w:lang w:eastAsia="zh-TW"/>
        </w:rPr>
        <w:t>may be</w:t>
      </w:r>
      <w:r w:rsidR="00FE5B1A" w:rsidRPr="00C8353A">
        <w:rPr>
          <w:rFonts w:ascii="Verdana" w:eastAsiaTheme="minorEastAsia" w:hAnsi="Verdana" w:cstheme="minorHAnsi"/>
          <w:sz w:val="20"/>
          <w:szCs w:val="20"/>
          <w:lang w:eastAsia="zh-TW"/>
        </w:rPr>
        <w:t xml:space="preserve"> considered high risk. </w:t>
      </w:r>
    </w:p>
    <w:p w14:paraId="1D1053DC" w14:textId="77777777" w:rsidR="00225F30" w:rsidRPr="00C8353A" w:rsidRDefault="00225F30" w:rsidP="00082EA5">
      <w:pPr>
        <w:pStyle w:val="ListParagraph"/>
        <w:spacing w:line="276" w:lineRule="auto"/>
        <w:ind w:left="0"/>
        <w:jc w:val="both"/>
        <w:rPr>
          <w:rFonts w:ascii="Verdana" w:eastAsiaTheme="minorEastAsia" w:hAnsi="Verdana" w:cstheme="minorHAnsi"/>
          <w:sz w:val="20"/>
          <w:szCs w:val="20"/>
          <w:lang w:eastAsia="zh-TW"/>
        </w:rPr>
      </w:pPr>
    </w:p>
    <w:p w14:paraId="59486AD1" w14:textId="77777777" w:rsidR="00225F30" w:rsidRPr="00C8353A" w:rsidRDefault="00225F30" w:rsidP="00082EA5">
      <w:pPr>
        <w:pStyle w:val="ListParagraph"/>
        <w:spacing w:before="100" w:beforeAutospacing="1" w:after="100" w:afterAutospacing="1" w:line="276" w:lineRule="auto"/>
        <w:ind w:left="0"/>
        <w:jc w:val="both"/>
        <w:rPr>
          <w:rFonts w:ascii="Verdana" w:eastAsiaTheme="minorEastAsia" w:hAnsi="Verdana" w:cstheme="minorHAnsi"/>
          <w:sz w:val="20"/>
          <w:szCs w:val="20"/>
          <w:lang w:eastAsia="zh-TW"/>
        </w:rPr>
      </w:pPr>
    </w:p>
    <w:p w14:paraId="02F872A3" w14:textId="154987C6" w:rsidR="002D7891" w:rsidRPr="00C8353A" w:rsidRDefault="006176F2" w:rsidP="00082EA5">
      <w:pPr>
        <w:pStyle w:val="ListParagraph"/>
        <w:numPr>
          <w:ilvl w:val="0"/>
          <w:numId w:val="3"/>
        </w:numPr>
        <w:spacing w:before="100" w:beforeAutospacing="1" w:after="100" w:afterAutospacing="1" w:line="276" w:lineRule="auto"/>
        <w:ind w:left="0" w:firstLine="0"/>
        <w:jc w:val="both"/>
        <w:rPr>
          <w:rFonts w:ascii="Verdana" w:eastAsiaTheme="minorEastAsia" w:hAnsi="Verdana" w:cstheme="minorHAnsi"/>
          <w:sz w:val="20"/>
          <w:szCs w:val="20"/>
          <w:lang w:eastAsia="zh-TW"/>
        </w:rPr>
      </w:pPr>
      <w:r w:rsidRPr="00C8353A">
        <w:rPr>
          <w:rFonts w:ascii="Verdana" w:eastAsiaTheme="minorEastAsia" w:hAnsi="Verdana" w:cstheme="minorHAnsi"/>
          <w:sz w:val="20"/>
          <w:szCs w:val="20"/>
          <w:lang w:eastAsia="zh-TW"/>
        </w:rPr>
        <w:t>There are 27 relationships where</w:t>
      </w:r>
      <w:r w:rsidR="00FF4E0F" w:rsidRPr="00C8353A">
        <w:rPr>
          <w:rFonts w:ascii="Verdana" w:eastAsiaTheme="minorEastAsia" w:hAnsi="Verdana" w:cstheme="minorHAnsi"/>
          <w:sz w:val="20"/>
          <w:szCs w:val="20"/>
          <w:lang w:eastAsia="zh-TW"/>
        </w:rPr>
        <w:t xml:space="preserve"> reliance </w:t>
      </w:r>
      <w:r w:rsidRPr="00C8353A">
        <w:rPr>
          <w:rFonts w:ascii="Verdana" w:eastAsiaTheme="minorEastAsia" w:hAnsi="Verdana" w:cstheme="minorHAnsi"/>
          <w:sz w:val="20"/>
          <w:szCs w:val="20"/>
          <w:lang w:eastAsia="zh-TW"/>
        </w:rPr>
        <w:t xml:space="preserve">is placed </w:t>
      </w:r>
      <w:r w:rsidR="00FF4E0F" w:rsidRPr="00C8353A">
        <w:rPr>
          <w:rFonts w:ascii="Verdana" w:eastAsiaTheme="minorEastAsia" w:hAnsi="Verdana" w:cstheme="minorHAnsi"/>
          <w:sz w:val="20"/>
          <w:szCs w:val="20"/>
          <w:lang w:eastAsia="zh-TW"/>
        </w:rPr>
        <w:t xml:space="preserve">on introducers outside of the group, 2 of these relationships are with entities in high risk jurisdictions. </w:t>
      </w:r>
      <w:r w:rsidR="00FE5B1A" w:rsidRPr="00C8353A">
        <w:rPr>
          <w:rFonts w:ascii="Verdana" w:eastAsiaTheme="minorEastAsia" w:hAnsi="Verdana" w:cstheme="minorHAnsi"/>
          <w:sz w:val="20"/>
          <w:szCs w:val="20"/>
          <w:lang w:eastAsia="zh-TW"/>
        </w:rPr>
        <w:t>This is also considered as being potentially high risk.</w:t>
      </w:r>
      <w:r w:rsidR="00FC71D0" w:rsidRPr="00C8353A">
        <w:rPr>
          <w:rFonts w:ascii="Verdana" w:eastAsiaTheme="minorEastAsia" w:hAnsi="Verdana" w:cstheme="minorHAnsi"/>
          <w:sz w:val="20"/>
          <w:szCs w:val="20"/>
          <w:lang w:eastAsia="zh-TW"/>
        </w:rPr>
        <w:t xml:space="preserve"> Furthermore, there are </w:t>
      </w:r>
      <w:r w:rsidRPr="00C8353A">
        <w:rPr>
          <w:rFonts w:ascii="Verdana" w:eastAsiaTheme="minorEastAsia" w:hAnsi="Verdana" w:cstheme="minorHAnsi"/>
          <w:sz w:val="20"/>
          <w:szCs w:val="20"/>
          <w:lang w:eastAsia="zh-TW"/>
        </w:rPr>
        <w:t>14 nominee relationships across 5 registered entities, of which one is based in a high</w:t>
      </w:r>
      <w:r w:rsidR="00FE5B1A" w:rsidRPr="00C8353A">
        <w:rPr>
          <w:rFonts w:ascii="Verdana" w:eastAsiaTheme="minorEastAsia" w:hAnsi="Verdana" w:cstheme="minorHAnsi"/>
          <w:sz w:val="20"/>
          <w:szCs w:val="20"/>
          <w:lang w:eastAsia="zh-TW"/>
        </w:rPr>
        <w:t>-</w:t>
      </w:r>
      <w:r w:rsidRPr="00C8353A">
        <w:rPr>
          <w:rFonts w:ascii="Verdana" w:eastAsiaTheme="minorEastAsia" w:hAnsi="Verdana" w:cstheme="minorHAnsi"/>
          <w:sz w:val="20"/>
          <w:szCs w:val="20"/>
          <w:lang w:eastAsia="zh-TW"/>
        </w:rPr>
        <w:t>risk jurisdiction</w:t>
      </w:r>
      <w:r w:rsidRPr="00C8353A">
        <w:rPr>
          <w:rFonts w:ascii="Verdana" w:eastAsiaTheme="minorEastAsia" w:hAnsi="Verdana"/>
          <w:sz w:val="20"/>
          <w:szCs w:val="20"/>
          <w:lang w:eastAsia="zh-TW"/>
        </w:rPr>
        <w:t>.</w:t>
      </w:r>
      <w:r w:rsidR="00A34DCB" w:rsidRPr="00C8353A">
        <w:rPr>
          <w:rFonts w:ascii="Verdana" w:eastAsiaTheme="minorEastAsia" w:hAnsi="Verdana"/>
          <w:sz w:val="20"/>
          <w:szCs w:val="20"/>
          <w:lang w:eastAsia="zh-TW"/>
        </w:rPr>
        <w:t xml:space="preserve"> </w:t>
      </w:r>
      <w:r w:rsidR="00A34DCB" w:rsidRPr="00C8353A">
        <w:rPr>
          <w:rFonts w:ascii="Verdana" w:eastAsiaTheme="minorEastAsia" w:hAnsi="Verdana" w:cstheme="minorHAnsi"/>
          <w:sz w:val="20"/>
          <w:szCs w:val="20"/>
          <w:lang w:eastAsia="zh-TW"/>
        </w:rPr>
        <w:t xml:space="preserve">Nominee services are generally considered to be higher ML/TF </w:t>
      </w:r>
      <w:proofErr w:type="gramStart"/>
      <w:r w:rsidR="00A34DCB" w:rsidRPr="00C8353A">
        <w:rPr>
          <w:rFonts w:ascii="Verdana" w:eastAsiaTheme="minorEastAsia" w:hAnsi="Verdana" w:cstheme="minorHAnsi"/>
          <w:sz w:val="20"/>
          <w:szCs w:val="20"/>
          <w:lang w:eastAsia="zh-TW"/>
        </w:rPr>
        <w:t>risk</w:t>
      </w:r>
      <w:proofErr w:type="gramEnd"/>
      <w:r w:rsidR="00A34DCB" w:rsidRPr="00C8353A">
        <w:rPr>
          <w:rFonts w:ascii="Verdana" w:eastAsiaTheme="minorEastAsia" w:hAnsi="Verdana" w:cstheme="minorHAnsi"/>
          <w:sz w:val="20"/>
          <w:szCs w:val="20"/>
          <w:lang w:eastAsia="zh-TW"/>
        </w:rPr>
        <w:t xml:space="preserve"> but this risk is </w:t>
      </w:r>
      <w:r w:rsidR="00225F30" w:rsidRPr="00C8353A">
        <w:rPr>
          <w:rFonts w:ascii="Verdana" w:eastAsiaTheme="minorEastAsia" w:hAnsi="Verdana" w:cstheme="minorHAnsi"/>
          <w:sz w:val="20"/>
          <w:szCs w:val="20"/>
          <w:lang w:eastAsia="zh-TW"/>
        </w:rPr>
        <w:t xml:space="preserve">somewhat </w:t>
      </w:r>
      <w:r w:rsidR="00A34DCB" w:rsidRPr="00C8353A">
        <w:rPr>
          <w:rFonts w:ascii="Verdana" w:eastAsiaTheme="minorEastAsia" w:hAnsi="Verdana" w:cstheme="minorHAnsi"/>
          <w:sz w:val="20"/>
          <w:szCs w:val="20"/>
          <w:lang w:eastAsia="zh-TW"/>
        </w:rPr>
        <w:t xml:space="preserve">mitigated by the fact that few of these relationships exist. </w:t>
      </w:r>
    </w:p>
    <w:p w14:paraId="63EAE74C" w14:textId="0473BD81" w:rsidR="00FC71D0" w:rsidRPr="00C8353A" w:rsidRDefault="00396C68" w:rsidP="00315DE8">
      <w:pPr>
        <w:pStyle w:val="Heading2"/>
        <w:numPr>
          <w:ilvl w:val="0"/>
          <w:numId w:val="0"/>
        </w:numPr>
        <w:spacing w:line="276" w:lineRule="auto"/>
        <w:ind w:right="-6"/>
        <w:jc w:val="both"/>
        <w:rPr>
          <w:rFonts w:ascii="Verdana" w:hAnsi="Verdana" w:cstheme="minorHAnsi"/>
          <w:b/>
          <w:bCs/>
          <w:sz w:val="20"/>
          <w:szCs w:val="20"/>
          <w:u w:val="single"/>
          <w:lang w:val="en-US"/>
        </w:rPr>
      </w:pPr>
      <w:r w:rsidRPr="00C8353A">
        <w:rPr>
          <w:rFonts w:ascii="Verdana" w:hAnsi="Verdana" w:cstheme="minorHAnsi"/>
          <w:b/>
          <w:bCs/>
          <w:sz w:val="20"/>
          <w:szCs w:val="20"/>
          <w:u w:val="single"/>
          <w:lang w:val="en-US"/>
        </w:rPr>
        <w:t>Conclusion for Risk Category Delivery Channels</w:t>
      </w:r>
    </w:p>
    <w:p w14:paraId="7F0066EB" w14:textId="77777777" w:rsidR="00315DE8" w:rsidRPr="00C8353A" w:rsidRDefault="00315DE8" w:rsidP="00315DE8">
      <w:pPr>
        <w:pStyle w:val="ListParagraph"/>
        <w:spacing w:line="276" w:lineRule="auto"/>
        <w:ind w:left="360"/>
        <w:jc w:val="both"/>
        <w:rPr>
          <w:rFonts w:ascii="Verdana" w:hAnsi="Verdana" w:cs="Times New Roman"/>
          <w:color w:val="000000" w:themeColor="text1"/>
          <w:sz w:val="20"/>
          <w:szCs w:val="20"/>
          <w:lang w:val="en-US"/>
        </w:rPr>
      </w:pPr>
    </w:p>
    <w:p w14:paraId="5A6DC95E" w14:textId="36B88C6E" w:rsidR="00B1760F" w:rsidRPr="00C8353A" w:rsidRDefault="004932E7" w:rsidP="00082EA5">
      <w:pPr>
        <w:pStyle w:val="ListParagraph"/>
        <w:numPr>
          <w:ilvl w:val="0"/>
          <w:numId w:val="3"/>
        </w:numPr>
        <w:spacing w:line="276" w:lineRule="auto"/>
        <w:ind w:left="0" w:firstLine="0"/>
        <w:jc w:val="both"/>
        <w:rPr>
          <w:rFonts w:ascii="Verdana" w:hAnsi="Verdana" w:cs="Times New Roman"/>
          <w:color w:val="000000" w:themeColor="text1"/>
          <w:sz w:val="20"/>
          <w:szCs w:val="20"/>
          <w:lang w:val="en-US"/>
        </w:rPr>
      </w:pPr>
      <w:r w:rsidRPr="00C8353A">
        <w:rPr>
          <w:rFonts w:ascii="Verdana" w:hAnsi="Verdana" w:cs="Times New Roman"/>
          <w:color w:val="000000" w:themeColor="text1"/>
          <w:sz w:val="20"/>
          <w:szCs w:val="20"/>
          <w:lang w:val="en-US"/>
        </w:rPr>
        <w:t xml:space="preserve">There is a large dependency on non-face to face delivery channels for both TSPs and CSPs. There is limited exposure to online platforms. Introduction within the group is common, </w:t>
      </w:r>
      <w:proofErr w:type="gramStart"/>
      <w:r w:rsidRPr="00C8353A">
        <w:rPr>
          <w:rFonts w:ascii="Verdana" w:hAnsi="Verdana" w:cs="Times New Roman"/>
          <w:color w:val="000000" w:themeColor="text1"/>
          <w:sz w:val="20"/>
          <w:szCs w:val="20"/>
          <w:lang w:val="en-US"/>
        </w:rPr>
        <w:t>in particular in</w:t>
      </w:r>
      <w:proofErr w:type="gramEnd"/>
      <w:r w:rsidRPr="00C8353A">
        <w:rPr>
          <w:rFonts w:ascii="Verdana" w:hAnsi="Verdana" w:cs="Times New Roman"/>
          <w:color w:val="000000" w:themeColor="text1"/>
          <w:sz w:val="20"/>
          <w:szCs w:val="20"/>
          <w:lang w:val="en-US"/>
        </w:rPr>
        <w:t xml:space="preserve"> the TSP subsector. </w:t>
      </w:r>
      <w:r w:rsidR="00FC71D0" w:rsidRPr="00C8353A">
        <w:rPr>
          <w:rFonts w:ascii="Verdana" w:hAnsi="Verdana" w:cs="Times New Roman"/>
          <w:color w:val="000000" w:themeColor="text1"/>
          <w:sz w:val="20"/>
          <w:szCs w:val="20"/>
          <w:lang w:val="en-US"/>
        </w:rPr>
        <w:t xml:space="preserve">This ML/TF risk therefore depends on the level of compliance by the group entities. </w:t>
      </w:r>
      <w:r w:rsidRPr="00C8353A">
        <w:rPr>
          <w:rFonts w:ascii="Verdana" w:hAnsi="Verdana" w:cs="Times New Roman"/>
          <w:color w:val="000000" w:themeColor="text1"/>
          <w:sz w:val="20"/>
          <w:szCs w:val="20"/>
          <w:lang w:val="en-US"/>
        </w:rPr>
        <w:t>The risk however is heightened by the fact that some group entities that provide introducing services are based in high risk jurisdictions. To a lesser extent, the services of introducers are used which are outside of the group. A small number of these are in high risk jurisdictions</w:t>
      </w:r>
      <w:r w:rsidR="00FC71D0" w:rsidRPr="00C8353A">
        <w:rPr>
          <w:rFonts w:ascii="Verdana" w:hAnsi="Verdana" w:cs="Times New Roman"/>
          <w:color w:val="000000" w:themeColor="text1"/>
          <w:sz w:val="20"/>
          <w:szCs w:val="20"/>
          <w:lang w:val="en-US"/>
        </w:rPr>
        <w:t xml:space="preserve">. </w:t>
      </w:r>
      <w:proofErr w:type="gramStart"/>
      <w:r w:rsidR="003C3C5B" w:rsidRPr="00C8353A">
        <w:rPr>
          <w:rFonts w:ascii="Verdana" w:hAnsi="Verdana" w:cs="Times New Roman"/>
          <w:color w:val="000000" w:themeColor="text1"/>
          <w:sz w:val="20"/>
          <w:szCs w:val="20"/>
          <w:lang w:val="en-US"/>
        </w:rPr>
        <w:t>A number of</w:t>
      </w:r>
      <w:proofErr w:type="gramEnd"/>
      <w:r w:rsidR="003C3C5B" w:rsidRPr="00C8353A">
        <w:rPr>
          <w:rFonts w:ascii="Verdana" w:hAnsi="Verdana" w:cs="Times New Roman"/>
          <w:color w:val="000000" w:themeColor="text1"/>
          <w:sz w:val="20"/>
          <w:szCs w:val="20"/>
          <w:lang w:val="en-US"/>
        </w:rPr>
        <w:t xml:space="preserve"> entities outsource various activities, although a somewhat mitigating factor is the fact that these actives are not outsourced to high risk jurisdictions. In such circumstances,</w:t>
      </w:r>
      <w:r w:rsidR="00FC71D0" w:rsidRPr="00C8353A">
        <w:rPr>
          <w:rFonts w:ascii="Verdana" w:hAnsi="Verdana" w:cs="Times New Roman"/>
          <w:color w:val="000000" w:themeColor="text1"/>
          <w:sz w:val="20"/>
          <w:szCs w:val="20"/>
          <w:lang w:val="en-US"/>
        </w:rPr>
        <w:t xml:space="preserve"> the risk for delivery channels has been rated</w:t>
      </w:r>
      <w:r w:rsidR="00AE6097" w:rsidRPr="00C8353A">
        <w:rPr>
          <w:rFonts w:ascii="Verdana" w:hAnsi="Verdana" w:cs="Times New Roman"/>
          <w:color w:val="000000" w:themeColor="text1"/>
          <w:sz w:val="20"/>
          <w:szCs w:val="20"/>
          <w:lang w:val="en-US"/>
        </w:rPr>
        <w:t xml:space="preserve"> High for TSPs and Medium Low for CSPs.</w:t>
      </w:r>
      <w:r w:rsidR="00FC71D0" w:rsidRPr="00C8353A">
        <w:rPr>
          <w:rFonts w:ascii="Verdana" w:hAnsi="Verdana" w:cs="Times New Roman"/>
          <w:color w:val="000000" w:themeColor="text1"/>
          <w:sz w:val="20"/>
          <w:szCs w:val="20"/>
          <w:lang w:val="en-US"/>
        </w:rPr>
        <w:t xml:space="preserve"> </w:t>
      </w:r>
    </w:p>
    <w:p w14:paraId="60F038EB" w14:textId="77777777" w:rsidR="00315DE8" w:rsidRPr="00315DE8" w:rsidRDefault="00315DE8" w:rsidP="00315DE8">
      <w:pPr>
        <w:pStyle w:val="ListParagraph"/>
        <w:spacing w:line="276" w:lineRule="auto"/>
        <w:ind w:left="360"/>
        <w:jc w:val="both"/>
        <w:rPr>
          <w:rFonts w:cs="Times New Roman"/>
          <w:color w:val="000000" w:themeColor="text1"/>
          <w:sz w:val="22"/>
          <w:szCs w:val="22"/>
          <w:lang w:val="en-US"/>
        </w:rPr>
      </w:pPr>
    </w:p>
    <w:tbl>
      <w:tblPr>
        <w:tblStyle w:val="TableGrid"/>
        <w:tblW w:w="0" w:type="auto"/>
        <w:jc w:val="center"/>
        <w:tblLook w:val="04A0" w:firstRow="1" w:lastRow="0" w:firstColumn="1" w:lastColumn="0" w:noHBand="0" w:noVBand="1"/>
      </w:tblPr>
      <w:tblGrid>
        <w:gridCol w:w="2561"/>
        <w:gridCol w:w="2850"/>
      </w:tblGrid>
      <w:tr w:rsidR="002A4231" w:rsidRPr="00654100" w14:paraId="0238100E" w14:textId="77777777" w:rsidTr="00315DE8">
        <w:trPr>
          <w:trHeight w:val="274"/>
          <w:jc w:val="center"/>
        </w:trPr>
        <w:tc>
          <w:tcPr>
            <w:tcW w:w="2561" w:type="dxa"/>
          </w:tcPr>
          <w:p w14:paraId="3C33392F" w14:textId="41118AC6" w:rsidR="002A4231" w:rsidRPr="00654100" w:rsidRDefault="00111039" w:rsidP="00762739">
            <w:pPr>
              <w:spacing w:before="100" w:beforeAutospacing="1" w:after="100" w:afterAutospacing="1"/>
              <w:jc w:val="both"/>
              <w:rPr>
                <w:rFonts w:eastAsia="Times New Roman" w:cs="Times New Roman"/>
                <w:color w:val="191919"/>
                <w:sz w:val="21"/>
                <w:szCs w:val="21"/>
                <w:lang w:val="en-US" w:eastAsia="en-GB"/>
              </w:rPr>
            </w:pPr>
            <w:r>
              <w:rPr>
                <w:rFonts w:eastAsia="Times New Roman" w:cs="Times New Roman"/>
                <w:color w:val="191919"/>
                <w:sz w:val="21"/>
                <w:szCs w:val="21"/>
                <w:lang w:val="en-US" w:eastAsia="en-GB"/>
              </w:rPr>
              <w:t>TSP</w:t>
            </w:r>
          </w:p>
        </w:tc>
        <w:tc>
          <w:tcPr>
            <w:tcW w:w="2850" w:type="dxa"/>
          </w:tcPr>
          <w:p w14:paraId="14259E56" w14:textId="162FEBA1" w:rsidR="002A4231" w:rsidRPr="00654100" w:rsidRDefault="00111039" w:rsidP="00762739">
            <w:pPr>
              <w:spacing w:before="100" w:beforeAutospacing="1" w:after="100" w:afterAutospacing="1"/>
              <w:jc w:val="both"/>
              <w:rPr>
                <w:rFonts w:eastAsia="Times New Roman" w:cs="Times New Roman"/>
                <w:color w:val="191919"/>
                <w:sz w:val="21"/>
                <w:szCs w:val="21"/>
                <w:lang w:val="en-US" w:eastAsia="en-GB"/>
              </w:rPr>
            </w:pPr>
            <w:r>
              <w:rPr>
                <w:rFonts w:eastAsia="Times New Roman" w:cs="Times New Roman"/>
                <w:color w:val="191919"/>
                <w:sz w:val="21"/>
                <w:szCs w:val="21"/>
                <w:lang w:val="en-US" w:eastAsia="en-GB"/>
              </w:rPr>
              <w:t>CSP</w:t>
            </w:r>
          </w:p>
        </w:tc>
      </w:tr>
      <w:tr w:rsidR="002A4231" w:rsidRPr="00654100" w14:paraId="5D45D682" w14:textId="77777777" w:rsidTr="00315DE8">
        <w:trPr>
          <w:trHeight w:val="263"/>
          <w:jc w:val="center"/>
        </w:trPr>
        <w:tc>
          <w:tcPr>
            <w:tcW w:w="2561" w:type="dxa"/>
            <w:shd w:val="clear" w:color="auto" w:fill="FF0000"/>
          </w:tcPr>
          <w:p w14:paraId="3BCC8F26" w14:textId="67CF1FE5" w:rsidR="002A4231" w:rsidRPr="00654100" w:rsidRDefault="002A4231" w:rsidP="00762739">
            <w:pPr>
              <w:spacing w:before="100" w:beforeAutospacing="1" w:after="100" w:afterAutospacing="1"/>
              <w:jc w:val="both"/>
              <w:rPr>
                <w:rFonts w:eastAsia="Times New Roman" w:cs="Times New Roman"/>
                <w:color w:val="191919"/>
                <w:sz w:val="21"/>
                <w:szCs w:val="21"/>
                <w:lang w:val="en-US" w:eastAsia="en-GB"/>
              </w:rPr>
            </w:pPr>
            <w:r w:rsidRPr="00654100">
              <w:rPr>
                <w:rFonts w:eastAsia="Times New Roman" w:cs="Times New Roman"/>
                <w:color w:val="191919"/>
                <w:sz w:val="21"/>
                <w:szCs w:val="21"/>
                <w:lang w:val="en-US" w:eastAsia="en-GB"/>
              </w:rPr>
              <w:t xml:space="preserve">Delivery channel: </w:t>
            </w:r>
            <w:r w:rsidR="00111039">
              <w:rPr>
                <w:rFonts w:eastAsia="Times New Roman" w:cs="Times New Roman"/>
                <w:color w:val="191919"/>
                <w:sz w:val="21"/>
                <w:szCs w:val="21"/>
                <w:lang w:val="en-US" w:eastAsia="en-GB"/>
              </w:rPr>
              <w:t>H</w:t>
            </w:r>
            <w:r w:rsidR="002D7891">
              <w:rPr>
                <w:rFonts w:eastAsia="Times New Roman" w:cs="Times New Roman"/>
                <w:color w:val="191919"/>
                <w:sz w:val="21"/>
                <w:szCs w:val="21"/>
                <w:lang w:val="en-US" w:eastAsia="en-GB"/>
              </w:rPr>
              <w:t>igh</w:t>
            </w:r>
          </w:p>
        </w:tc>
        <w:tc>
          <w:tcPr>
            <w:tcW w:w="2850" w:type="dxa"/>
            <w:shd w:val="clear" w:color="auto" w:fill="FFFF00"/>
          </w:tcPr>
          <w:p w14:paraId="319C8923" w14:textId="12ED48FB" w:rsidR="002A4231" w:rsidRPr="00654100" w:rsidRDefault="002A4231" w:rsidP="00762739">
            <w:pPr>
              <w:spacing w:before="100" w:beforeAutospacing="1" w:after="100" w:afterAutospacing="1"/>
              <w:jc w:val="both"/>
              <w:rPr>
                <w:rFonts w:eastAsia="Times New Roman" w:cs="Times New Roman"/>
                <w:color w:val="191919"/>
                <w:sz w:val="21"/>
                <w:szCs w:val="21"/>
                <w:lang w:val="en-US" w:eastAsia="en-GB"/>
              </w:rPr>
            </w:pPr>
            <w:r w:rsidRPr="00654100">
              <w:rPr>
                <w:rFonts w:eastAsia="Times New Roman" w:cs="Times New Roman"/>
                <w:color w:val="191919"/>
                <w:sz w:val="21"/>
                <w:szCs w:val="21"/>
                <w:lang w:val="en-US" w:eastAsia="en-GB"/>
              </w:rPr>
              <w:t>Delivery channel:</w:t>
            </w:r>
            <w:r w:rsidR="00BB05E6">
              <w:rPr>
                <w:rFonts w:eastAsia="Times New Roman" w:cs="Times New Roman"/>
                <w:color w:val="191919"/>
                <w:sz w:val="21"/>
                <w:szCs w:val="21"/>
                <w:lang w:val="en-US" w:eastAsia="en-GB"/>
              </w:rPr>
              <w:t xml:space="preserve"> </w:t>
            </w:r>
            <w:r w:rsidR="00111039">
              <w:rPr>
                <w:rFonts w:eastAsia="Times New Roman" w:cs="Times New Roman"/>
                <w:color w:val="191919"/>
                <w:sz w:val="21"/>
                <w:szCs w:val="21"/>
                <w:lang w:val="en-US" w:eastAsia="en-GB"/>
              </w:rPr>
              <w:t>M</w:t>
            </w:r>
            <w:r w:rsidR="002D7891">
              <w:rPr>
                <w:rFonts w:eastAsia="Times New Roman" w:cs="Times New Roman"/>
                <w:color w:val="191919"/>
                <w:sz w:val="21"/>
                <w:szCs w:val="21"/>
                <w:lang w:val="en-US" w:eastAsia="en-GB"/>
              </w:rPr>
              <w:t>edium Low</w:t>
            </w:r>
          </w:p>
        </w:tc>
      </w:tr>
    </w:tbl>
    <w:p w14:paraId="5C444B71" w14:textId="3CA04B66" w:rsidR="00315DE8" w:rsidRDefault="00315DE8" w:rsidP="00A55AC0">
      <w:pPr>
        <w:pStyle w:val="Heading2"/>
        <w:numPr>
          <w:ilvl w:val="0"/>
          <w:numId w:val="0"/>
        </w:numPr>
        <w:contextualSpacing/>
        <w:rPr>
          <w:b/>
          <w:u w:val="single"/>
          <w:lang w:val="en-US"/>
        </w:rPr>
      </w:pPr>
    </w:p>
    <w:p w14:paraId="6C79554E" w14:textId="05CA7598" w:rsidR="00A55AC0" w:rsidRDefault="00A55AC0" w:rsidP="00315DE8">
      <w:pPr>
        <w:pStyle w:val="Heading2"/>
        <w:numPr>
          <w:ilvl w:val="0"/>
          <w:numId w:val="0"/>
        </w:numPr>
        <w:ind w:left="1440"/>
        <w:contextualSpacing/>
        <w:rPr>
          <w:b/>
          <w:u w:val="single"/>
          <w:lang w:val="en-US"/>
        </w:rPr>
      </w:pPr>
    </w:p>
    <w:p w14:paraId="430DFD31" w14:textId="77777777" w:rsidR="00A55AC0" w:rsidRDefault="00A55AC0" w:rsidP="00315DE8">
      <w:pPr>
        <w:pStyle w:val="Heading2"/>
        <w:numPr>
          <w:ilvl w:val="0"/>
          <w:numId w:val="0"/>
        </w:numPr>
        <w:ind w:left="1440"/>
        <w:contextualSpacing/>
        <w:rPr>
          <w:b/>
          <w:u w:val="single"/>
          <w:lang w:val="en-US"/>
        </w:rPr>
      </w:pPr>
    </w:p>
    <w:p w14:paraId="747372B6" w14:textId="7AC46ADB" w:rsidR="00BF7CD0" w:rsidRPr="000D24F3" w:rsidRDefault="00DE006B" w:rsidP="000D24F3">
      <w:pPr>
        <w:pStyle w:val="Heading2"/>
        <w:ind w:left="936"/>
        <w:rPr>
          <w:rFonts w:ascii="Verdana" w:hAnsi="Verdana"/>
          <w:b/>
          <w:sz w:val="24"/>
          <w:szCs w:val="24"/>
          <w:u w:val="single"/>
          <w:lang w:val="en-US"/>
        </w:rPr>
      </w:pPr>
      <w:r w:rsidRPr="000D24F3">
        <w:rPr>
          <w:rFonts w:ascii="Verdana" w:hAnsi="Verdana"/>
          <w:b/>
          <w:sz w:val="24"/>
          <w:szCs w:val="24"/>
          <w:u w:val="single"/>
          <w:lang w:val="en-US"/>
        </w:rPr>
        <w:t xml:space="preserve">Overall </w:t>
      </w:r>
      <w:r w:rsidR="00B1760F" w:rsidRPr="000D24F3">
        <w:rPr>
          <w:rFonts w:ascii="Verdana" w:hAnsi="Verdana"/>
          <w:b/>
          <w:bCs/>
          <w:sz w:val="24"/>
          <w:szCs w:val="24"/>
          <w:u w:val="single"/>
          <w:lang w:val="en-US"/>
        </w:rPr>
        <w:t>Conclusion</w:t>
      </w:r>
    </w:p>
    <w:p w14:paraId="46278CF7" w14:textId="77777777" w:rsidR="00315DE8" w:rsidRPr="00C8353A" w:rsidRDefault="00856D94"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TCSPs</w:t>
      </w:r>
      <w:r w:rsidR="007E3061" w:rsidRPr="00C8353A">
        <w:rPr>
          <w:rFonts w:ascii="Verdana" w:eastAsiaTheme="minorHAnsi" w:hAnsi="Verdana" w:cs="Times New Roman"/>
          <w:color w:val="000000" w:themeColor="text1"/>
          <w:sz w:val="20"/>
          <w:szCs w:val="20"/>
          <w:lang w:val="en-US" w:eastAsia="en-US"/>
        </w:rPr>
        <w:t xml:space="preserve"> have a </w:t>
      </w:r>
      <w:r w:rsidR="0010352A" w:rsidRPr="00C8353A">
        <w:rPr>
          <w:rFonts w:ascii="Verdana" w:eastAsiaTheme="minorHAnsi" w:hAnsi="Verdana" w:cs="Times New Roman"/>
          <w:color w:val="000000" w:themeColor="text1"/>
          <w:sz w:val="20"/>
          <w:szCs w:val="20"/>
          <w:lang w:val="en-US" w:eastAsia="en-US"/>
        </w:rPr>
        <w:t xml:space="preserve">significant </w:t>
      </w:r>
      <w:r w:rsidR="007E3061" w:rsidRPr="00C8353A">
        <w:rPr>
          <w:rFonts w:ascii="Verdana" w:eastAsiaTheme="minorHAnsi" w:hAnsi="Verdana" w:cs="Times New Roman"/>
          <w:color w:val="000000" w:themeColor="text1"/>
          <w:sz w:val="20"/>
          <w:szCs w:val="20"/>
          <w:lang w:val="en-US" w:eastAsia="en-US"/>
        </w:rPr>
        <w:t xml:space="preserve">global presence and jurisdictional reach in terms of customers, products and </w:t>
      </w:r>
      <w:r w:rsidR="00AE6097" w:rsidRPr="00C8353A">
        <w:rPr>
          <w:rFonts w:ascii="Verdana" w:eastAsiaTheme="minorHAnsi" w:hAnsi="Verdana" w:cs="Times New Roman"/>
          <w:color w:val="000000" w:themeColor="text1"/>
          <w:sz w:val="20"/>
          <w:szCs w:val="20"/>
          <w:lang w:val="en-US" w:eastAsia="en-US"/>
        </w:rPr>
        <w:t>services</w:t>
      </w:r>
      <w:r w:rsidR="007E3061" w:rsidRPr="00C8353A">
        <w:rPr>
          <w:rFonts w:ascii="Verdana" w:eastAsiaTheme="minorHAnsi" w:hAnsi="Verdana" w:cs="Times New Roman"/>
          <w:color w:val="000000" w:themeColor="text1"/>
          <w:sz w:val="20"/>
          <w:szCs w:val="20"/>
          <w:lang w:val="en-US" w:eastAsia="en-US"/>
        </w:rPr>
        <w:t xml:space="preserve">.  This exposes the sector to high risk </w:t>
      </w:r>
      <w:r w:rsidR="00AE6097" w:rsidRPr="00C8353A">
        <w:rPr>
          <w:rFonts w:ascii="Verdana" w:eastAsiaTheme="minorHAnsi" w:hAnsi="Verdana" w:cs="Times New Roman"/>
          <w:color w:val="000000" w:themeColor="text1"/>
          <w:sz w:val="20"/>
          <w:szCs w:val="20"/>
          <w:lang w:val="en-US" w:eastAsia="en-US"/>
        </w:rPr>
        <w:t xml:space="preserve">customers and </w:t>
      </w:r>
      <w:r w:rsidR="00315DE8" w:rsidRPr="00C8353A">
        <w:rPr>
          <w:rFonts w:ascii="Verdana" w:eastAsiaTheme="minorHAnsi" w:hAnsi="Verdana" w:cs="Times New Roman"/>
          <w:color w:val="000000" w:themeColor="text1"/>
          <w:sz w:val="20"/>
          <w:szCs w:val="20"/>
          <w:lang w:val="en-US" w:eastAsia="en-US"/>
        </w:rPr>
        <w:t>high-risk</w:t>
      </w:r>
      <w:r w:rsidR="00AE6097" w:rsidRPr="00C8353A">
        <w:rPr>
          <w:rFonts w:ascii="Verdana" w:eastAsiaTheme="minorHAnsi" w:hAnsi="Verdana" w:cs="Times New Roman"/>
          <w:color w:val="000000" w:themeColor="text1"/>
          <w:sz w:val="20"/>
          <w:szCs w:val="20"/>
          <w:lang w:val="en-US" w:eastAsia="en-US"/>
        </w:rPr>
        <w:t xml:space="preserve"> </w:t>
      </w:r>
      <w:r w:rsidR="007E3061" w:rsidRPr="00C8353A">
        <w:rPr>
          <w:rFonts w:ascii="Verdana" w:eastAsiaTheme="minorHAnsi" w:hAnsi="Verdana" w:cs="Times New Roman"/>
          <w:color w:val="000000" w:themeColor="text1"/>
          <w:sz w:val="20"/>
          <w:szCs w:val="20"/>
          <w:lang w:val="en-US" w:eastAsia="en-US"/>
        </w:rPr>
        <w:t>jurisdictions</w:t>
      </w:r>
      <w:r w:rsidR="00B621FE" w:rsidRPr="00C8353A">
        <w:rPr>
          <w:rFonts w:ascii="Verdana" w:eastAsiaTheme="minorHAnsi" w:hAnsi="Verdana" w:cs="Times New Roman"/>
          <w:color w:val="000000" w:themeColor="text1"/>
          <w:sz w:val="20"/>
          <w:szCs w:val="20"/>
          <w:lang w:val="en-US" w:eastAsia="en-US"/>
        </w:rPr>
        <w:t xml:space="preserve"> </w:t>
      </w:r>
      <w:r w:rsidR="007E3061" w:rsidRPr="00C8353A">
        <w:rPr>
          <w:rFonts w:ascii="Verdana" w:eastAsiaTheme="minorHAnsi" w:hAnsi="Verdana" w:cs="Times New Roman"/>
          <w:color w:val="000000" w:themeColor="text1"/>
          <w:sz w:val="20"/>
          <w:szCs w:val="20"/>
          <w:lang w:val="en-US" w:eastAsia="en-US"/>
        </w:rPr>
        <w:t xml:space="preserve">from an ML/TF perspective.  </w:t>
      </w:r>
      <w:proofErr w:type="gramStart"/>
      <w:r w:rsidR="007E3061" w:rsidRPr="00C8353A">
        <w:rPr>
          <w:rFonts w:ascii="Verdana" w:eastAsiaTheme="minorHAnsi" w:hAnsi="Verdana" w:cs="Times New Roman"/>
          <w:color w:val="000000" w:themeColor="text1"/>
          <w:sz w:val="20"/>
          <w:szCs w:val="20"/>
          <w:lang w:val="en-US" w:eastAsia="en-US"/>
        </w:rPr>
        <w:t>The majority of</w:t>
      </w:r>
      <w:proofErr w:type="gramEnd"/>
      <w:r w:rsidR="007E3061" w:rsidRPr="00C8353A">
        <w:rPr>
          <w:rFonts w:ascii="Verdana" w:eastAsiaTheme="minorHAnsi" w:hAnsi="Verdana" w:cs="Times New Roman"/>
          <w:color w:val="000000" w:themeColor="text1"/>
          <w:sz w:val="20"/>
          <w:szCs w:val="20"/>
          <w:lang w:val="en-US" w:eastAsia="en-US"/>
        </w:rPr>
        <w:t xml:space="preserve"> business conducted by </w:t>
      </w:r>
      <w:r w:rsidR="00216FC2" w:rsidRPr="00C8353A">
        <w:rPr>
          <w:rFonts w:ascii="Verdana" w:eastAsiaTheme="minorHAnsi" w:hAnsi="Verdana" w:cs="Times New Roman"/>
          <w:color w:val="000000" w:themeColor="text1"/>
          <w:sz w:val="20"/>
          <w:szCs w:val="20"/>
          <w:lang w:val="en-US" w:eastAsia="en-US"/>
        </w:rPr>
        <w:t>TCSP’s</w:t>
      </w:r>
      <w:r w:rsidR="007E3061" w:rsidRPr="00C8353A">
        <w:rPr>
          <w:rFonts w:ascii="Verdana" w:eastAsiaTheme="minorHAnsi" w:hAnsi="Verdana" w:cs="Times New Roman"/>
          <w:color w:val="000000" w:themeColor="text1"/>
          <w:sz w:val="20"/>
          <w:szCs w:val="20"/>
          <w:lang w:val="en-US" w:eastAsia="en-US"/>
        </w:rPr>
        <w:t xml:space="preserve"> is non-face to face</w:t>
      </w:r>
      <w:r w:rsidR="00216FC2" w:rsidRPr="00C8353A">
        <w:rPr>
          <w:rFonts w:ascii="Verdana" w:eastAsiaTheme="minorHAnsi" w:hAnsi="Verdana" w:cs="Times New Roman"/>
          <w:color w:val="000000" w:themeColor="text1"/>
          <w:sz w:val="20"/>
          <w:szCs w:val="20"/>
          <w:lang w:val="en-US" w:eastAsia="en-US"/>
        </w:rPr>
        <w:t xml:space="preserve">. </w:t>
      </w:r>
      <w:r w:rsidR="007E3061" w:rsidRPr="00C8353A">
        <w:rPr>
          <w:rFonts w:ascii="Verdana" w:eastAsiaTheme="minorHAnsi" w:hAnsi="Verdana" w:cs="Times New Roman"/>
          <w:color w:val="000000" w:themeColor="text1"/>
          <w:sz w:val="20"/>
          <w:szCs w:val="20"/>
          <w:lang w:val="en-US" w:eastAsia="en-US"/>
        </w:rPr>
        <w:t>This increases the ML/TF risk due to</w:t>
      </w:r>
      <w:r w:rsidR="00B621FE" w:rsidRPr="00C8353A">
        <w:rPr>
          <w:rFonts w:ascii="Verdana" w:eastAsiaTheme="minorHAnsi" w:hAnsi="Verdana" w:cs="Times New Roman"/>
          <w:color w:val="000000" w:themeColor="text1"/>
          <w:sz w:val="20"/>
          <w:szCs w:val="20"/>
          <w:lang w:val="en-US" w:eastAsia="en-US"/>
        </w:rPr>
        <w:t xml:space="preserve"> the customer not being physically present for the purposes of identification together with the challenges associated in effectively monitoring customer activity</w:t>
      </w:r>
      <w:r w:rsidR="007E3061" w:rsidRPr="00C8353A">
        <w:rPr>
          <w:rFonts w:ascii="Verdana" w:eastAsiaTheme="minorHAnsi" w:hAnsi="Verdana" w:cs="Times New Roman"/>
          <w:color w:val="000000" w:themeColor="text1"/>
          <w:sz w:val="20"/>
          <w:szCs w:val="20"/>
          <w:lang w:val="en-US" w:eastAsia="en-US"/>
        </w:rPr>
        <w:t xml:space="preserve">.  The products and services offered by </w:t>
      </w:r>
      <w:r w:rsidR="00216FC2" w:rsidRPr="00C8353A">
        <w:rPr>
          <w:rFonts w:ascii="Verdana" w:eastAsiaTheme="minorHAnsi" w:hAnsi="Verdana" w:cs="Times New Roman"/>
          <w:color w:val="000000" w:themeColor="text1"/>
          <w:sz w:val="20"/>
          <w:szCs w:val="20"/>
          <w:lang w:val="en-US" w:eastAsia="en-US"/>
        </w:rPr>
        <w:t>TCSPs</w:t>
      </w:r>
      <w:r w:rsidR="007E3061" w:rsidRPr="00C8353A">
        <w:rPr>
          <w:rFonts w:ascii="Verdana" w:eastAsiaTheme="minorHAnsi" w:hAnsi="Verdana" w:cs="Times New Roman"/>
          <w:color w:val="000000" w:themeColor="text1"/>
          <w:sz w:val="20"/>
          <w:szCs w:val="20"/>
          <w:lang w:val="en-US" w:eastAsia="en-US"/>
        </w:rPr>
        <w:t xml:space="preserve"> are diverse and complex.  </w:t>
      </w:r>
      <w:r w:rsidR="00315DE8" w:rsidRPr="00C8353A">
        <w:rPr>
          <w:rFonts w:ascii="Verdana" w:eastAsiaTheme="minorHAnsi" w:hAnsi="Verdana" w:cs="Times New Roman"/>
          <w:color w:val="000000" w:themeColor="text1"/>
          <w:sz w:val="20"/>
          <w:szCs w:val="20"/>
          <w:lang w:val="en-US" w:eastAsia="en-US"/>
        </w:rPr>
        <w:t>It may also</w:t>
      </w:r>
      <w:r w:rsidR="007E3061" w:rsidRPr="00C8353A">
        <w:rPr>
          <w:rFonts w:ascii="Verdana" w:eastAsiaTheme="minorHAnsi" w:hAnsi="Verdana" w:cs="Times New Roman"/>
          <w:color w:val="000000" w:themeColor="text1"/>
          <w:sz w:val="20"/>
          <w:szCs w:val="20"/>
          <w:lang w:val="en-US" w:eastAsia="en-US"/>
        </w:rPr>
        <w:t xml:space="preserve"> make it difficult to identify the ultimate beneficial owner and the source of funds, thus increasing the ML</w:t>
      </w:r>
      <w:r w:rsidR="00BF7CD0" w:rsidRPr="00C8353A">
        <w:rPr>
          <w:rFonts w:ascii="Verdana" w:eastAsiaTheme="minorHAnsi" w:hAnsi="Verdana" w:cs="Times New Roman"/>
          <w:color w:val="000000" w:themeColor="text1"/>
          <w:sz w:val="20"/>
          <w:szCs w:val="20"/>
          <w:lang w:val="en-US" w:eastAsia="en-US"/>
        </w:rPr>
        <w:t>/TF</w:t>
      </w:r>
      <w:r w:rsidR="007E3061" w:rsidRPr="00C8353A">
        <w:rPr>
          <w:rFonts w:ascii="Verdana" w:eastAsiaTheme="minorHAnsi" w:hAnsi="Verdana" w:cs="Times New Roman"/>
          <w:color w:val="000000" w:themeColor="text1"/>
          <w:sz w:val="20"/>
          <w:szCs w:val="20"/>
          <w:lang w:val="en-US" w:eastAsia="en-US"/>
        </w:rPr>
        <w:t xml:space="preserve"> risk. </w:t>
      </w:r>
      <w:r w:rsidR="00216FC2" w:rsidRPr="00C8353A">
        <w:rPr>
          <w:rFonts w:ascii="Verdana" w:eastAsiaTheme="minorHAnsi" w:hAnsi="Verdana" w:cs="Times New Roman"/>
          <w:color w:val="000000" w:themeColor="text1"/>
          <w:sz w:val="20"/>
          <w:szCs w:val="20"/>
          <w:lang w:val="en-US" w:eastAsia="en-US"/>
        </w:rPr>
        <w:t xml:space="preserve"> The </w:t>
      </w:r>
      <w:r w:rsidR="00B621FE" w:rsidRPr="00C8353A">
        <w:rPr>
          <w:rFonts w:ascii="Verdana" w:eastAsiaTheme="minorHAnsi" w:hAnsi="Verdana" w:cs="Times New Roman"/>
          <w:color w:val="000000" w:themeColor="text1"/>
          <w:sz w:val="20"/>
          <w:szCs w:val="20"/>
          <w:lang w:val="en-US" w:eastAsia="en-US"/>
        </w:rPr>
        <w:t>geographically diverse</w:t>
      </w:r>
      <w:r w:rsidR="00216FC2" w:rsidRPr="00C8353A">
        <w:rPr>
          <w:rFonts w:ascii="Verdana" w:eastAsiaTheme="minorHAnsi" w:hAnsi="Verdana" w:cs="Times New Roman"/>
          <w:color w:val="000000" w:themeColor="text1"/>
          <w:sz w:val="20"/>
          <w:szCs w:val="20"/>
          <w:lang w:val="en-US" w:eastAsia="en-US"/>
        </w:rPr>
        <w:t xml:space="preserve"> customer base</w:t>
      </w:r>
      <w:r w:rsidR="00B621FE" w:rsidRPr="00C8353A">
        <w:rPr>
          <w:rFonts w:ascii="Verdana" w:eastAsiaTheme="minorHAnsi" w:hAnsi="Verdana" w:cs="Times New Roman"/>
          <w:color w:val="000000" w:themeColor="text1"/>
          <w:sz w:val="20"/>
          <w:szCs w:val="20"/>
          <w:lang w:val="en-US" w:eastAsia="en-US"/>
        </w:rPr>
        <w:t xml:space="preserve">, and complex cross-jurisdictional ownership structures within the TCSP sector exposes the sector to a higher proportion of customers who </w:t>
      </w:r>
      <w:r w:rsidR="005C40B2" w:rsidRPr="00C8353A">
        <w:rPr>
          <w:rFonts w:ascii="Verdana" w:eastAsiaTheme="minorHAnsi" w:hAnsi="Verdana" w:cs="Times New Roman"/>
          <w:color w:val="000000" w:themeColor="text1"/>
          <w:sz w:val="20"/>
          <w:szCs w:val="20"/>
          <w:lang w:val="en-US" w:eastAsia="en-US"/>
        </w:rPr>
        <w:t xml:space="preserve">would be classified as ‘high risk’ such as PEPs, </w:t>
      </w:r>
      <w:r w:rsidR="00B621FE" w:rsidRPr="00C8353A">
        <w:rPr>
          <w:rFonts w:ascii="Verdana" w:eastAsiaTheme="minorHAnsi" w:hAnsi="Verdana" w:cs="Times New Roman"/>
          <w:color w:val="000000" w:themeColor="text1"/>
          <w:sz w:val="20"/>
          <w:szCs w:val="20"/>
          <w:lang w:val="en-US" w:eastAsia="en-US"/>
        </w:rPr>
        <w:t>high net worth individuals</w:t>
      </w:r>
      <w:r w:rsidR="005C40B2" w:rsidRPr="00C8353A">
        <w:rPr>
          <w:rFonts w:ascii="Verdana" w:eastAsiaTheme="minorHAnsi" w:hAnsi="Verdana" w:cs="Times New Roman"/>
          <w:color w:val="000000" w:themeColor="text1"/>
          <w:sz w:val="20"/>
          <w:szCs w:val="20"/>
          <w:lang w:val="en-US" w:eastAsia="en-US"/>
        </w:rPr>
        <w:t xml:space="preserve"> and potentially sanctioned individuals</w:t>
      </w:r>
      <w:r w:rsidR="00B621FE" w:rsidRPr="00C8353A">
        <w:rPr>
          <w:rFonts w:ascii="Verdana" w:eastAsiaTheme="minorHAnsi" w:hAnsi="Verdana" w:cs="Times New Roman"/>
          <w:color w:val="000000" w:themeColor="text1"/>
          <w:sz w:val="20"/>
          <w:szCs w:val="20"/>
          <w:lang w:val="en-US" w:eastAsia="en-US"/>
        </w:rPr>
        <w:t xml:space="preserve">. </w:t>
      </w:r>
    </w:p>
    <w:p w14:paraId="2AD6FD9B" w14:textId="230097E8" w:rsidR="00BF7CD0" w:rsidRPr="00C8353A" w:rsidRDefault="007E3061" w:rsidP="00082EA5">
      <w:pPr>
        <w:pStyle w:val="Heading2"/>
        <w:numPr>
          <w:ilvl w:val="0"/>
          <w:numId w:val="3"/>
        </w:numPr>
        <w:spacing w:line="276" w:lineRule="auto"/>
        <w:ind w:left="0" w:firstLine="0"/>
        <w:jc w:val="both"/>
        <w:rPr>
          <w:rFonts w:ascii="Verdana" w:eastAsiaTheme="minorHAnsi" w:hAnsi="Verdana" w:cs="Times New Roman"/>
          <w:color w:val="000000" w:themeColor="text1"/>
          <w:sz w:val="20"/>
          <w:szCs w:val="20"/>
          <w:lang w:val="en-US" w:eastAsia="en-US"/>
        </w:rPr>
      </w:pPr>
      <w:r w:rsidRPr="00C8353A">
        <w:rPr>
          <w:rFonts w:ascii="Verdana" w:eastAsiaTheme="minorHAnsi" w:hAnsi="Verdana" w:cs="Times New Roman"/>
          <w:color w:val="000000" w:themeColor="text1"/>
          <w:sz w:val="20"/>
          <w:szCs w:val="20"/>
          <w:lang w:val="en-US" w:eastAsia="en-US"/>
        </w:rPr>
        <w:t xml:space="preserve">The </w:t>
      </w:r>
      <w:proofErr w:type="gramStart"/>
      <w:r w:rsidRPr="00C8353A">
        <w:rPr>
          <w:rFonts w:ascii="Verdana" w:eastAsiaTheme="minorHAnsi" w:hAnsi="Verdana" w:cs="Times New Roman"/>
          <w:color w:val="000000" w:themeColor="text1"/>
          <w:sz w:val="20"/>
          <w:szCs w:val="20"/>
          <w:lang w:val="en-US" w:eastAsia="en-US"/>
        </w:rPr>
        <w:t>often complex</w:t>
      </w:r>
      <w:proofErr w:type="gramEnd"/>
      <w:r w:rsidRPr="00C8353A">
        <w:rPr>
          <w:rFonts w:ascii="Verdana" w:eastAsiaTheme="minorHAnsi" w:hAnsi="Verdana" w:cs="Times New Roman"/>
          <w:color w:val="000000" w:themeColor="text1"/>
          <w:sz w:val="20"/>
          <w:szCs w:val="20"/>
          <w:lang w:val="en-US" w:eastAsia="en-US"/>
        </w:rPr>
        <w:t xml:space="preserve"> legal structure of </w:t>
      </w:r>
      <w:r w:rsidR="00B621FE" w:rsidRPr="00C8353A">
        <w:rPr>
          <w:rFonts w:ascii="Verdana" w:eastAsiaTheme="minorHAnsi" w:hAnsi="Verdana" w:cs="Times New Roman"/>
          <w:color w:val="000000" w:themeColor="text1"/>
          <w:sz w:val="20"/>
          <w:szCs w:val="20"/>
          <w:lang w:val="en-US" w:eastAsia="en-US"/>
        </w:rPr>
        <w:t>corporate customers</w:t>
      </w:r>
      <w:r w:rsidRPr="00C8353A">
        <w:rPr>
          <w:rFonts w:ascii="Verdana" w:eastAsiaTheme="minorHAnsi" w:hAnsi="Verdana" w:cs="Times New Roman"/>
          <w:color w:val="000000" w:themeColor="text1"/>
          <w:sz w:val="20"/>
          <w:szCs w:val="20"/>
          <w:lang w:val="en-US" w:eastAsia="en-US"/>
        </w:rPr>
        <w:t xml:space="preserve"> can raise the ML/TF risk in the sector due to the lack of transparency of ownership and control associated with these complex structures. These opacities can be compounded where </w:t>
      </w:r>
      <w:r w:rsidR="00B621FE" w:rsidRPr="00C8353A">
        <w:rPr>
          <w:rFonts w:ascii="Verdana" w:eastAsiaTheme="minorHAnsi" w:hAnsi="Verdana" w:cs="Times New Roman"/>
          <w:color w:val="000000" w:themeColor="text1"/>
          <w:sz w:val="20"/>
          <w:szCs w:val="20"/>
          <w:lang w:val="en-US" w:eastAsia="en-US"/>
        </w:rPr>
        <w:t xml:space="preserve">the customer is based </w:t>
      </w:r>
      <w:r w:rsidRPr="00C8353A">
        <w:rPr>
          <w:rFonts w:ascii="Verdana" w:eastAsiaTheme="minorHAnsi" w:hAnsi="Verdana" w:cs="Times New Roman"/>
          <w:color w:val="000000" w:themeColor="text1"/>
          <w:sz w:val="20"/>
          <w:szCs w:val="20"/>
          <w:lang w:val="en-US" w:eastAsia="en-US"/>
        </w:rPr>
        <w:t xml:space="preserve">in offshore jurisdictions. </w:t>
      </w:r>
      <w:r w:rsidR="00B621FE" w:rsidRPr="00C8353A">
        <w:rPr>
          <w:rFonts w:ascii="Verdana" w:eastAsiaTheme="minorHAnsi" w:hAnsi="Verdana" w:cs="Times New Roman"/>
          <w:color w:val="000000" w:themeColor="text1"/>
          <w:sz w:val="20"/>
          <w:szCs w:val="20"/>
          <w:lang w:val="en-US" w:eastAsia="en-US"/>
        </w:rPr>
        <w:t xml:space="preserve"> </w:t>
      </w:r>
      <w:r w:rsidR="005C40B2" w:rsidRPr="00C8353A">
        <w:rPr>
          <w:rFonts w:ascii="Verdana" w:eastAsiaTheme="minorHAnsi" w:hAnsi="Verdana" w:cs="Times New Roman"/>
          <w:color w:val="000000" w:themeColor="text1"/>
          <w:sz w:val="20"/>
          <w:szCs w:val="20"/>
          <w:lang w:val="en-US" w:eastAsia="en-US"/>
        </w:rPr>
        <w:t>The delivery channels used</w:t>
      </w:r>
      <w:r w:rsidR="00AE6097" w:rsidRPr="00C8353A">
        <w:rPr>
          <w:rFonts w:ascii="Verdana" w:eastAsiaTheme="minorHAnsi" w:hAnsi="Verdana" w:cs="Times New Roman"/>
          <w:color w:val="000000" w:themeColor="text1"/>
          <w:sz w:val="20"/>
          <w:szCs w:val="20"/>
          <w:lang w:val="en-US" w:eastAsia="en-US"/>
        </w:rPr>
        <w:t xml:space="preserve"> by TCSPs </w:t>
      </w:r>
      <w:r w:rsidR="005C40B2" w:rsidRPr="00C8353A">
        <w:rPr>
          <w:rFonts w:ascii="Verdana" w:eastAsiaTheme="minorHAnsi" w:hAnsi="Verdana" w:cs="Times New Roman"/>
          <w:color w:val="000000" w:themeColor="text1"/>
          <w:sz w:val="20"/>
          <w:szCs w:val="20"/>
          <w:lang w:val="en-US" w:eastAsia="en-US"/>
        </w:rPr>
        <w:t xml:space="preserve">to deliver their products and services to customers are equally diverse. Much of the business undertaken is non-face to face, with a high proportion of business </w:t>
      </w:r>
      <w:r w:rsidR="00AE6097" w:rsidRPr="00C8353A">
        <w:rPr>
          <w:rFonts w:ascii="Verdana" w:eastAsiaTheme="minorHAnsi" w:hAnsi="Verdana" w:cs="Times New Roman"/>
          <w:color w:val="000000" w:themeColor="text1"/>
          <w:sz w:val="20"/>
          <w:szCs w:val="20"/>
          <w:lang w:val="en-US" w:eastAsia="en-US"/>
        </w:rPr>
        <w:t>involving introducers.</w:t>
      </w:r>
      <w:r w:rsidR="005C40B2" w:rsidRPr="00C8353A">
        <w:rPr>
          <w:rFonts w:ascii="Verdana" w:eastAsiaTheme="minorHAnsi" w:hAnsi="Verdana" w:cs="Times New Roman"/>
          <w:color w:val="000000" w:themeColor="text1"/>
          <w:sz w:val="20"/>
          <w:szCs w:val="20"/>
          <w:lang w:val="en-US" w:eastAsia="en-US"/>
        </w:rPr>
        <w:t xml:space="preserve"> Customer numbers</w:t>
      </w:r>
      <w:r w:rsidR="00AE6097" w:rsidRPr="00C8353A">
        <w:rPr>
          <w:rFonts w:ascii="Verdana" w:eastAsiaTheme="minorHAnsi" w:hAnsi="Verdana" w:cs="Times New Roman"/>
          <w:color w:val="000000" w:themeColor="text1"/>
          <w:sz w:val="20"/>
          <w:szCs w:val="20"/>
          <w:lang w:val="en-US" w:eastAsia="en-US"/>
        </w:rPr>
        <w:t xml:space="preserve"> are high and</w:t>
      </w:r>
      <w:r w:rsidR="005C40B2" w:rsidRPr="00C8353A">
        <w:rPr>
          <w:rFonts w:ascii="Verdana" w:eastAsiaTheme="minorHAnsi" w:hAnsi="Verdana" w:cs="Times New Roman"/>
          <w:color w:val="000000" w:themeColor="text1"/>
          <w:sz w:val="20"/>
          <w:szCs w:val="20"/>
          <w:lang w:val="en-US" w:eastAsia="en-US"/>
        </w:rPr>
        <w:t xml:space="preserve">, </w:t>
      </w:r>
      <w:r w:rsidR="00AE6097" w:rsidRPr="00C8353A">
        <w:rPr>
          <w:rFonts w:ascii="Verdana" w:eastAsiaTheme="minorHAnsi" w:hAnsi="Verdana" w:cs="Times New Roman"/>
          <w:color w:val="000000" w:themeColor="text1"/>
          <w:sz w:val="20"/>
          <w:szCs w:val="20"/>
          <w:lang w:val="en-US" w:eastAsia="en-US"/>
        </w:rPr>
        <w:t>services offered</w:t>
      </w:r>
      <w:r w:rsidR="005C40B2" w:rsidRPr="00C8353A">
        <w:rPr>
          <w:rFonts w:ascii="Verdana" w:eastAsiaTheme="minorHAnsi" w:hAnsi="Verdana" w:cs="Times New Roman"/>
          <w:color w:val="000000" w:themeColor="text1"/>
          <w:sz w:val="20"/>
          <w:szCs w:val="20"/>
          <w:lang w:val="en-US" w:eastAsia="en-US"/>
        </w:rPr>
        <w:t xml:space="preserve"> </w:t>
      </w:r>
      <w:r w:rsidR="00AE6097" w:rsidRPr="00C8353A">
        <w:rPr>
          <w:rFonts w:ascii="Verdana" w:eastAsiaTheme="minorHAnsi" w:hAnsi="Verdana" w:cs="Times New Roman"/>
          <w:color w:val="000000" w:themeColor="text1"/>
          <w:sz w:val="20"/>
          <w:szCs w:val="20"/>
          <w:lang w:val="en-US" w:eastAsia="en-US"/>
        </w:rPr>
        <w:t xml:space="preserve">can </w:t>
      </w:r>
      <w:r w:rsidR="005C40B2" w:rsidRPr="00C8353A">
        <w:rPr>
          <w:rFonts w:ascii="Verdana" w:eastAsiaTheme="minorHAnsi" w:hAnsi="Verdana" w:cs="Times New Roman"/>
          <w:color w:val="000000" w:themeColor="text1"/>
          <w:sz w:val="20"/>
          <w:szCs w:val="20"/>
          <w:lang w:val="en-US" w:eastAsia="en-US"/>
        </w:rPr>
        <w:t>be complex and cross jurisdictional</w:t>
      </w:r>
      <w:r w:rsidR="00BF7CD0" w:rsidRPr="00C8353A">
        <w:rPr>
          <w:rFonts w:ascii="Verdana" w:eastAsiaTheme="minorHAnsi" w:hAnsi="Verdana" w:cs="Times New Roman"/>
          <w:color w:val="000000" w:themeColor="text1"/>
          <w:sz w:val="20"/>
          <w:szCs w:val="20"/>
          <w:lang w:val="en-US" w:eastAsia="en-US"/>
        </w:rPr>
        <w:t>,</w:t>
      </w:r>
      <w:r w:rsidR="005C40B2" w:rsidRPr="00C8353A">
        <w:rPr>
          <w:rFonts w:ascii="Verdana" w:eastAsiaTheme="minorHAnsi" w:hAnsi="Verdana" w:cs="Times New Roman"/>
          <w:color w:val="000000" w:themeColor="text1"/>
          <w:sz w:val="20"/>
          <w:szCs w:val="20"/>
          <w:lang w:val="en-US" w:eastAsia="en-US"/>
        </w:rPr>
        <w:t xml:space="preserve"> often </w:t>
      </w:r>
      <w:r w:rsidR="00AE6097" w:rsidRPr="00C8353A">
        <w:rPr>
          <w:rFonts w:ascii="Verdana" w:eastAsiaTheme="minorHAnsi" w:hAnsi="Verdana" w:cs="Times New Roman"/>
          <w:color w:val="000000" w:themeColor="text1"/>
          <w:sz w:val="20"/>
          <w:szCs w:val="20"/>
          <w:lang w:val="en-US" w:eastAsia="en-US"/>
        </w:rPr>
        <w:t xml:space="preserve">involving </w:t>
      </w:r>
      <w:r w:rsidR="005C40B2" w:rsidRPr="00C8353A">
        <w:rPr>
          <w:rFonts w:ascii="Verdana" w:eastAsiaTheme="minorHAnsi" w:hAnsi="Verdana" w:cs="Times New Roman"/>
          <w:color w:val="000000" w:themeColor="text1"/>
          <w:sz w:val="20"/>
          <w:szCs w:val="20"/>
          <w:lang w:val="en-US" w:eastAsia="en-US"/>
        </w:rPr>
        <w:t>high risk jurisdictions</w:t>
      </w:r>
      <w:r w:rsidR="00AE6097" w:rsidRPr="00C8353A">
        <w:rPr>
          <w:rFonts w:ascii="Verdana" w:eastAsiaTheme="minorHAnsi" w:hAnsi="Verdana" w:cs="Times New Roman"/>
          <w:color w:val="000000" w:themeColor="text1"/>
          <w:sz w:val="20"/>
          <w:szCs w:val="20"/>
          <w:lang w:val="en-US" w:eastAsia="en-US"/>
        </w:rPr>
        <w:t xml:space="preserve">. </w:t>
      </w:r>
      <w:r w:rsidR="00BF7CD0" w:rsidRPr="00C8353A">
        <w:rPr>
          <w:rFonts w:ascii="Verdana" w:eastAsiaTheme="minorHAnsi" w:hAnsi="Verdana" w:cs="Times New Roman"/>
          <w:color w:val="000000" w:themeColor="text1"/>
          <w:sz w:val="20"/>
          <w:szCs w:val="20"/>
          <w:lang w:val="en-US"/>
        </w:rPr>
        <w:t xml:space="preserve">The overall ML/TF risk for the TCSP sector is assessed as High.  </w:t>
      </w:r>
    </w:p>
    <w:p w14:paraId="275AF4AA" w14:textId="77777777" w:rsidR="00BF7CD0" w:rsidRPr="00C8353A" w:rsidRDefault="00BF7CD0" w:rsidP="00315DE8">
      <w:pPr>
        <w:pStyle w:val="Heading2"/>
        <w:numPr>
          <w:ilvl w:val="0"/>
          <w:numId w:val="0"/>
        </w:numPr>
        <w:spacing w:line="276" w:lineRule="auto"/>
        <w:ind w:left="720"/>
        <w:jc w:val="both"/>
        <w:rPr>
          <w:rFonts w:ascii="Verdana" w:eastAsiaTheme="minorHAnsi" w:hAnsi="Verdana" w:cs="Times New Roman"/>
          <w:color w:val="000000" w:themeColor="text1"/>
          <w:sz w:val="20"/>
          <w:szCs w:val="20"/>
          <w:lang w:val="en-US" w:eastAsia="en-US"/>
        </w:rPr>
      </w:pPr>
    </w:p>
    <w:p w14:paraId="3B29F41E" w14:textId="12E899C4" w:rsidR="00D55AD2" w:rsidRPr="00C8353A" w:rsidRDefault="00D55AD2" w:rsidP="007843C4">
      <w:pPr>
        <w:pStyle w:val="Heading2"/>
        <w:numPr>
          <w:ilvl w:val="0"/>
          <w:numId w:val="0"/>
        </w:numPr>
        <w:rPr>
          <w:rFonts w:ascii="Verdana" w:hAnsi="Verdana"/>
          <w:bCs/>
          <w:color w:val="FF0000"/>
          <w:sz w:val="20"/>
          <w:szCs w:val="20"/>
          <w:lang w:val="en-US"/>
        </w:rPr>
      </w:pPr>
    </w:p>
    <w:sectPr w:rsidR="00D55AD2" w:rsidRPr="00C8353A" w:rsidSect="00C8353A">
      <w:footerReference w:type="default" r:id="rId15"/>
      <w:head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9A896" w14:textId="77777777" w:rsidR="009A7B02" w:rsidRDefault="009A7B02" w:rsidP="002E1CAE">
      <w:r>
        <w:separator/>
      </w:r>
    </w:p>
  </w:endnote>
  <w:endnote w:type="continuationSeparator" w:id="0">
    <w:p w14:paraId="2741805B" w14:textId="77777777" w:rsidR="009A7B02" w:rsidRDefault="009A7B02" w:rsidP="002E1CAE">
      <w:r>
        <w:continuationSeparator/>
      </w:r>
    </w:p>
  </w:endnote>
  <w:endnote w:type="continuationNotice" w:id="1">
    <w:p w14:paraId="0E1E6C82" w14:textId="77777777" w:rsidR="009A7B02" w:rsidRDefault="009A7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457933"/>
      <w:docPartObj>
        <w:docPartGallery w:val="Page Numbers (Bottom of Page)"/>
        <w:docPartUnique/>
      </w:docPartObj>
    </w:sdtPr>
    <w:sdtEndPr>
      <w:rPr>
        <w:noProof/>
      </w:rPr>
    </w:sdtEndPr>
    <w:sdtContent>
      <w:p w14:paraId="673D29E5" w14:textId="4D0A2478" w:rsidR="00D6308A" w:rsidRDefault="00D630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53C55F" w14:textId="77777777" w:rsidR="00773FAA" w:rsidRDefault="00773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D128E" w14:textId="77777777" w:rsidR="009A7B02" w:rsidRDefault="009A7B02" w:rsidP="002E1CAE">
      <w:r>
        <w:separator/>
      </w:r>
    </w:p>
  </w:footnote>
  <w:footnote w:type="continuationSeparator" w:id="0">
    <w:p w14:paraId="5A41A4A5" w14:textId="77777777" w:rsidR="009A7B02" w:rsidRDefault="009A7B02" w:rsidP="002E1CAE">
      <w:r>
        <w:continuationSeparator/>
      </w:r>
    </w:p>
  </w:footnote>
  <w:footnote w:type="continuationNotice" w:id="1">
    <w:p w14:paraId="3B973173" w14:textId="77777777" w:rsidR="009A7B02" w:rsidRDefault="009A7B02"/>
  </w:footnote>
  <w:footnote w:id="2">
    <w:p w14:paraId="704DBA0A" w14:textId="25CD79D2" w:rsidR="00773FAA" w:rsidRPr="003A74A8" w:rsidRDefault="00773FAA" w:rsidP="003A74A8">
      <w:pPr>
        <w:pStyle w:val="FootnoteText"/>
        <w:ind w:left="142" w:hanging="142"/>
      </w:pPr>
      <w:r>
        <w:rPr>
          <w:rStyle w:val="FootnoteReference"/>
        </w:rPr>
        <w:footnoteRef/>
      </w:r>
      <w:r w:rsidRPr="003A74A8">
        <w:rPr>
          <w:rStyle w:val="Hyperlink"/>
          <w:sz w:val="18"/>
          <w:szCs w:val="18"/>
        </w:rPr>
        <w:t xml:space="preserve"> </w:t>
      </w:r>
      <w:hyperlink r:id="rId1" w:history="1">
        <w:r w:rsidRPr="003A74A8">
          <w:rPr>
            <w:rStyle w:val="Hyperlink"/>
            <w:sz w:val="18"/>
            <w:szCs w:val="18"/>
          </w:rPr>
          <w:t>http://www.fatf-gafi.org/publications/fatfrecommendations/documents/rba-trust-company-service-providers.html</w:t>
        </w:r>
      </w:hyperlink>
      <w:r w:rsidRPr="003A74A8">
        <w:rPr>
          <w:rStyle w:val="Hyperlink"/>
          <w:sz w:val="18"/>
          <w:szCs w:val="18"/>
        </w:rPr>
        <w:t xml:space="preserve">; </w:t>
      </w:r>
      <w:hyperlink r:id="rId2" w:history="1">
        <w:r w:rsidRPr="003A74A8">
          <w:rPr>
            <w:rStyle w:val="Hyperlink"/>
            <w:sz w:val="18"/>
            <w:szCs w:val="18"/>
          </w:rPr>
          <w:t>http://www.fatf-gafi.org/publications/methodsandtrends/documents/nationalmoneylaunderingandterroristfinancingriskassessment.html</w:t>
        </w:r>
      </w:hyperlink>
      <w:r w:rsidRPr="00841129">
        <w:rPr>
          <w:sz w:val="18"/>
          <w:szCs w:val="18"/>
          <w:lang w:val="en-US"/>
        </w:rPr>
        <w:t xml:space="preserve"> </w:t>
      </w:r>
    </w:p>
  </w:footnote>
  <w:footnote w:id="3">
    <w:p w14:paraId="70E7149B" w14:textId="77777777" w:rsidR="00773FAA" w:rsidRPr="00FC307D" w:rsidRDefault="00773FAA" w:rsidP="003A74A8">
      <w:pPr>
        <w:pStyle w:val="FootnoteText"/>
        <w:ind w:left="142" w:hanging="142"/>
        <w:rPr>
          <w:lang w:val="en-US"/>
        </w:rPr>
      </w:pPr>
      <w:r w:rsidRPr="00841129">
        <w:rPr>
          <w:rStyle w:val="FootnoteReference"/>
          <w:sz w:val="18"/>
          <w:szCs w:val="18"/>
        </w:rPr>
        <w:footnoteRef/>
      </w:r>
      <w:r w:rsidRPr="00841129">
        <w:rPr>
          <w:sz w:val="18"/>
          <w:szCs w:val="18"/>
        </w:rPr>
        <w:t xml:space="preserve"> </w:t>
      </w:r>
      <w:hyperlink r:id="rId3" w:history="1">
        <w:r w:rsidRPr="00841129">
          <w:rPr>
            <w:rStyle w:val="Hyperlink"/>
            <w:sz w:val="18"/>
            <w:szCs w:val="18"/>
          </w:rPr>
          <w:t>https://www.cima.ky/guidance-notes</w:t>
        </w:r>
      </w:hyperlink>
      <w:r w:rsidRPr="00841129">
        <w:rPr>
          <w:sz w:val="18"/>
          <w:szCs w:val="18"/>
        </w:rPr>
        <w:t>.</w:t>
      </w:r>
      <w:r>
        <w:t xml:space="preserve"> </w:t>
      </w:r>
    </w:p>
  </w:footnote>
  <w:footnote w:id="4">
    <w:p w14:paraId="1A9852D3" w14:textId="77777777" w:rsidR="00773FAA" w:rsidRPr="00F3395B" w:rsidRDefault="00773FAA" w:rsidP="00F2342B">
      <w:pPr>
        <w:pStyle w:val="FootnoteText"/>
        <w:rPr>
          <w:lang w:val="en-US"/>
        </w:rPr>
      </w:pPr>
      <w:r>
        <w:rPr>
          <w:rStyle w:val="FootnoteReference"/>
        </w:rPr>
        <w:footnoteRef/>
      </w:r>
      <w:r>
        <w:t xml:space="preserve"> </w:t>
      </w:r>
      <w:hyperlink r:id="rId4" w:anchor="high-risk" w:history="1">
        <w:r w:rsidRPr="00D84EDC">
          <w:rPr>
            <w:rStyle w:val="Hyperlink"/>
          </w:rPr>
          <w:t>http://www.fatf-gafi.org/countries/#high-risk</w:t>
        </w:r>
      </w:hyperlink>
      <w:r>
        <w:t xml:space="preserve">. </w:t>
      </w:r>
    </w:p>
  </w:footnote>
  <w:footnote w:id="5">
    <w:p w14:paraId="60AE24E5" w14:textId="77777777" w:rsidR="00773FAA" w:rsidRPr="004E3CD9" w:rsidRDefault="00773FAA" w:rsidP="00F2342B">
      <w:pPr>
        <w:pStyle w:val="FootnoteText"/>
      </w:pPr>
      <w:r>
        <w:rPr>
          <w:rStyle w:val="FootnoteReference"/>
        </w:rPr>
        <w:footnoteRef/>
      </w:r>
      <w:r>
        <w:t xml:space="preserve"> </w:t>
      </w:r>
      <w:hyperlink r:id="rId5" w:history="1">
        <w:r w:rsidRPr="00D84EDC">
          <w:rPr>
            <w:rStyle w:val="Hyperlink"/>
          </w:rPr>
          <w:t>https://www.un.org/securitycouncil/sanctions/information</w:t>
        </w:r>
      </w:hyperlink>
      <w:r>
        <w:t xml:space="preserve"> </w:t>
      </w:r>
    </w:p>
  </w:footnote>
  <w:footnote w:id="6">
    <w:p w14:paraId="13CA4088" w14:textId="77777777" w:rsidR="00773FAA" w:rsidRPr="00552E43" w:rsidRDefault="00773FAA" w:rsidP="00F2342B">
      <w:pPr>
        <w:pStyle w:val="FootnoteText"/>
      </w:pPr>
      <w:r>
        <w:rPr>
          <w:rStyle w:val="FootnoteReference"/>
        </w:rPr>
        <w:footnoteRef/>
      </w:r>
      <w:r>
        <w:t xml:space="preserve"> </w:t>
      </w:r>
      <w:hyperlink r:id="rId6" w:history="1">
        <w:r w:rsidRPr="00D84EDC">
          <w:rPr>
            <w:rStyle w:val="Hyperlink"/>
          </w:rPr>
          <w:t>https://www.baselgovernance.org/basel-aml-index/public-ranking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5B67" w14:textId="77777777" w:rsidR="00C8353A" w:rsidRDefault="00C8353A" w:rsidP="00C8353A">
    <w:pPr>
      <w:pStyle w:val="Header"/>
      <w:rPr>
        <w:color w:val="26307E"/>
      </w:rPr>
    </w:pPr>
    <w:r>
      <w:rPr>
        <w:noProof/>
        <w:lang w:val="en-US"/>
      </w:rPr>
      <w:drawing>
        <wp:anchor distT="0" distB="0" distL="114300" distR="114300" simplePos="0" relativeHeight="251659264" behindDoc="0" locked="0" layoutInCell="1" allowOverlap="1" wp14:anchorId="4126D1EC" wp14:editId="095024A7">
          <wp:simplePos x="0" y="0"/>
          <wp:positionH relativeFrom="column">
            <wp:posOffset>-6350</wp:posOffset>
          </wp:positionH>
          <wp:positionV relativeFrom="paragraph">
            <wp:posOffset>-9525</wp:posOffset>
          </wp:positionV>
          <wp:extent cx="942340" cy="9201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6307E"/>
      </w:rPr>
      <w:t xml:space="preserve">        </w:t>
    </w:r>
  </w:p>
  <w:p w14:paraId="5C946ECF" w14:textId="77777777" w:rsidR="00C8353A" w:rsidRDefault="00C8353A" w:rsidP="00C8353A">
    <w:pPr>
      <w:pStyle w:val="Header"/>
      <w:rPr>
        <w:color w:val="26307E"/>
      </w:rPr>
    </w:pPr>
    <w:r>
      <w:rPr>
        <w:color w:val="26307E"/>
      </w:rPr>
      <w:t xml:space="preserve">                                  </w:t>
    </w:r>
  </w:p>
  <w:p w14:paraId="456BE6B9" w14:textId="77777777" w:rsidR="00C8353A" w:rsidRPr="001F7E6C" w:rsidRDefault="00C8353A" w:rsidP="00C8353A">
    <w:pPr>
      <w:pStyle w:val="Header"/>
      <w:rPr>
        <w:rFonts w:ascii="Arial" w:hAnsi="Arial" w:cs="Arial"/>
        <w:color w:val="00447B"/>
        <w:sz w:val="34"/>
      </w:rPr>
    </w:pPr>
    <w:r>
      <w:rPr>
        <w:color w:val="26307E"/>
        <w:sz w:val="32"/>
      </w:rPr>
      <w:t xml:space="preserve">                      </w:t>
    </w:r>
    <w:r w:rsidRPr="001F7E6C">
      <w:rPr>
        <w:rFonts w:ascii="Arial" w:hAnsi="Arial" w:cs="Arial"/>
        <w:color w:val="00447B"/>
        <w:sz w:val="34"/>
      </w:rPr>
      <w:t>C A Y M A N   I S L A N D S</w:t>
    </w:r>
  </w:p>
  <w:p w14:paraId="577F13C8" w14:textId="77777777" w:rsidR="00C8353A" w:rsidRPr="001F7E6C" w:rsidRDefault="00C8353A" w:rsidP="00C8353A">
    <w:pPr>
      <w:pStyle w:val="Header"/>
      <w:rPr>
        <w:rFonts w:ascii="Arial Black" w:hAnsi="Arial Black" w:cs="Arial"/>
        <w:b/>
        <w:bCs/>
        <w:color w:val="00447B"/>
        <w:sz w:val="34"/>
      </w:rPr>
    </w:pPr>
    <w:r w:rsidRPr="001F7E6C">
      <w:rPr>
        <w:rFonts w:ascii="Arial" w:hAnsi="Arial" w:cs="Arial"/>
        <w:color w:val="00447B"/>
        <w:sz w:val="30"/>
      </w:rPr>
      <w:t xml:space="preserve">                     </w:t>
    </w:r>
    <w:r w:rsidRPr="001F7E6C">
      <w:rPr>
        <w:rFonts w:ascii="Arial Black" w:hAnsi="Arial Black" w:cs="Arial"/>
        <w:b/>
        <w:bCs/>
        <w:color w:val="00447B"/>
        <w:sz w:val="34"/>
      </w:rPr>
      <w:t>MONETARY AUTHORITY</w:t>
    </w:r>
  </w:p>
  <w:p w14:paraId="738E8885" w14:textId="77777777" w:rsidR="00C8353A" w:rsidRDefault="00C8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0E4"/>
    <w:multiLevelType w:val="hybridMultilevel"/>
    <w:tmpl w:val="962A60EA"/>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918C1"/>
    <w:multiLevelType w:val="hybridMultilevel"/>
    <w:tmpl w:val="9F6EEE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1312AFD"/>
    <w:multiLevelType w:val="multilevel"/>
    <w:tmpl w:val="B92A21CE"/>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4BD4091"/>
    <w:multiLevelType w:val="hybridMultilevel"/>
    <w:tmpl w:val="EB0816DE"/>
    <w:lvl w:ilvl="0" w:tplc="20A249B6">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2444A"/>
    <w:multiLevelType w:val="hybridMultilevel"/>
    <w:tmpl w:val="962A60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55757"/>
    <w:multiLevelType w:val="hybridMultilevel"/>
    <w:tmpl w:val="AA201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1D40C2"/>
    <w:multiLevelType w:val="hybridMultilevel"/>
    <w:tmpl w:val="04B2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61EB8"/>
    <w:multiLevelType w:val="hybridMultilevel"/>
    <w:tmpl w:val="2BAA76B8"/>
    <w:lvl w:ilvl="0" w:tplc="D690CC92">
      <w:start w:val="23"/>
      <w:numFmt w:val="decimal"/>
      <w:lvlText w:val="%1."/>
      <w:lvlJc w:val="left"/>
      <w:pPr>
        <w:ind w:left="720" w:hanging="360"/>
      </w:pPr>
      <w:rPr>
        <w:rFonts w:hint="default"/>
        <w:b w:val="0"/>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DD018CA"/>
    <w:multiLevelType w:val="multilevel"/>
    <w:tmpl w:val="71BA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A3E44"/>
    <w:multiLevelType w:val="multilevel"/>
    <w:tmpl w:val="130E79CC"/>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7A880BE1"/>
    <w:multiLevelType w:val="multilevel"/>
    <w:tmpl w:val="23B8A69E"/>
    <w:lvl w:ilvl="0">
      <w:start w:val="1"/>
      <w:numFmt w:val="decimal"/>
      <w:lvlText w:val="%1."/>
      <w:lvlJc w:val="left"/>
      <w:pPr>
        <w:ind w:left="360" w:hanging="360"/>
      </w:pPr>
      <w:rPr>
        <w:rFonts w:asciiTheme="minorHAnsi" w:eastAsiaTheme="minorHAnsi" w:hAnsiTheme="minorHAnsi" w:cs="Times New Roman"/>
        <w:sz w:val="22"/>
        <w:szCs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FA24EDF"/>
    <w:multiLevelType w:val="multilevel"/>
    <w:tmpl w:val="0F6C0494"/>
    <w:lvl w:ilvl="0">
      <w:start w:val="1"/>
      <w:numFmt w:val="decimal"/>
      <w:lvlText w:val="%1."/>
      <w:lvlJc w:val="left"/>
      <w:pPr>
        <w:tabs>
          <w:tab w:val="num" w:pos="720"/>
        </w:tabs>
        <w:ind w:left="720" w:hanging="360"/>
      </w:pPr>
    </w:lvl>
    <w:lvl w:ilvl="1">
      <w:start w:val="1"/>
      <w:numFmt w:val="decimal"/>
      <w:pStyle w:val="Heading2"/>
      <w:lvlText w:val="%2."/>
      <w:lvlJc w:val="left"/>
      <w:pPr>
        <w:tabs>
          <w:tab w:val="num" w:pos="1620"/>
        </w:tabs>
        <w:ind w:left="162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0"/>
  </w:num>
  <w:num w:numId="4">
    <w:abstractNumId w:val="2"/>
  </w:num>
  <w:num w:numId="5">
    <w:abstractNumId w:val="5"/>
  </w:num>
  <w:num w:numId="6">
    <w:abstractNumId w:val="3"/>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9"/>
  </w:num>
  <w:num w:numId="20">
    <w:abstractNumId w:val="11"/>
  </w:num>
  <w:num w:numId="21">
    <w:abstractNumId w:val="0"/>
  </w:num>
  <w:num w:numId="22">
    <w:abstractNumId w:val="8"/>
  </w:num>
  <w:num w:numId="23">
    <w:abstractNumId w:val="11"/>
  </w:num>
  <w:num w:numId="24">
    <w:abstractNumId w:val="1"/>
  </w:num>
  <w:num w:numId="25">
    <w:abstractNumId w:val="11"/>
    <w:lvlOverride w:ilvl="0">
      <w:startOverride w:val="42"/>
    </w:lvlOverride>
  </w:num>
  <w:num w:numId="26">
    <w:abstractNumId w:val="4"/>
  </w:num>
  <w:num w:numId="27">
    <w:abstractNumId w:val="7"/>
  </w:num>
  <w:num w:numId="2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B2"/>
    <w:rsid w:val="00000EB6"/>
    <w:rsid w:val="00003D20"/>
    <w:rsid w:val="000061D5"/>
    <w:rsid w:val="000076A2"/>
    <w:rsid w:val="00011A36"/>
    <w:rsid w:val="00012D8D"/>
    <w:rsid w:val="00015246"/>
    <w:rsid w:val="00024B28"/>
    <w:rsid w:val="000251D5"/>
    <w:rsid w:val="000262AB"/>
    <w:rsid w:val="00027065"/>
    <w:rsid w:val="0003112A"/>
    <w:rsid w:val="000342B0"/>
    <w:rsid w:val="00035192"/>
    <w:rsid w:val="00035A6A"/>
    <w:rsid w:val="00036203"/>
    <w:rsid w:val="00036D38"/>
    <w:rsid w:val="00041DD0"/>
    <w:rsid w:val="0004279D"/>
    <w:rsid w:val="00042D50"/>
    <w:rsid w:val="00043AEF"/>
    <w:rsid w:val="00043CE5"/>
    <w:rsid w:val="000452EA"/>
    <w:rsid w:val="000474F9"/>
    <w:rsid w:val="00053648"/>
    <w:rsid w:val="000575E7"/>
    <w:rsid w:val="00061420"/>
    <w:rsid w:val="000623CE"/>
    <w:rsid w:val="000658E6"/>
    <w:rsid w:val="00082EA5"/>
    <w:rsid w:val="0008498C"/>
    <w:rsid w:val="00085D68"/>
    <w:rsid w:val="00090444"/>
    <w:rsid w:val="0009057F"/>
    <w:rsid w:val="00090E71"/>
    <w:rsid w:val="000942D3"/>
    <w:rsid w:val="00094666"/>
    <w:rsid w:val="00095244"/>
    <w:rsid w:val="00096872"/>
    <w:rsid w:val="00096A50"/>
    <w:rsid w:val="000A2F6E"/>
    <w:rsid w:val="000A3AE7"/>
    <w:rsid w:val="000A431F"/>
    <w:rsid w:val="000A4662"/>
    <w:rsid w:val="000A5963"/>
    <w:rsid w:val="000A5CC5"/>
    <w:rsid w:val="000B1964"/>
    <w:rsid w:val="000B2641"/>
    <w:rsid w:val="000B4BDF"/>
    <w:rsid w:val="000B6D7F"/>
    <w:rsid w:val="000B6E30"/>
    <w:rsid w:val="000C136D"/>
    <w:rsid w:val="000C639E"/>
    <w:rsid w:val="000D0F62"/>
    <w:rsid w:val="000D24F3"/>
    <w:rsid w:val="000D3C2C"/>
    <w:rsid w:val="000D43CD"/>
    <w:rsid w:val="000D47E0"/>
    <w:rsid w:val="000E07F3"/>
    <w:rsid w:val="000E2C65"/>
    <w:rsid w:val="000F12CB"/>
    <w:rsid w:val="000F191A"/>
    <w:rsid w:val="000F4AB4"/>
    <w:rsid w:val="000F4EBA"/>
    <w:rsid w:val="000F5EEB"/>
    <w:rsid w:val="000F74F6"/>
    <w:rsid w:val="000F77AB"/>
    <w:rsid w:val="0010352A"/>
    <w:rsid w:val="0010506F"/>
    <w:rsid w:val="00106F04"/>
    <w:rsid w:val="00111039"/>
    <w:rsid w:val="0013036C"/>
    <w:rsid w:val="001416AB"/>
    <w:rsid w:val="00141761"/>
    <w:rsid w:val="00143021"/>
    <w:rsid w:val="00144E20"/>
    <w:rsid w:val="00144E21"/>
    <w:rsid w:val="00146020"/>
    <w:rsid w:val="0014772E"/>
    <w:rsid w:val="001477A5"/>
    <w:rsid w:val="00152BF9"/>
    <w:rsid w:val="001551E2"/>
    <w:rsid w:val="001575B7"/>
    <w:rsid w:val="00157664"/>
    <w:rsid w:val="00164989"/>
    <w:rsid w:val="00170996"/>
    <w:rsid w:val="00174896"/>
    <w:rsid w:val="00175024"/>
    <w:rsid w:val="00184726"/>
    <w:rsid w:val="001859B5"/>
    <w:rsid w:val="00192A5E"/>
    <w:rsid w:val="00193E02"/>
    <w:rsid w:val="00196AD2"/>
    <w:rsid w:val="001978B9"/>
    <w:rsid w:val="00197E91"/>
    <w:rsid w:val="001A0F4C"/>
    <w:rsid w:val="001A17B3"/>
    <w:rsid w:val="001A33C7"/>
    <w:rsid w:val="001A4243"/>
    <w:rsid w:val="001A704E"/>
    <w:rsid w:val="001B1267"/>
    <w:rsid w:val="001B2C6B"/>
    <w:rsid w:val="001B5414"/>
    <w:rsid w:val="001B5DCF"/>
    <w:rsid w:val="001B61B8"/>
    <w:rsid w:val="001C14B6"/>
    <w:rsid w:val="001C37C6"/>
    <w:rsid w:val="001C5FB7"/>
    <w:rsid w:val="001C7A6B"/>
    <w:rsid w:val="001D343D"/>
    <w:rsid w:val="001D58FB"/>
    <w:rsid w:val="001E08FC"/>
    <w:rsid w:val="001E4900"/>
    <w:rsid w:val="001E5C2F"/>
    <w:rsid w:val="001E64D4"/>
    <w:rsid w:val="001E7DA8"/>
    <w:rsid w:val="001F10D2"/>
    <w:rsid w:val="001F1BE5"/>
    <w:rsid w:val="001F3DD6"/>
    <w:rsid w:val="001F794B"/>
    <w:rsid w:val="00206623"/>
    <w:rsid w:val="00210AA4"/>
    <w:rsid w:val="00210B28"/>
    <w:rsid w:val="0021156B"/>
    <w:rsid w:val="00212318"/>
    <w:rsid w:val="0021257E"/>
    <w:rsid w:val="00213BB6"/>
    <w:rsid w:val="00215632"/>
    <w:rsid w:val="00216FC2"/>
    <w:rsid w:val="0022192C"/>
    <w:rsid w:val="002233A1"/>
    <w:rsid w:val="00224126"/>
    <w:rsid w:val="002243FE"/>
    <w:rsid w:val="002247DB"/>
    <w:rsid w:val="00225B38"/>
    <w:rsid w:val="00225F30"/>
    <w:rsid w:val="00233D28"/>
    <w:rsid w:val="00234116"/>
    <w:rsid w:val="0023645B"/>
    <w:rsid w:val="002373B5"/>
    <w:rsid w:val="00242563"/>
    <w:rsid w:val="002465CF"/>
    <w:rsid w:val="0025108D"/>
    <w:rsid w:val="0025301E"/>
    <w:rsid w:val="0026180D"/>
    <w:rsid w:val="00262CA2"/>
    <w:rsid w:val="00267BE9"/>
    <w:rsid w:val="00267F5A"/>
    <w:rsid w:val="00271195"/>
    <w:rsid w:val="00274E51"/>
    <w:rsid w:val="00274E8C"/>
    <w:rsid w:val="00274ED7"/>
    <w:rsid w:val="0028075B"/>
    <w:rsid w:val="00283201"/>
    <w:rsid w:val="00286BC9"/>
    <w:rsid w:val="0028709E"/>
    <w:rsid w:val="002942A2"/>
    <w:rsid w:val="00294376"/>
    <w:rsid w:val="002A2FD7"/>
    <w:rsid w:val="002A4231"/>
    <w:rsid w:val="002A5E33"/>
    <w:rsid w:val="002A7D7C"/>
    <w:rsid w:val="002B3FBA"/>
    <w:rsid w:val="002B5356"/>
    <w:rsid w:val="002B5C90"/>
    <w:rsid w:val="002B5E4D"/>
    <w:rsid w:val="002C0FB9"/>
    <w:rsid w:val="002C1CFF"/>
    <w:rsid w:val="002C2C71"/>
    <w:rsid w:val="002C36AE"/>
    <w:rsid w:val="002C5958"/>
    <w:rsid w:val="002D08BB"/>
    <w:rsid w:val="002D090A"/>
    <w:rsid w:val="002D13FE"/>
    <w:rsid w:val="002D1563"/>
    <w:rsid w:val="002D1915"/>
    <w:rsid w:val="002D2977"/>
    <w:rsid w:val="002D4721"/>
    <w:rsid w:val="002D4928"/>
    <w:rsid w:val="002D5942"/>
    <w:rsid w:val="002D7891"/>
    <w:rsid w:val="002D78C2"/>
    <w:rsid w:val="002D7CFF"/>
    <w:rsid w:val="002E0D00"/>
    <w:rsid w:val="002E1CAE"/>
    <w:rsid w:val="002E245C"/>
    <w:rsid w:val="002E3C6C"/>
    <w:rsid w:val="002E50EA"/>
    <w:rsid w:val="002F0BDE"/>
    <w:rsid w:val="002F154D"/>
    <w:rsid w:val="002F1E52"/>
    <w:rsid w:val="002F32AE"/>
    <w:rsid w:val="002F5A8C"/>
    <w:rsid w:val="002F639B"/>
    <w:rsid w:val="0030156B"/>
    <w:rsid w:val="00304320"/>
    <w:rsid w:val="00305FC2"/>
    <w:rsid w:val="00305FD9"/>
    <w:rsid w:val="00306B50"/>
    <w:rsid w:val="003078C4"/>
    <w:rsid w:val="003100FB"/>
    <w:rsid w:val="003141D6"/>
    <w:rsid w:val="003143CD"/>
    <w:rsid w:val="00315DE8"/>
    <w:rsid w:val="003177AF"/>
    <w:rsid w:val="003260DF"/>
    <w:rsid w:val="00326EF8"/>
    <w:rsid w:val="003350D5"/>
    <w:rsid w:val="0033665B"/>
    <w:rsid w:val="00337B2F"/>
    <w:rsid w:val="00337CCD"/>
    <w:rsid w:val="003409FF"/>
    <w:rsid w:val="003432C8"/>
    <w:rsid w:val="00350694"/>
    <w:rsid w:val="003520DD"/>
    <w:rsid w:val="003545A3"/>
    <w:rsid w:val="00354BEB"/>
    <w:rsid w:val="00361A9B"/>
    <w:rsid w:val="0036213E"/>
    <w:rsid w:val="00364ADE"/>
    <w:rsid w:val="00366014"/>
    <w:rsid w:val="00366339"/>
    <w:rsid w:val="00366B67"/>
    <w:rsid w:val="00366FDC"/>
    <w:rsid w:val="00367F26"/>
    <w:rsid w:val="0037178B"/>
    <w:rsid w:val="003721C3"/>
    <w:rsid w:val="00372206"/>
    <w:rsid w:val="00376DF9"/>
    <w:rsid w:val="00380CF8"/>
    <w:rsid w:val="00383187"/>
    <w:rsid w:val="00384965"/>
    <w:rsid w:val="00387BED"/>
    <w:rsid w:val="00392C3F"/>
    <w:rsid w:val="00396A80"/>
    <w:rsid w:val="00396C68"/>
    <w:rsid w:val="003A1CC2"/>
    <w:rsid w:val="003A5E8B"/>
    <w:rsid w:val="003A74A8"/>
    <w:rsid w:val="003B0B67"/>
    <w:rsid w:val="003B1EBF"/>
    <w:rsid w:val="003B4FDB"/>
    <w:rsid w:val="003B5D47"/>
    <w:rsid w:val="003C014A"/>
    <w:rsid w:val="003C03AC"/>
    <w:rsid w:val="003C3C5B"/>
    <w:rsid w:val="003C4C47"/>
    <w:rsid w:val="003C6B0C"/>
    <w:rsid w:val="003D2421"/>
    <w:rsid w:val="003D4320"/>
    <w:rsid w:val="003D61B2"/>
    <w:rsid w:val="003E2A5C"/>
    <w:rsid w:val="003E4671"/>
    <w:rsid w:val="003F48BB"/>
    <w:rsid w:val="003F5377"/>
    <w:rsid w:val="003F6F4A"/>
    <w:rsid w:val="003F72A7"/>
    <w:rsid w:val="003F7688"/>
    <w:rsid w:val="003F79F1"/>
    <w:rsid w:val="004006DF"/>
    <w:rsid w:val="004023C4"/>
    <w:rsid w:val="0040592D"/>
    <w:rsid w:val="0041031B"/>
    <w:rsid w:val="00414FED"/>
    <w:rsid w:val="004151BF"/>
    <w:rsid w:val="00422AE3"/>
    <w:rsid w:val="004231F2"/>
    <w:rsid w:val="00423616"/>
    <w:rsid w:val="00425B0D"/>
    <w:rsid w:val="00430818"/>
    <w:rsid w:val="00430FD1"/>
    <w:rsid w:val="00431121"/>
    <w:rsid w:val="00431F43"/>
    <w:rsid w:val="00432316"/>
    <w:rsid w:val="00434E78"/>
    <w:rsid w:val="00435A05"/>
    <w:rsid w:val="00435D6D"/>
    <w:rsid w:val="00440FFB"/>
    <w:rsid w:val="004447E5"/>
    <w:rsid w:val="0044792C"/>
    <w:rsid w:val="004530D6"/>
    <w:rsid w:val="00453BB0"/>
    <w:rsid w:val="004557F0"/>
    <w:rsid w:val="004624F6"/>
    <w:rsid w:val="00462CA7"/>
    <w:rsid w:val="00464003"/>
    <w:rsid w:val="0046433C"/>
    <w:rsid w:val="0046498F"/>
    <w:rsid w:val="004666A5"/>
    <w:rsid w:val="00470FB8"/>
    <w:rsid w:val="00471DB4"/>
    <w:rsid w:val="00473700"/>
    <w:rsid w:val="00477006"/>
    <w:rsid w:val="004775E0"/>
    <w:rsid w:val="00480CB2"/>
    <w:rsid w:val="00480DF4"/>
    <w:rsid w:val="00482FD4"/>
    <w:rsid w:val="004830EE"/>
    <w:rsid w:val="004858E5"/>
    <w:rsid w:val="0048671E"/>
    <w:rsid w:val="00490240"/>
    <w:rsid w:val="004908A7"/>
    <w:rsid w:val="004922DE"/>
    <w:rsid w:val="004932E7"/>
    <w:rsid w:val="00497440"/>
    <w:rsid w:val="00497A6D"/>
    <w:rsid w:val="004A3444"/>
    <w:rsid w:val="004A4359"/>
    <w:rsid w:val="004A488F"/>
    <w:rsid w:val="004A4FBE"/>
    <w:rsid w:val="004B2A8C"/>
    <w:rsid w:val="004B33B9"/>
    <w:rsid w:val="004B3499"/>
    <w:rsid w:val="004B5872"/>
    <w:rsid w:val="004B63F3"/>
    <w:rsid w:val="004B73BF"/>
    <w:rsid w:val="004B79B7"/>
    <w:rsid w:val="004C2538"/>
    <w:rsid w:val="004C730B"/>
    <w:rsid w:val="004C738B"/>
    <w:rsid w:val="004D0B02"/>
    <w:rsid w:val="004D3408"/>
    <w:rsid w:val="004D4354"/>
    <w:rsid w:val="004D646D"/>
    <w:rsid w:val="004D73DC"/>
    <w:rsid w:val="004E28AF"/>
    <w:rsid w:val="004E5F89"/>
    <w:rsid w:val="004F3C6F"/>
    <w:rsid w:val="004F5203"/>
    <w:rsid w:val="004F5D51"/>
    <w:rsid w:val="004F6934"/>
    <w:rsid w:val="00502011"/>
    <w:rsid w:val="00504254"/>
    <w:rsid w:val="005058C3"/>
    <w:rsid w:val="0051072D"/>
    <w:rsid w:val="00510BE7"/>
    <w:rsid w:val="00512C32"/>
    <w:rsid w:val="00524F8C"/>
    <w:rsid w:val="005302C6"/>
    <w:rsid w:val="00530419"/>
    <w:rsid w:val="005331F3"/>
    <w:rsid w:val="005342E5"/>
    <w:rsid w:val="00535AB3"/>
    <w:rsid w:val="00536539"/>
    <w:rsid w:val="00543695"/>
    <w:rsid w:val="005451CD"/>
    <w:rsid w:val="00546E40"/>
    <w:rsid w:val="00547745"/>
    <w:rsid w:val="005508A1"/>
    <w:rsid w:val="0055214E"/>
    <w:rsid w:val="00552326"/>
    <w:rsid w:val="00562AE1"/>
    <w:rsid w:val="0056489A"/>
    <w:rsid w:val="0056642C"/>
    <w:rsid w:val="00566C9D"/>
    <w:rsid w:val="0056795F"/>
    <w:rsid w:val="00570666"/>
    <w:rsid w:val="00572E2B"/>
    <w:rsid w:val="00580298"/>
    <w:rsid w:val="005862D0"/>
    <w:rsid w:val="00590661"/>
    <w:rsid w:val="0059247D"/>
    <w:rsid w:val="00594A84"/>
    <w:rsid w:val="005A35A3"/>
    <w:rsid w:val="005A3D03"/>
    <w:rsid w:val="005A4C4F"/>
    <w:rsid w:val="005A4E9F"/>
    <w:rsid w:val="005A57C4"/>
    <w:rsid w:val="005A60BC"/>
    <w:rsid w:val="005A643F"/>
    <w:rsid w:val="005B257B"/>
    <w:rsid w:val="005B6722"/>
    <w:rsid w:val="005C180D"/>
    <w:rsid w:val="005C2030"/>
    <w:rsid w:val="005C40B2"/>
    <w:rsid w:val="005C4205"/>
    <w:rsid w:val="005C4C2D"/>
    <w:rsid w:val="005C4CC6"/>
    <w:rsid w:val="005C5CD6"/>
    <w:rsid w:val="005D0E2B"/>
    <w:rsid w:val="005D2312"/>
    <w:rsid w:val="005E26E8"/>
    <w:rsid w:val="005E3E30"/>
    <w:rsid w:val="005E729E"/>
    <w:rsid w:val="005E789C"/>
    <w:rsid w:val="005E7E35"/>
    <w:rsid w:val="005F259B"/>
    <w:rsid w:val="005F3D4E"/>
    <w:rsid w:val="005F3DC5"/>
    <w:rsid w:val="005F4538"/>
    <w:rsid w:val="005F5447"/>
    <w:rsid w:val="005F6A77"/>
    <w:rsid w:val="00601328"/>
    <w:rsid w:val="00601594"/>
    <w:rsid w:val="00603251"/>
    <w:rsid w:val="006039A3"/>
    <w:rsid w:val="00604647"/>
    <w:rsid w:val="00606AAE"/>
    <w:rsid w:val="00610C0D"/>
    <w:rsid w:val="00611A94"/>
    <w:rsid w:val="006124F9"/>
    <w:rsid w:val="0061253A"/>
    <w:rsid w:val="00615661"/>
    <w:rsid w:val="00615FC5"/>
    <w:rsid w:val="00616885"/>
    <w:rsid w:val="006176F2"/>
    <w:rsid w:val="006207BB"/>
    <w:rsid w:val="00620BE9"/>
    <w:rsid w:val="00622B1C"/>
    <w:rsid w:val="00622EA7"/>
    <w:rsid w:val="00623BAD"/>
    <w:rsid w:val="0063453E"/>
    <w:rsid w:val="00636589"/>
    <w:rsid w:val="00644210"/>
    <w:rsid w:val="00646F19"/>
    <w:rsid w:val="006522CE"/>
    <w:rsid w:val="00653715"/>
    <w:rsid w:val="00654100"/>
    <w:rsid w:val="00662396"/>
    <w:rsid w:val="0066560D"/>
    <w:rsid w:val="00665BA0"/>
    <w:rsid w:val="006709C3"/>
    <w:rsid w:val="00670E56"/>
    <w:rsid w:val="00675E0C"/>
    <w:rsid w:val="006826F4"/>
    <w:rsid w:val="0068403A"/>
    <w:rsid w:val="00686A86"/>
    <w:rsid w:val="00687790"/>
    <w:rsid w:val="006928F1"/>
    <w:rsid w:val="00695A97"/>
    <w:rsid w:val="006A4F84"/>
    <w:rsid w:val="006B09F1"/>
    <w:rsid w:val="006B2F19"/>
    <w:rsid w:val="006C592F"/>
    <w:rsid w:val="006C5C01"/>
    <w:rsid w:val="006D1722"/>
    <w:rsid w:val="006D3569"/>
    <w:rsid w:val="006D481E"/>
    <w:rsid w:val="006D60AE"/>
    <w:rsid w:val="006D7012"/>
    <w:rsid w:val="006D7588"/>
    <w:rsid w:val="006E4497"/>
    <w:rsid w:val="006E4D90"/>
    <w:rsid w:val="006E5BDA"/>
    <w:rsid w:val="006E5C88"/>
    <w:rsid w:val="006F1EE2"/>
    <w:rsid w:val="006F1F86"/>
    <w:rsid w:val="006F2979"/>
    <w:rsid w:val="006F3B84"/>
    <w:rsid w:val="00703A95"/>
    <w:rsid w:val="00703AB3"/>
    <w:rsid w:val="00712726"/>
    <w:rsid w:val="007145F1"/>
    <w:rsid w:val="00714C33"/>
    <w:rsid w:val="00720903"/>
    <w:rsid w:val="00722596"/>
    <w:rsid w:val="00726A93"/>
    <w:rsid w:val="007324AE"/>
    <w:rsid w:val="00732A42"/>
    <w:rsid w:val="00734B26"/>
    <w:rsid w:val="00735FAE"/>
    <w:rsid w:val="00736173"/>
    <w:rsid w:val="00737EEC"/>
    <w:rsid w:val="0074088B"/>
    <w:rsid w:val="007435A6"/>
    <w:rsid w:val="00743848"/>
    <w:rsid w:val="007521CA"/>
    <w:rsid w:val="00752935"/>
    <w:rsid w:val="00753CC5"/>
    <w:rsid w:val="0075431D"/>
    <w:rsid w:val="0075449E"/>
    <w:rsid w:val="00760BDF"/>
    <w:rsid w:val="00760D79"/>
    <w:rsid w:val="00761019"/>
    <w:rsid w:val="00762739"/>
    <w:rsid w:val="00763E8C"/>
    <w:rsid w:val="00766CDB"/>
    <w:rsid w:val="007678B7"/>
    <w:rsid w:val="00773FAA"/>
    <w:rsid w:val="00780E82"/>
    <w:rsid w:val="007818E5"/>
    <w:rsid w:val="00783660"/>
    <w:rsid w:val="007843C4"/>
    <w:rsid w:val="0078514E"/>
    <w:rsid w:val="00792979"/>
    <w:rsid w:val="007959E2"/>
    <w:rsid w:val="00797464"/>
    <w:rsid w:val="007A061A"/>
    <w:rsid w:val="007A1EDC"/>
    <w:rsid w:val="007A493A"/>
    <w:rsid w:val="007A4A1A"/>
    <w:rsid w:val="007A5C9B"/>
    <w:rsid w:val="007A674B"/>
    <w:rsid w:val="007A69D0"/>
    <w:rsid w:val="007B41EC"/>
    <w:rsid w:val="007B5391"/>
    <w:rsid w:val="007C0944"/>
    <w:rsid w:val="007C23CA"/>
    <w:rsid w:val="007C2B08"/>
    <w:rsid w:val="007C55E5"/>
    <w:rsid w:val="007C62F2"/>
    <w:rsid w:val="007C731C"/>
    <w:rsid w:val="007D181A"/>
    <w:rsid w:val="007D2D60"/>
    <w:rsid w:val="007E0F8F"/>
    <w:rsid w:val="007E1103"/>
    <w:rsid w:val="007E3061"/>
    <w:rsid w:val="007E49AF"/>
    <w:rsid w:val="007E5076"/>
    <w:rsid w:val="007F0484"/>
    <w:rsid w:val="007F0705"/>
    <w:rsid w:val="007F35FC"/>
    <w:rsid w:val="00800391"/>
    <w:rsid w:val="00803A57"/>
    <w:rsid w:val="00804BD1"/>
    <w:rsid w:val="008068B8"/>
    <w:rsid w:val="00806E2D"/>
    <w:rsid w:val="00807AF0"/>
    <w:rsid w:val="00812D41"/>
    <w:rsid w:val="00814416"/>
    <w:rsid w:val="00815F23"/>
    <w:rsid w:val="008163D8"/>
    <w:rsid w:val="00816E97"/>
    <w:rsid w:val="00824BAB"/>
    <w:rsid w:val="00826C11"/>
    <w:rsid w:val="00831C50"/>
    <w:rsid w:val="0083362B"/>
    <w:rsid w:val="0083642E"/>
    <w:rsid w:val="008377FE"/>
    <w:rsid w:val="00837C92"/>
    <w:rsid w:val="008427F9"/>
    <w:rsid w:val="00843AB5"/>
    <w:rsid w:val="00844EBE"/>
    <w:rsid w:val="0084571B"/>
    <w:rsid w:val="00845A03"/>
    <w:rsid w:val="00845B7D"/>
    <w:rsid w:val="00845E9F"/>
    <w:rsid w:val="00847364"/>
    <w:rsid w:val="00847B83"/>
    <w:rsid w:val="00850590"/>
    <w:rsid w:val="00854F48"/>
    <w:rsid w:val="00855CEB"/>
    <w:rsid w:val="00856D94"/>
    <w:rsid w:val="008606BB"/>
    <w:rsid w:val="008608F4"/>
    <w:rsid w:val="00860D0A"/>
    <w:rsid w:val="00861D98"/>
    <w:rsid w:val="00867364"/>
    <w:rsid w:val="008740F4"/>
    <w:rsid w:val="00877779"/>
    <w:rsid w:val="0088012D"/>
    <w:rsid w:val="00881702"/>
    <w:rsid w:val="008829F0"/>
    <w:rsid w:val="00883ED5"/>
    <w:rsid w:val="008850BE"/>
    <w:rsid w:val="00887A26"/>
    <w:rsid w:val="00887D73"/>
    <w:rsid w:val="00890DF3"/>
    <w:rsid w:val="00892AF2"/>
    <w:rsid w:val="00894768"/>
    <w:rsid w:val="00896394"/>
    <w:rsid w:val="008A0C92"/>
    <w:rsid w:val="008A11AD"/>
    <w:rsid w:val="008A2C54"/>
    <w:rsid w:val="008A4094"/>
    <w:rsid w:val="008A4E44"/>
    <w:rsid w:val="008A5ACB"/>
    <w:rsid w:val="008A5C52"/>
    <w:rsid w:val="008A5D7B"/>
    <w:rsid w:val="008A5EF4"/>
    <w:rsid w:val="008A671C"/>
    <w:rsid w:val="008A6982"/>
    <w:rsid w:val="008A7D0D"/>
    <w:rsid w:val="008B3CA2"/>
    <w:rsid w:val="008B44A6"/>
    <w:rsid w:val="008B46A2"/>
    <w:rsid w:val="008B5EB5"/>
    <w:rsid w:val="008C0455"/>
    <w:rsid w:val="008C0FC9"/>
    <w:rsid w:val="008C2566"/>
    <w:rsid w:val="008C35DF"/>
    <w:rsid w:val="008C4C3D"/>
    <w:rsid w:val="008C5C26"/>
    <w:rsid w:val="008C6FD5"/>
    <w:rsid w:val="008D0EE4"/>
    <w:rsid w:val="008E233E"/>
    <w:rsid w:val="008E39C7"/>
    <w:rsid w:val="008E4ABA"/>
    <w:rsid w:val="008E5F77"/>
    <w:rsid w:val="008E630D"/>
    <w:rsid w:val="008E6F1F"/>
    <w:rsid w:val="008F0134"/>
    <w:rsid w:val="008F1FF5"/>
    <w:rsid w:val="008F22CF"/>
    <w:rsid w:val="008F4752"/>
    <w:rsid w:val="008F6FC1"/>
    <w:rsid w:val="008F7695"/>
    <w:rsid w:val="008F7FD3"/>
    <w:rsid w:val="0090023F"/>
    <w:rsid w:val="00900B68"/>
    <w:rsid w:val="0090160C"/>
    <w:rsid w:val="00902D7D"/>
    <w:rsid w:val="00903D33"/>
    <w:rsid w:val="0090487E"/>
    <w:rsid w:val="00904B7B"/>
    <w:rsid w:val="00904BF8"/>
    <w:rsid w:val="009056A3"/>
    <w:rsid w:val="00907A06"/>
    <w:rsid w:val="00910ECE"/>
    <w:rsid w:val="0091219B"/>
    <w:rsid w:val="00916FC8"/>
    <w:rsid w:val="00920946"/>
    <w:rsid w:val="0094340A"/>
    <w:rsid w:val="009530A3"/>
    <w:rsid w:val="00953253"/>
    <w:rsid w:val="00955962"/>
    <w:rsid w:val="00956092"/>
    <w:rsid w:val="00956C44"/>
    <w:rsid w:val="00960503"/>
    <w:rsid w:val="00962AA0"/>
    <w:rsid w:val="0096656B"/>
    <w:rsid w:val="00966A49"/>
    <w:rsid w:val="00966F64"/>
    <w:rsid w:val="00967C4A"/>
    <w:rsid w:val="00967DFB"/>
    <w:rsid w:val="00971A3E"/>
    <w:rsid w:val="00971CC9"/>
    <w:rsid w:val="0097358C"/>
    <w:rsid w:val="00974A99"/>
    <w:rsid w:val="00975A7E"/>
    <w:rsid w:val="00976E85"/>
    <w:rsid w:val="00980D4E"/>
    <w:rsid w:val="00983976"/>
    <w:rsid w:val="009844F4"/>
    <w:rsid w:val="00985EAC"/>
    <w:rsid w:val="00987FD1"/>
    <w:rsid w:val="009905E3"/>
    <w:rsid w:val="00992B77"/>
    <w:rsid w:val="0099508F"/>
    <w:rsid w:val="009968BC"/>
    <w:rsid w:val="0099786B"/>
    <w:rsid w:val="009A1711"/>
    <w:rsid w:val="009A36BC"/>
    <w:rsid w:val="009A5131"/>
    <w:rsid w:val="009A5938"/>
    <w:rsid w:val="009A5DF7"/>
    <w:rsid w:val="009A6052"/>
    <w:rsid w:val="009A7B02"/>
    <w:rsid w:val="009B0025"/>
    <w:rsid w:val="009C0264"/>
    <w:rsid w:val="009C4106"/>
    <w:rsid w:val="009D10A2"/>
    <w:rsid w:val="009D6771"/>
    <w:rsid w:val="009D7E53"/>
    <w:rsid w:val="009E0B28"/>
    <w:rsid w:val="009E1B33"/>
    <w:rsid w:val="009E2E7D"/>
    <w:rsid w:val="009E354B"/>
    <w:rsid w:val="009E3B26"/>
    <w:rsid w:val="009E7A89"/>
    <w:rsid w:val="009F0FD9"/>
    <w:rsid w:val="009F1563"/>
    <w:rsid w:val="009F3C66"/>
    <w:rsid w:val="009F3DFB"/>
    <w:rsid w:val="009F404C"/>
    <w:rsid w:val="009F52F6"/>
    <w:rsid w:val="009F79C7"/>
    <w:rsid w:val="00A04569"/>
    <w:rsid w:val="00A04DB3"/>
    <w:rsid w:val="00A06E03"/>
    <w:rsid w:val="00A10A20"/>
    <w:rsid w:val="00A11F2D"/>
    <w:rsid w:val="00A1415B"/>
    <w:rsid w:val="00A16B1B"/>
    <w:rsid w:val="00A175B8"/>
    <w:rsid w:val="00A26014"/>
    <w:rsid w:val="00A33974"/>
    <w:rsid w:val="00A34DCB"/>
    <w:rsid w:val="00A42C7B"/>
    <w:rsid w:val="00A478D8"/>
    <w:rsid w:val="00A52A0E"/>
    <w:rsid w:val="00A55AC0"/>
    <w:rsid w:val="00A56466"/>
    <w:rsid w:val="00A611CD"/>
    <w:rsid w:val="00A61E6F"/>
    <w:rsid w:val="00A62214"/>
    <w:rsid w:val="00A62C30"/>
    <w:rsid w:val="00A62CF5"/>
    <w:rsid w:val="00A66F57"/>
    <w:rsid w:val="00A67329"/>
    <w:rsid w:val="00A67FA1"/>
    <w:rsid w:val="00A71EAF"/>
    <w:rsid w:val="00A73559"/>
    <w:rsid w:val="00A77194"/>
    <w:rsid w:val="00A842E5"/>
    <w:rsid w:val="00A86B29"/>
    <w:rsid w:val="00A90C0C"/>
    <w:rsid w:val="00A91EC0"/>
    <w:rsid w:val="00A92B2C"/>
    <w:rsid w:val="00A94434"/>
    <w:rsid w:val="00A95BEC"/>
    <w:rsid w:val="00A97696"/>
    <w:rsid w:val="00AA21E8"/>
    <w:rsid w:val="00AA24B1"/>
    <w:rsid w:val="00AA61E4"/>
    <w:rsid w:val="00AA7F58"/>
    <w:rsid w:val="00AB5173"/>
    <w:rsid w:val="00AB6571"/>
    <w:rsid w:val="00AC2DCA"/>
    <w:rsid w:val="00AC56A1"/>
    <w:rsid w:val="00AC5C84"/>
    <w:rsid w:val="00AC5EE3"/>
    <w:rsid w:val="00AC61DF"/>
    <w:rsid w:val="00AD1FF3"/>
    <w:rsid w:val="00AD6944"/>
    <w:rsid w:val="00AD79D6"/>
    <w:rsid w:val="00AD7C50"/>
    <w:rsid w:val="00AE0496"/>
    <w:rsid w:val="00AE24B7"/>
    <w:rsid w:val="00AE493F"/>
    <w:rsid w:val="00AE6097"/>
    <w:rsid w:val="00AE649C"/>
    <w:rsid w:val="00AF0170"/>
    <w:rsid w:val="00AF28C2"/>
    <w:rsid w:val="00AF2C0E"/>
    <w:rsid w:val="00AF3B19"/>
    <w:rsid w:val="00AF4E6D"/>
    <w:rsid w:val="00AF7952"/>
    <w:rsid w:val="00AF7E0A"/>
    <w:rsid w:val="00B006D5"/>
    <w:rsid w:val="00B04C8D"/>
    <w:rsid w:val="00B144E6"/>
    <w:rsid w:val="00B14EDE"/>
    <w:rsid w:val="00B16AF4"/>
    <w:rsid w:val="00B1760F"/>
    <w:rsid w:val="00B25613"/>
    <w:rsid w:val="00B267A5"/>
    <w:rsid w:val="00B27A50"/>
    <w:rsid w:val="00B352CE"/>
    <w:rsid w:val="00B376DC"/>
    <w:rsid w:val="00B427B8"/>
    <w:rsid w:val="00B4754E"/>
    <w:rsid w:val="00B47875"/>
    <w:rsid w:val="00B5185B"/>
    <w:rsid w:val="00B51C7C"/>
    <w:rsid w:val="00B5214B"/>
    <w:rsid w:val="00B621FE"/>
    <w:rsid w:val="00B66961"/>
    <w:rsid w:val="00B66B19"/>
    <w:rsid w:val="00B70285"/>
    <w:rsid w:val="00B71523"/>
    <w:rsid w:val="00B71925"/>
    <w:rsid w:val="00B7320D"/>
    <w:rsid w:val="00B75826"/>
    <w:rsid w:val="00B75A6C"/>
    <w:rsid w:val="00B75A6E"/>
    <w:rsid w:val="00B770A6"/>
    <w:rsid w:val="00B779CE"/>
    <w:rsid w:val="00B858DE"/>
    <w:rsid w:val="00B8684A"/>
    <w:rsid w:val="00B87086"/>
    <w:rsid w:val="00B95626"/>
    <w:rsid w:val="00BA0513"/>
    <w:rsid w:val="00BA129A"/>
    <w:rsid w:val="00BA53F9"/>
    <w:rsid w:val="00BA7622"/>
    <w:rsid w:val="00BA7D1B"/>
    <w:rsid w:val="00BB05E6"/>
    <w:rsid w:val="00BB1BDF"/>
    <w:rsid w:val="00BB2394"/>
    <w:rsid w:val="00BB43B6"/>
    <w:rsid w:val="00BB6214"/>
    <w:rsid w:val="00BC04A9"/>
    <w:rsid w:val="00BC0930"/>
    <w:rsid w:val="00BC3E4F"/>
    <w:rsid w:val="00BC52D6"/>
    <w:rsid w:val="00BC5E62"/>
    <w:rsid w:val="00BC68EC"/>
    <w:rsid w:val="00BC7BFD"/>
    <w:rsid w:val="00BD04F8"/>
    <w:rsid w:val="00BE07EA"/>
    <w:rsid w:val="00BE3849"/>
    <w:rsid w:val="00BE4703"/>
    <w:rsid w:val="00BF121D"/>
    <w:rsid w:val="00BF22EF"/>
    <w:rsid w:val="00BF6ED3"/>
    <w:rsid w:val="00BF7CD0"/>
    <w:rsid w:val="00C02820"/>
    <w:rsid w:val="00C04DBF"/>
    <w:rsid w:val="00C056E8"/>
    <w:rsid w:val="00C06098"/>
    <w:rsid w:val="00C0612A"/>
    <w:rsid w:val="00C06797"/>
    <w:rsid w:val="00C07A06"/>
    <w:rsid w:val="00C10AB0"/>
    <w:rsid w:val="00C12D9A"/>
    <w:rsid w:val="00C202D4"/>
    <w:rsid w:val="00C21BBA"/>
    <w:rsid w:val="00C2262D"/>
    <w:rsid w:val="00C23C53"/>
    <w:rsid w:val="00C24982"/>
    <w:rsid w:val="00C30705"/>
    <w:rsid w:val="00C32BCE"/>
    <w:rsid w:val="00C36572"/>
    <w:rsid w:val="00C369A8"/>
    <w:rsid w:val="00C413A4"/>
    <w:rsid w:val="00C4319C"/>
    <w:rsid w:val="00C43C24"/>
    <w:rsid w:val="00C4450B"/>
    <w:rsid w:val="00C448AB"/>
    <w:rsid w:val="00C44F1D"/>
    <w:rsid w:val="00C45A85"/>
    <w:rsid w:val="00C46527"/>
    <w:rsid w:val="00C46ADC"/>
    <w:rsid w:val="00C46D84"/>
    <w:rsid w:val="00C50B3F"/>
    <w:rsid w:val="00C524BB"/>
    <w:rsid w:val="00C53074"/>
    <w:rsid w:val="00C53615"/>
    <w:rsid w:val="00C542A4"/>
    <w:rsid w:val="00C54711"/>
    <w:rsid w:val="00C60280"/>
    <w:rsid w:val="00C61D6C"/>
    <w:rsid w:val="00C6364A"/>
    <w:rsid w:val="00C6495A"/>
    <w:rsid w:val="00C6669F"/>
    <w:rsid w:val="00C66AFB"/>
    <w:rsid w:val="00C67FF2"/>
    <w:rsid w:val="00C71661"/>
    <w:rsid w:val="00C72D48"/>
    <w:rsid w:val="00C74754"/>
    <w:rsid w:val="00C77006"/>
    <w:rsid w:val="00C8353A"/>
    <w:rsid w:val="00C86403"/>
    <w:rsid w:val="00C94293"/>
    <w:rsid w:val="00C9716E"/>
    <w:rsid w:val="00CA38C4"/>
    <w:rsid w:val="00CA436C"/>
    <w:rsid w:val="00CA63F8"/>
    <w:rsid w:val="00CA6C3E"/>
    <w:rsid w:val="00CA6DB6"/>
    <w:rsid w:val="00CB0A8B"/>
    <w:rsid w:val="00CB2BA9"/>
    <w:rsid w:val="00CB6090"/>
    <w:rsid w:val="00CC01F8"/>
    <w:rsid w:val="00CD275C"/>
    <w:rsid w:val="00CD47E6"/>
    <w:rsid w:val="00CD4F2E"/>
    <w:rsid w:val="00CD6C2A"/>
    <w:rsid w:val="00CE04FF"/>
    <w:rsid w:val="00CE1435"/>
    <w:rsid w:val="00CE20F2"/>
    <w:rsid w:val="00CE3287"/>
    <w:rsid w:val="00CE35A0"/>
    <w:rsid w:val="00CE4975"/>
    <w:rsid w:val="00CF2F34"/>
    <w:rsid w:val="00CF2F6D"/>
    <w:rsid w:val="00CF74EC"/>
    <w:rsid w:val="00D060B1"/>
    <w:rsid w:val="00D07DB1"/>
    <w:rsid w:val="00D14E8B"/>
    <w:rsid w:val="00D224DB"/>
    <w:rsid w:val="00D23079"/>
    <w:rsid w:val="00D23D9D"/>
    <w:rsid w:val="00D33AA1"/>
    <w:rsid w:val="00D343B8"/>
    <w:rsid w:val="00D35511"/>
    <w:rsid w:val="00D359E6"/>
    <w:rsid w:val="00D4143C"/>
    <w:rsid w:val="00D42E05"/>
    <w:rsid w:val="00D47964"/>
    <w:rsid w:val="00D55AD2"/>
    <w:rsid w:val="00D607BA"/>
    <w:rsid w:val="00D618A9"/>
    <w:rsid w:val="00D6308A"/>
    <w:rsid w:val="00D64649"/>
    <w:rsid w:val="00D6491F"/>
    <w:rsid w:val="00D72215"/>
    <w:rsid w:val="00D73BC9"/>
    <w:rsid w:val="00D743C8"/>
    <w:rsid w:val="00D76881"/>
    <w:rsid w:val="00D76CF0"/>
    <w:rsid w:val="00D8117F"/>
    <w:rsid w:val="00D859BB"/>
    <w:rsid w:val="00D87026"/>
    <w:rsid w:val="00D90013"/>
    <w:rsid w:val="00D90774"/>
    <w:rsid w:val="00D947A9"/>
    <w:rsid w:val="00D94A71"/>
    <w:rsid w:val="00D96DBC"/>
    <w:rsid w:val="00D96EA7"/>
    <w:rsid w:val="00DA0A3A"/>
    <w:rsid w:val="00DA6BA1"/>
    <w:rsid w:val="00DB20DD"/>
    <w:rsid w:val="00DB26AB"/>
    <w:rsid w:val="00DB3414"/>
    <w:rsid w:val="00DB4A4D"/>
    <w:rsid w:val="00DB4DF6"/>
    <w:rsid w:val="00DB60E8"/>
    <w:rsid w:val="00DB6292"/>
    <w:rsid w:val="00DC1E3D"/>
    <w:rsid w:val="00DC2581"/>
    <w:rsid w:val="00DC33E9"/>
    <w:rsid w:val="00DC3810"/>
    <w:rsid w:val="00DC4E0E"/>
    <w:rsid w:val="00DD10FA"/>
    <w:rsid w:val="00DD151A"/>
    <w:rsid w:val="00DD1999"/>
    <w:rsid w:val="00DD20EF"/>
    <w:rsid w:val="00DD3C09"/>
    <w:rsid w:val="00DD4C6D"/>
    <w:rsid w:val="00DD5E19"/>
    <w:rsid w:val="00DD5EF1"/>
    <w:rsid w:val="00DE006B"/>
    <w:rsid w:val="00DE3B5F"/>
    <w:rsid w:val="00DE4EE8"/>
    <w:rsid w:val="00DF387E"/>
    <w:rsid w:val="00DF4724"/>
    <w:rsid w:val="00DF4908"/>
    <w:rsid w:val="00DF5563"/>
    <w:rsid w:val="00E027F0"/>
    <w:rsid w:val="00E0371F"/>
    <w:rsid w:val="00E06EDD"/>
    <w:rsid w:val="00E117FC"/>
    <w:rsid w:val="00E11F21"/>
    <w:rsid w:val="00E139E9"/>
    <w:rsid w:val="00E1439A"/>
    <w:rsid w:val="00E1501C"/>
    <w:rsid w:val="00E15F39"/>
    <w:rsid w:val="00E1737B"/>
    <w:rsid w:val="00E219B1"/>
    <w:rsid w:val="00E21F2A"/>
    <w:rsid w:val="00E247E7"/>
    <w:rsid w:val="00E265A6"/>
    <w:rsid w:val="00E33F05"/>
    <w:rsid w:val="00E3638B"/>
    <w:rsid w:val="00E44C96"/>
    <w:rsid w:val="00E466F9"/>
    <w:rsid w:val="00E5219A"/>
    <w:rsid w:val="00E52459"/>
    <w:rsid w:val="00E5303E"/>
    <w:rsid w:val="00E54D08"/>
    <w:rsid w:val="00E567CF"/>
    <w:rsid w:val="00E6136F"/>
    <w:rsid w:val="00E61B4E"/>
    <w:rsid w:val="00E62FD4"/>
    <w:rsid w:val="00E647E4"/>
    <w:rsid w:val="00E64EEC"/>
    <w:rsid w:val="00E66A43"/>
    <w:rsid w:val="00E72460"/>
    <w:rsid w:val="00E73E9B"/>
    <w:rsid w:val="00E74382"/>
    <w:rsid w:val="00E74735"/>
    <w:rsid w:val="00E76952"/>
    <w:rsid w:val="00E77825"/>
    <w:rsid w:val="00E80B34"/>
    <w:rsid w:val="00E816F4"/>
    <w:rsid w:val="00E82C93"/>
    <w:rsid w:val="00E878EC"/>
    <w:rsid w:val="00E87E56"/>
    <w:rsid w:val="00E9530A"/>
    <w:rsid w:val="00EA06FA"/>
    <w:rsid w:val="00EA0861"/>
    <w:rsid w:val="00EA2714"/>
    <w:rsid w:val="00EA2D16"/>
    <w:rsid w:val="00EA3A19"/>
    <w:rsid w:val="00EA50E9"/>
    <w:rsid w:val="00EA5257"/>
    <w:rsid w:val="00EA5F01"/>
    <w:rsid w:val="00EA6D84"/>
    <w:rsid w:val="00EA7C19"/>
    <w:rsid w:val="00EB197C"/>
    <w:rsid w:val="00EB255C"/>
    <w:rsid w:val="00EB422E"/>
    <w:rsid w:val="00EC02E3"/>
    <w:rsid w:val="00EC5005"/>
    <w:rsid w:val="00EC5853"/>
    <w:rsid w:val="00EC7255"/>
    <w:rsid w:val="00ED0364"/>
    <w:rsid w:val="00ED3A9F"/>
    <w:rsid w:val="00ED3D94"/>
    <w:rsid w:val="00ED3FFF"/>
    <w:rsid w:val="00ED750C"/>
    <w:rsid w:val="00EE3B00"/>
    <w:rsid w:val="00EF0637"/>
    <w:rsid w:val="00EF15E3"/>
    <w:rsid w:val="00EF3E4E"/>
    <w:rsid w:val="00EF5688"/>
    <w:rsid w:val="00F00102"/>
    <w:rsid w:val="00F015D0"/>
    <w:rsid w:val="00F043CA"/>
    <w:rsid w:val="00F05DEC"/>
    <w:rsid w:val="00F108E0"/>
    <w:rsid w:val="00F1191C"/>
    <w:rsid w:val="00F119B2"/>
    <w:rsid w:val="00F16B10"/>
    <w:rsid w:val="00F221AF"/>
    <w:rsid w:val="00F2342B"/>
    <w:rsid w:val="00F26771"/>
    <w:rsid w:val="00F276BC"/>
    <w:rsid w:val="00F30884"/>
    <w:rsid w:val="00F320B8"/>
    <w:rsid w:val="00F33BE1"/>
    <w:rsid w:val="00F37B47"/>
    <w:rsid w:val="00F42DFE"/>
    <w:rsid w:val="00F436C6"/>
    <w:rsid w:val="00F4423A"/>
    <w:rsid w:val="00F4767C"/>
    <w:rsid w:val="00F52D72"/>
    <w:rsid w:val="00F53EE5"/>
    <w:rsid w:val="00F54E83"/>
    <w:rsid w:val="00F57745"/>
    <w:rsid w:val="00F60ABA"/>
    <w:rsid w:val="00F61A1C"/>
    <w:rsid w:val="00F646AD"/>
    <w:rsid w:val="00F65513"/>
    <w:rsid w:val="00F65748"/>
    <w:rsid w:val="00F657EA"/>
    <w:rsid w:val="00F66086"/>
    <w:rsid w:val="00F6745F"/>
    <w:rsid w:val="00F73832"/>
    <w:rsid w:val="00F753C4"/>
    <w:rsid w:val="00F77025"/>
    <w:rsid w:val="00F81F72"/>
    <w:rsid w:val="00F87775"/>
    <w:rsid w:val="00F904DA"/>
    <w:rsid w:val="00F90BDE"/>
    <w:rsid w:val="00F931AF"/>
    <w:rsid w:val="00F97466"/>
    <w:rsid w:val="00FA0EB7"/>
    <w:rsid w:val="00FA6AB8"/>
    <w:rsid w:val="00FA79AF"/>
    <w:rsid w:val="00FB1C1F"/>
    <w:rsid w:val="00FB2E33"/>
    <w:rsid w:val="00FB6BFA"/>
    <w:rsid w:val="00FC307D"/>
    <w:rsid w:val="00FC45E3"/>
    <w:rsid w:val="00FC6D42"/>
    <w:rsid w:val="00FC71D0"/>
    <w:rsid w:val="00FC744D"/>
    <w:rsid w:val="00FC75A7"/>
    <w:rsid w:val="00FC7FAF"/>
    <w:rsid w:val="00FD04ED"/>
    <w:rsid w:val="00FD05A6"/>
    <w:rsid w:val="00FD1FC8"/>
    <w:rsid w:val="00FD4350"/>
    <w:rsid w:val="00FD4DF8"/>
    <w:rsid w:val="00FD7682"/>
    <w:rsid w:val="00FE5B1A"/>
    <w:rsid w:val="00FE61B6"/>
    <w:rsid w:val="00FE6C82"/>
    <w:rsid w:val="00FE6F80"/>
    <w:rsid w:val="00FE7232"/>
    <w:rsid w:val="00FE758F"/>
    <w:rsid w:val="00FF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8D3E"/>
  <w14:defaultImageDpi w14:val="32767"/>
  <w15:chartTrackingRefBased/>
  <w15:docId w15:val="{0B9D83E3-446B-584B-9ADE-B196436B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C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70285"/>
    <w:pPr>
      <w:numPr>
        <w:ilvl w:val="1"/>
        <w:numId w:val="1"/>
      </w:numPr>
      <w:tabs>
        <w:tab w:val="clear" w:pos="1620"/>
        <w:tab w:val="num" w:pos="1440"/>
      </w:tabs>
      <w:spacing w:before="240" w:after="60"/>
      <w:ind w:left="1440"/>
      <w:outlineLvl w:val="1"/>
    </w:pPr>
    <w:rPr>
      <w:rFonts w:ascii="Calibri" w:eastAsiaTheme="minorEastAsia" w:hAnsi="Calibri"/>
      <w:sz w:val="22"/>
      <w:szCs w:val="28"/>
      <w:lang w:eastAsia="zh-TW"/>
    </w:rPr>
  </w:style>
  <w:style w:type="paragraph" w:styleId="Heading3">
    <w:name w:val="heading 3"/>
    <w:basedOn w:val="Normal"/>
    <w:link w:val="Heading3Char"/>
    <w:uiPriority w:val="9"/>
    <w:qFormat/>
    <w:rsid w:val="00CE4975"/>
    <w:pPr>
      <w:spacing w:before="100" w:beforeAutospacing="1" w:after="100" w:afterAutospacing="1"/>
      <w:outlineLvl w:val="2"/>
    </w:pPr>
    <w:rPr>
      <w:rFonts w:ascii="Times New Roman" w:eastAsia="Times New Roman" w:hAnsi="Times New Roman" w:cs="Times New Roman"/>
      <w:b/>
      <w:bCs/>
      <w:sz w:val="27"/>
      <w:szCs w:val="27"/>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9B2"/>
    <w:pPr>
      <w:spacing w:before="100" w:beforeAutospacing="1" w:after="100" w:afterAutospacing="1"/>
    </w:pPr>
    <w:rPr>
      <w:rFonts w:ascii="Times New Roman" w:eastAsia="Times New Roman" w:hAnsi="Times New Roman" w:cs="Times New Roman"/>
      <w:lang w:val="en-US" w:eastAsia="en-GB"/>
    </w:rPr>
  </w:style>
  <w:style w:type="paragraph" w:styleId="ListParagraph">
    <w:name w:val="List Paragraph"/>
    <w:aliases w:val="NRA List Paragraph,NRA List Paragra"/>
    <w:basedOn w:val="Normal"/>
    <w:link w:val="ListParagraphChar"/>
    <w:uiPriority w:val="34"/>
    <w:qFormat/>
    <w:rsid w:val="005C4CC6"/>
    <w:pPr>
      <w:ind w:left="720"/>
      <w:contextualSpacing/>
    </w:pPr>
  </w:style>
  <w:style w:type="character" w:customStyle="1" w:styleId="Heading3Char">
    <w:name w:val="Heading 3 Char"/>
    <w:basedOn w:val="DefaultParagraphFont"/>
    <w:link w:val="Heading3"/>
    <w:uiPriority w:val="9"/>
    <w:rsid w:val="00CE4975"/>
    <w:rPr>
      <w:rFonts w:ascii="Times New Roman" w:eastAsia="Times New Roman" w:hAnsi="Times New Roman" w:cs="Times New Roman"/>
      <w:b/>
      <w:bCs/>
      <w:sz w:val="27"/>
      <w:szCs w:val="27"/>
      <w:lang w:val="en-US" w:eastAsia="en-GB"/>
    </w:rPr>
  </w:style>
  <w:style w:type="character" w:customStyle="1" w:styleId="apple-converted-space">
    <w:name w:val="apple-converted-space"/>
    <w:basedOn w:val="DefaultParagraphFont"/>
    <w:rsid w:val="00CE4975"/>
  </w:style>
  <w:style w:type="table" w:styleId="TableGrid">
    <w:name w:val="Table Grid"/>
    <w:basedOn w:val="TableNormal"/>
    <w:uiPriority w:val="39"/>
    <w:rsid w:val="0033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CCD"/>
    <w:rPr>
      <w:sz w:val="16"/>
      <w:szCs w:val="16"/>
    </w:rPr>
  </w:style>
  <w:style w:type="paragraph" w:styleId="CommentText">
    <w:name w:val="annotation text"/>
    <w:basedOn w:val="Normal"/>
    <w:link w:val="CommentTextChar"/>
    <w:uiPriority w:val="99"/>
    <w:semiHidden/>
    <w:unhideWhenUsed/>
    <w:rsid w:val="00337CCD"/>
    <w:rPr>
      <w:sz w:val="20"/>
      <w:szCs w:val="20"/>
    </w:rPr>
  </w:style>
  <w:style w:type="character" w:customStyle="1" w:styleId="CommentTextChar">
    <w:name w:val="Comment Text Char"/>
    <w:basedOn w:val="DefaultParagraphFont"/>
    <w:link w:val="CommentText"/>
    <w:uiPriority w:val="99"/>
    <w:semiHidden/>
    <w:rsid w:val="00337CCD"/>
    <w:rPr>
      <w:sz w:val="20"/>
      <w:szCs w:val="20"/>
    </w:rPr>
  </w:style>
  <w:style w:type="paragraph" w:styleId="CommentSubject">
    <w:name w:val="annotation subject"/>
    <w:basedOn w:val="CommentText"/>
    <w:next w:val="CommentText"/>
    <w:link w:val="CommentSubjectChar"/>
    <w:uiPriority w:val="99"/>
    <w:semiHidden/>
    <w:unhideWhenUsed/>
    <w:rsid w:val="00337CCD"/>
    <w:rPr>
      <w:b/>
      <w:bCs/>
    </w:rPr>
  </w:style>
  <w:style w:type="character" w:customStyle="1" w:styleId="CommentSubjectChar">
    <w:name w:val="Comment Subject Char"/>
    <w:basedOn w:val="CommentTextChar"/>
    <w:link w:val="CommentSubject"/>
    <w:uiPriority w:val="99"/>
    <w:semiHidden/>
    <w:rsid w:val="00337CCD"/>
    <w:rPr>
      <w:b/>
      <w:bCs/>
      <w:sz w:val="20"/>
      <w:szCs w:val="20"/>
    </w:rPr>
  </w:style>
  <w:style w:type="paragraph" w:styleId="BalloonText">
    <w:name w:val="Balloon Text"/>
    <w:basedOn w:val="Normal"/>
    <w:link w:val="BalloonTextChar"/>
    <w:uiPriority w:val="99"/>
    <w:semiHidden/>
    <w:unhideWhenUsed/>
    <w:rsid w:val="00337C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7CCD"/>
    <w:rPr>
      <w:rFonts w:ascii="Times New Roman" w:hAnsi="Times New Roman" w:cs="Times New Roman"/>
      <w:sz w:val="18"/>
      <w:szCs w:val="18"/>
    </w:rPr>
  </w:style>
  <w:style w:type="paragraph" w:styleId="FootnoteText">
    <w:name w:val="footnote text"/>
    <w:basedOn w:val="Normal"/>
    <w:link w:val="FootnoteTextChar"/>
    <w:uiPriority w:val="99"/>
    <w:unhideWhenUsed/>
    <w:rsid w:val="002E1CAE"/>
    <w:rPr>
      <w:sz w:val="20"/>
      <w:szCs w:val="20"/>
    </w:rPr>
  </w:style>
  <w:style w:type="character" w:customStyle="1" w:styleId="FootnoteTextChar">
    <w:name w:val="Footnote Text Char"/>
    <w:basedOn w:val="DefaultParagraphFont"/>
    <w:link w:val="FootnoteText"/>
    <w:uiPriority w:val="99"/>
    <w:rsid w:val="002E1CAE"/>
    <w:rPr>
      <w:sz w:val="20"/>
      <w:szCs w:val="20"/>
    </w:rPr>
  </w:style>
  <w:style w:type="character" w:styleId="FootnoteReference">
    <w:name w:val="footnote reference"/>
    <w:basedOn w:val="DefaultParagraphFont"/>
    <w:uiPriority w:val="99"/>
    <w:unhideWhenUsed/>
    <w:rsid w:val="002E1CAE"/>
    <w:rPr>
      <w:vertAlign w:val="superscript"/>
    </w:rPr>
  </w:style>
  <w:style w:type="character" w:customStyle="1" w:styleId="Heading1Char">
    <w:name w:val="Heading 1 Char"/>
    <w:basedOn w:val="DefaultParagraphFont"/>
    <w:link w:val="Heading1"/>
    <w:uiPriority w:val="9"/>
    <w:rsid w:val="002E1CA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D1563"/>
    <w:rPr>
      <w:color w:val="0563C1" w:themeColor="hyperlink"/>
      <w:u w:val="single"/>
    </w:rPr>
  </w:style>
  <w:style w:type="character" w:styleId="UnresolvedMention">
    <w:name w:val="Unresolved Mention"/>
    <w:basedOn w:val="DefaultParagraphFont"/>
    <w:uiPriority w:val="99"/>
    <w:rsid w:val="002D1563"/>
    <w:rPr>
      <w:color w:val="605E5C"/>
      <w:shd w:val="clear" w:color="auto" w:fill="E1DFDD"/>
    </w:rPr>
  </w:style>
  <w:style w:type="character" w:customStyle="1" w:styleId="ListParagraphChar">
    <w:name w:val="List Paragraph Char"/>
    <w:aliases w:val="NRA List Paragraph Char,NRA List Paragra Char"/>
    <w:basedOn w:val="DefaultParagraphFont"/>
    <w:link w:val="ListParagraph"/>
    <w:uiPriority w:val="34"/>
    <w:rsid w:val="00096872"/>
  </w:style>
  <w:style w:type="character" w:customStyle="1" w:styleId="Heading2Char">
    <w:name w:val="Heading 2 Char"/>
    <w:basedOn w:val="DefaultParagraphFont"/>
    <w:link w:val="Heading2"/>
    <w:uiPriority w:val="9"/>
    <w:rsid w:val="00B70285"/>
    <w:rPr>
      <w:rFonts w:ascii="Calibri" w:eastAsiaTheme="minorEastAsia" w:hAnsi="Calibri"/>
      <w:sz w:val="22"/>
      <w:szCs w:val="28"/>
      <w:lang w:eastAsia="zh-TW"/>
    </w:rPr>
  </w:style>
  <w:style w:type="paragraph" w:styleId="Revision">
    <w:name w:val="Revision"/>
    <w:hidden/>
    <w:uiPriority w:val="99"/>
    <w:semiHidden/>
    <w:rsid w:val="00C46ADC"/>
  </w:style>
  <w:style w:type="paragraph" w:styleId="Header">
    <w:name w:val="header"/>
    <w:basedOn w:val="Normal"/>
    <w:link w:val="HeaderChar"/>
    <w:unhideWhenUsed/>
    <w:rsid w:val="00354BEB"/>
    <w:pPr>
      <w:tabs>
        <w:tab w:val="center" w:pos="4703"/>
        <w:tab w:val="right" w:pos="9406"/>
      </w:tabs>
    </w:pPr>
  </w:style>
  <w:style w:type="character" w:customStyle="1" w:styleId="HeaderChar">
    <w:name w:val="Header Char"/>
    <w:basedOn w:val="DefaultParagraphFont"/>
    <w:link w:val="Header"/>
    <w:uiPriority w:val="99"/>
    <w:rsid w:val="00354BEB"/>
  </w:style>
  <w:style w:type="paragraph" w:styleId="Footer">
    <w:name w:val="footer"/>
    <w:basedOn w:val="Normal"/>
    <w:link w:val="FooterChar"/>
    <w:uiPriority w:val="99"/>
    <w:unhideWhenUsed/>
    <w:rsid w:val="00354BEB"/>
    <w:pPr>
      <w:tabs>
        <w:tab w:val="center" w:pos="4703"/>
        <w:tab w:val="right" w:pos="9406"/>
      </w:tabs>
    </w:pPr>
  </w:style>
  <w:style w:type="character" w:customStyle="1" w:styleId="FooterChar">
    <w:name w:val="Footer Char"/>
    <w:basedOn w:val="DefaultParagraphFont"/>
    <w:link w:val="Footer"/>
    <w:uiPriority w:val="99"/>
    <w:rsid w:val="00354BEB"/>
  </w:style>
  <w:style w:type="character" w:styleId="FollowedHyperlink">
    <w:name w:val="FollowedHyperlink"/>
    <w:basedOn w:val="DefaultParagraphFont"/>
    <w:uiPriority w:val="99"/>
    <w:semiHidden/>
    <w:unhideWhenUsed/>
    <w:rsid w:val="00CB2BA9"/>
    <w:rPr>
      <w:color w:val="954F72" w:themeColor="followedHyperlink"/>
      <w:u w:val="single"/>
    </w:rPr>
  </w:style>
  <w:style w:type="paragraph" w:customStyle="1" w:styleId="Default">
    <w:name w:val="Default"/>
    <w:rsid w:val="009F1563"/>
    <w:pPr>
      <w:autoSpaceDE w:val="0"/>
      <w:autoSpaceDN w:val="0"/>
      <w:adjustRightInd w:val="0"/>
    </w:pPr>
    <w:rPr>
      <w:rFonts w:ascii="Verdana" w:hAnsi="Verdana" w:cs="Verdana"/>
      <w:color w:val="000000"/>
      <w:lang w:val="en-US"/>
    </w:rPr>
  </w:style>
  <w:style w:type="character" w:styleId="Strong">
    <w:name w:val="Strong"/>
    <w:basedOn w:val="DefaultParagraphFont"/>
    <w:uiPriority w:val="22"/>
    <w:qFormat/>
    <w:rsid w:val="00D42E05"/>
    <w:rPr>
      <w:b/>
      <w:bCs/>
    </w:rPr>
  </w:style>
  <w:style w:type="paragraph" w:styleId="Title">
    <w:name w:val="Title"/>
    <w:basedOn w:val="Normal"/>
    <w:next w:val="Normal"/>
    <w:link w:val="TitleChar"/>
    <w:uiPriority w:val="10"/>
    <w:qFormat/>
    <w:rsid w:val="00C8353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353A"/>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2316">
      <w:bodyDiv w:val="1"/>
      <w:marLeft w:val="0"/>
      <w:marRight w:val="0"/>
      <w:marTop w:val="0"/>
      <w:marBottom w:val="0"/>
      <w:divBdr>
        <w:top w:val="none" w:sz="0" w:space="0" w:color="auto"/>
        <w:left w:val="none" w:sz="0" w:space="0" w:color="auto"/>
        <w:bottom w:val="none" w:sz="0" w:space="0" w:color="auto"/>
        <w:right w:val="none" w:sz="0" w:space="0" w:color="auto"/>
      </w:divBdr>
      <w:divsChild>
        <w:div w:id="81874045">
          <w:marLeft w:val="0"/>
          <w:marRight w:val="0"/>
          <w:marTop w:val="0"/>
          <w:marBottom w:val="0"/>
          <w:divBdr>
            <w:top w:val="none" w:sz="0" w:space="0" w:color="auto"/>
            <w:left w:val="none" w:sz="0" w:space="0" w:color="auto"/>
            <w:bottom w:val="none" w:sz="0" w:space="0" w:color="auto"/>
            <w:right w:val="none" w:sz="0" w:space="0" w:color="auto"/>
          </w:divBdr>
          <w:divsChild>
            <w:div w:id="203443679">
              <w:marLeft w:val="0"/>
              <w:marRight w:val="0"/>
              <w:marTop w:val="0"/>
              <w:marBottom w:val="0"/>
              <w:divBdr>
                <w:top w:val="none" w:sz="0" w:space="0" w:color="auto"/>
                <w:left w:val="none" w:sz="0" w:space="0" w:color="auto"/>
                <w:bottom w:val="none" w:sz="0" w:space="0" w:color="auto"/>
                <w:right w:val="none" w:sz="0" w:space="0" w:color="auto"/>
              </w:divBdr>
              <w:divsChild>
                <w:div w:id="462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6801">
      <w:bodyDiv w:val="1"/>
      <w:marLeft w:val="0"/>
      <w:marRight w:val="0"/>
      <w:marTop w:val="0"/>
      <w:marBottom w:val="0"/>
      <w:divBdr>
        <w:top w:val="none" w:sz="0" w:space="0" w:color="auto"/>
        <w:left w:val="none" w:sz="0" w:space="0" w:color="auto"/>
        <w:bottom w:val="none" w:sz="0" w:space="0" w:color="auto"/>
        <w:right w:val="none" w:sz="0" w:space="0" w:color="auto"/>
      </w:divBdr>
      <w:divsChild>
        <w:div w:id="110365240">
          <w:marLeft w:val="0"/>
          <w:marRight w:val="0"/>
          <w:marTop w:val="0"/>
          <w:marBottom w:val="0"/>
          <w:divBdr>
            <w:top w:val="none" w:sz="0" w:space="0" w:color="auto"/>
            <w:left w:val="none" w:sz="0" w:space="0" w:color="auto"/>
            <w:bottom w:val="none" w:sz="0" w:space="0" w:color="auto"/>
            <w:right w:val="none" w:sz="0" w:space="0" w:color="auto"/>
          </w:divBdr>
          <w:divsChild>
            <w:div w:id="249706353">
              <w:marLeft w:val="0"/>
              <w:marRight w:val="0"/>
              <w:marTop w:val="0"/>
              <w:marBottom w:val="0"/>
              <w:divBdr>
                <w:top w:val="none" w:sz="0" w:space="0" w:color="auto"/>
                <w:left w:val="none" w:sz="0" w:space="0" w:color="auto"/>
                <w:bottom w:val="none" w:sz="0" w:space="0" w:color="auto"/>
                <w:right w:val="none" w:sz="0" w:space="0" w:color="auto"/>
              </w:divBdr>
              <w:divsChild>
                <w:div w:id="15340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616">
      <w:bodyDiv w:val="1"/>
      <w:marLeft w:val="0"/>
      <w:marRight w:val="0"/>
      <w:marTop w:val="0"/>
      <w:marBottom w:val="0"/>
      <w:divBdr>
        <w:top w:val="none" w:sz="0" w:space="0" w:color="auto"/>
        <w:left w:val="none" w:sz="0" w:space="0" w:color="auto"/>
        <w:bottom w:val="none" w:sz="0" w:space="0" w:color="auto"/>
        <w:right w:val="none" w:sz="0" w:space="0" w:color="auto"/>
      </w:divBdr>
      <w:divsChild>
        <w:div w:id="514000656">
          <w:marLeft w:val="0"/>
          <w:marRight w:val="0"/>
          <w:marTop w:val="0"/>
          <w:marBottom w:val="0"/>
          <w:divBdr>
            <w:top w:val="none" w:sz="0" w:space="0" w:color="auto"/>
            <w:left w:val="none" w:sz="0" w:space="0" w:color="auto"/>
            <w:bottom w:val="none" w:sz="0" w:space="0" w:color="auto"/>
            <w:right w:val="none" w:sz="0" w:space="0" w:color="auto"/>
          </w:divBdr>
          <w:divsChild>
            <w:div w:id="1752005294">
              <w:marLeft w:val="0"/>
              <w:marRight w:val="0"/>
              <w:marTop w:val="0"/>
              <w:marBottom w:val="0"/>
              <w:divBdr>
                <w:top w:val="none" w:sz="0" w:space="0" w:color="auto"/>
                <w:left w:val="none" w:sz="0" w:space="0" w:color="auto"/>
                <w:bottom w:val="none" w:sz="0" w:space="0" w:color="auto"/>
                <w:right w:val="none" w:sz="0" w:space="0" w:color="auto"/>
              </w:divBdr>
              <w:divsChild>
                <w:div w:id="20335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4356">
      <w:bodyDiv w:val="1"/>
      <w:marLeft w:val="0"/>
      <w:marRight w:val="0"/>
      <w:marTop w:val="0"/>
      <w:marBottom w:val="0"/>
      <w:divBdr>
        <w:top w:val="none" w:sz="0" w:space="0" w:color="auto"/>
        <w:left w:val="none" w:sz="0" w:space="0" w:color="auto"/>
        <w:bottom w:val="none" w:sz="0" w:space="0" w:color="auto"/>
        <w:right w:val="none" w:sz="0" w:space="0" w:color="auto"/>
      </w:divBdr>
      <w:divsChild>
        <w:div w:id="526988882">
          <w:marLeft w:val="0"/>
          <w:marRight w:val="0"/>
          <w:marTop w:val="0"/>
          <w:marBottom w:val="0"/>
          <w:divBdr>
            <w:top w:val="none" w:sz="0" w:space="0" w:color="auto"/>
            <w:left w:val="none" w:sz="0" w:space="0" w:color="auto"/>
            <w:bottom w:val="none" w:sz="0" w:space="0" w:color="auto"/>
            <w:right w:val="none" w:sz="0" w:space="0" w:color="auto"/>
          </w:divBdr>
          <w:divsChild>
            <w:div w:id="167058735">
              <w:marLeft w:val="0"/>
              <w:marRight w:val="0"/>
              <w:marTop w:val="0"/>
              <w:marBottom w:val="0"/>
              <w:divBdr>
                <w:top w:val="none" w:sz="0" w:space="0" w:color="auto"/>
                <w:left w:val="none" w:sz="0" w:space="0" w:color="auto"/>
                <w:bottom w:val="none" w:sz="0" w:space="0" w:color="auto"/>
                <w:right w:val="none" w:sz="0" w:space="0" w:color="auto"/>
              </w:divBdr>
              <w:divsChild>
                <w:div w:id="7042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8148">
      <w:bodyDiv w:val="1"/>
      <w:marLeft w:val="0"/>
      <w:marRight w:val="0"/>
      <w:marTop w:val="0"/>
      <w:marBottom w:val="0"/>
      <w:divBdr>
        <w:top w:val="none" w:sz="0" w:space="0" w:color="auto"/>
        <w:left w:val="none" w:sz="0" w:space="0" w:color="auto"/>
        <w:bottom w:val="none" w:sz="0" w:space="0" w:color="auto"/>
        <w:right w:val="none" w:sz="0" w:space="0" w:color="auto"/>
      </w:divBdr>
      <w:divsChild>
        <w:div w:id="240413427">
          <w:marLeft w:val="0"/>
          <w:marRight w:val="0"/>
          <w:marTop w:val="0"/>
          <w:marBottom w:val="0"/>
          <w:divBdr>
            <w:top w:val="none" w:sz="0" w:space="0" w:color="auto"/>
            <w:left w:val="none" w:sz="0" w:space="0" w:color="auto"/>
            <w:bottom w:val="none" w:sz="0" w:space="0" w:color="auto"/>
            <w:right w:val="none" w:sz="0" w:space="0" w:color="auto"/>
          </w:divBdr>
          <w:divsChild>
            <w:div w:id="574975971">
              <w:marLeft w:val="0"/>
              <w:marRight w:val="0"/>
              <w:marTop w:val="0"/>
              <w:marBottom w:val="0"/>
              <w:divBdr>
                <w:top w:val="none" w:sz="0" w:space="0" w:color="auto"/>
                <w:left w:val="none" w:sz="0" w:space="0" w:color="auto"/>
                <w:bottom w:val="none" w:sz="0" w:space="0" w:color="auto"/>
                <w:right w:val="none" w:sz="0" w:space="0" w:color="auto"/>
              </w:divBdr>
              <w:divsChild>
                <w:div w:id="2499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3564">
      <w:bodyDiv w:val="1"/>
      <w:marLeft w:val="0"/>
      <w:marRight w:val="0"/>
      <w:marTop w:val="0"/>
      <w:marBottom w:val="0"/>
      <w:divBdr>
        <w:top w:val="none" w:sz="0" w:space="0" w:color="auto"/>
        <w:left w:val="none" w:sz="0" w:space="0" w:color="auto"/>
        <w:bottom w:val="none" w:sz="0" w:space="0" w:color="auto"/>
        <w:right w:val="none" w:sz="0" w:space="0" w:color="auto"/>
      </w:divBdr>
    </w:div>
    <w:div w:id="171378730">
      <w:bodyDiv w:val="1"/>
      <w:marLeft w:val="0"/>
      <w:marRight w:val="0"/>
      <w:marTop w:val="0"/>
      <w:marBottom w:val="0"/>
      <w:divBdr>
        <w:top w:val="none" w:sz="0" w:space="0" w:color="auto"/>
        <w:left w:val="none" w:sz="0" w:space="0" w:color="auto"/>
        <w:bottom w:val="none" w:sz="0" w:space="0" w:color="auto"/>
        <w:right w:val="none" w:sz="0" w:space="0" w:color="auto"/>
      </w:divBdr>
      <w:divsChild>
        <w:div w:id="1349454802">
          <w:marLeft w:val="0"/>
          <w:marRight w:val="0"/>
          <w:marTop w:val="0"/>
          <w:marBottom w:val="0"/>
          <w:divBdr>
            <w:top w:val="none" w:sz="0" w:space="0" w:color="auto"/>
            <w:left w:val="none" w:sz="0" w:space="0" w:color="auto"/>
            <w:bottom w:val="none" w:sz="0" w:space="0" w:color="auto"/>
            <w:right w:val="none" w:sz="0" w:space="0" w:color="auto"/>
          </w:divBdr>
          <w:divsChild>
            <w:div w:id="1954164137">
              <w:marLeft w:val="0"/>
              <w:marRight w:val="0"/>
              <w:marTop w:val="0"/>
              <w:marBottom w:val="0"/>
              <w:divBdr>
                <w:top w:val="none" w:sz="0" w:space="0" w:color="auto"/>
                <w:left w:val="none" w:sz="0" w:space="0" w:color="auto"/>
                <w:bottom w:val="none" w:sz="0" w:space="0" w:color="auto"/>
                <w:right w:val="none" w:sz="0" w:space="0" w:color="auto"/>
              </w:divBdr>
              <w:divsChild>
                <w:div w:id="7682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0957">
      <w:bodyDiv w:val="1"/>
      <w:marLeft w:val="0"/>
      <w:marRight w:val="0"/>
      <w:marTop w:val="0"/>
      <w:marBottom w:val="0"/>
      <w:divBdr>
        <w:top w:val="none" w:sz="0" w:space="0" w:color="auto"/>
        <w:left w:val="none" w:sz="0" w:space="0" w:color="auto"/>
        <w:bottom w:val="none" w:sz="0" w:space="0" w:color="auto"/>
        <w:right w:val="none" w:sz="0" w:space="0" w:color="auto"/>
      </w:divBdr>
    </w:div>
    <w:div w:id="201092350">
      <w:bodyDiv w:val="1"/>
      <w:marLeft w:val="0"/>
      <w:marRight w:val="0"/>
      <w:marTop w:val="0"/>
      <w:marBottom w:val="0"/>
      <w:divBdr>
        <w:top w:val="none" w:sz="0" w:space="0" w:color="auto"/>
        <w:left w:val="none" w:sz="0" w:space="0" w:color="auto"/>
        <w:bottom w:val="none" w:sz="0" w:space="0" w:color="auto"/>
        <w:right w:val="none" w:sz="0" w:space="0" w:color="auto"/>
      </w:divBdr>
    </w:div>
    <w:div w:id="278807221">
      <w:bodyDiv w:val="1"/>
      <w:marLeft w:val="0"/>
      <w:marRight w:val="0"/>
      <w:marTop w:val="0"/>
      <w:marBottom w:val="0"/>
      <w:divBdr>
        <w:top w:val="none" w:sz="0" w:space="0" w:color="auto"/>
        <w:left w:val="none" w:sz="0" w:space="0" w:color="auto"/>
        <w:bottom w:val="none" w:sz="0" w:space="0" w:color="auto"/>
        <w:right w:val="none" w:sz="0" w:space="0" w:color="auto"/>
      </w:divBdr>
    </w:div>
    <w:div w:id="354617941">
      <w:bodyDiv w:val="1"/>
      <w:marLeft w:val="0"/>
      <w:marRight w:val="0"/>
      <w:marTop w:val="0"/>
      <w:marBottom w:val="0"/>
      <w:divBdr>
        <w:top w:val="none" w:sz="0" w:space="0" w:color="auto"/>
        <w:left w:val="none" w:sz="0" w:space="0" w:color="auto"/>
        <w:bottom w:val="none" w:sz="0" w:space="0" w:color="auto"/>
        <w:right w:val="none" w:sz="0" w:space="0" w:color="auto"/>
      </w:divBdr>
    </w:div>
    <w:div w:id="399136612">
      <w:bodyDiv w:val="1"/>
      <w:marLeft w:val="0"/>
      <w:marRight w:val="0"/>
      <w:marTop w:val="0"/>
      <w:marBottom w:val="0"/>
      <w:divBdr>
        <w:top w:val="none" w:sz="0" w:space="0" w:color="auto"/>
        <w:left w:val="none" w:sz="0" w:space="0" w:color="auto"/>
        <w:bottom w:val="none" w:sz="0" w:space="0" w:color="auto"/>
        <w:right w:val="none" w:sz="0" w:space="0" w:color="auto"/>
      </w:divBdr>
      <w:divsChild>
        <w:div w:id="2116634056">
          <w:marLeft w:val="0"/>
          <w:marRight w:val="0"/>
          <w:marTop w:val="0"/>
          <w:marBottom w:val="0"/>
          <w:divBdr>
            <w:top w:val="none" w:sz="0" w:space="0" w:color="auto"/>
            <w:left w:val="none" w:sz="0" w:space="0" w:color="auto"/>
            <w:bottom w:val="none" w:sz="0" w:space="0" w:color="auto"/>
            <w:right w:val="none" w:sz="0" w:space="0" w:color="auto"/>
          </w:divBdr>
          <w:divsChild>
            <w:div w:id="1426072819">
              <w:marLeft w:val="0"/>
              <w:marRight w:val="0"/>
              <w:marTop w:val="0"/>
              <w:marBottom w:val="0"/>
              <w:divBdr>
                <w:top w:val="none" w:sz="0" w:space="0" w:color="auto"/>
                <w:left w:val="none" w:sz="0" w:space="0" w:color="auto"/>
                <w:bottom w:val="none" w:sz="0" w:space="0" w:color="auto"/>
                <w:right w:val="none" w:sz="0" w:space="0" w:color="auto"/>
              </w:divBdr>
              <w:divsChild>
                <w:div w:id="323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4883">
      <w:bodyDiv w:val="1"/>
      <w:marLeft w:val="0"/>
      <w:marRight w:val="0"/>
      <w:marTop w:val="0"/>
      <w:marBottom w:val="0"/>
      <w:divBdr>
        <w:top w:val="none" w:sz="0" w:space="0" w:color="auto"/>
        <w:left w:val="none" w:sz="0" w:space="0" w:color="auto"/>
        <w:bottom w:val="none" w:sz="0" w:space="0" w:color="auto"/>
        <w:right w:val="none" w:sz="0" w:space="0" w:color="auto"/>
      </w:divBdr>
      <w:divsChild>
        <w:div w:id="1834444341">
          <w:marLeft w:val="0"/>
          <w:marRight w:val="0"/>
          <w:marTop w:val="0"/>
          <w:marBottom w:val="0"/>
          <w:divBdr>
            <w:top w:val="none" w:sz="0" w:space="0" w:color="auto"/>
            <w:left w:val="none" w:sz="0" w:space="0" w:color="auto"/>
            <w:bottom w:val="none" w:sz="0" w:space="0" w:color="auto"/>
            <w:right w:val="none" w:sz="0" w:space="0" w:color="auto"/>
          </w:divBdr>
          <w:divsChild>
            <w:div w:id="1707945346">
              <w:marLeft w:val="0"/>
              <w:marRight w:val="0"/>
              <w:marTop w:val="0"/>
              <w:marBottom w:val="0"/>
              <w:divBdr>
                <w:top w:val="none" w:sz="0" w:space="0" w:color="auto"/>
                <w:left w:val="none" w:sz="0" w:space="0" w:color="auto"/>
                <w:bottom w:val="none" w:sz="0" w:space="0" w:color="auto"/>
                <w:right w:val="none" w:sz="0" w:space="0" w:color="auto"/>
              </w:divBdr>
              <w:divsChild>
                <w:div w:id="16033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2474">
      <w:bodyDiv w:val="1"/>
      <w:marLeft w:val="0"/>
      <w:marRight w:val="0"/>
      <w:marTop w:val="0"/>
      <w:marBottom w:val="0"/>
      <w:divBdr>
        <w:top w:val="none" w:sz="0" w:space="0" w:color="auto"/>
        <w:left w:val="none" w:sz="0" w:space="0" w:color="auto"/>
        <w:bottom w:val="none" w:sz="0" w:space="0" w:color="auto"/>
        <w:right w:val="none" w:sz="0" w:space="0" w:color="auto"/>
      </w:divBdr>
      <w:divsChild>
        <w:div w:id="761996311">
          <w:marLeft w:val="0"/>
          <w:marRight w:val="0"/>
          <w:marTop w:val="0"/>
          <w:marBottom w:val="0"/>
          <w:divBdr>
            <w:top w:val="none" w:sz="0" w:space="0" w:color="auto"/>
            <w:left w:val="none" w:sz="0" w:space="0" w:color="auto"/>
            <w:bottom w:val="none" w:sz="0" w:space="0" w:color="auto"/>
            <w:right w:val="none" w:sz="0" w:space="0" w:color="auto"/>
          </w:divBdr>
          <w:divsChild>
            <w:div w:id="1702196268">
              <w:marLeft w:val="0"/>
              <w:marRight w:val="0"/>
              <w:marTop w:val="0"/>
              <w:marBottom w:val="0"/>
              <w:divBdr>
                <w:top w:val="none" w:sz="0" w:space="0" w:color="auto"/>
                <w:left w:val="none" w:sz="0" w:space="0" w:color="auto"/>
                <w:bottom w:val="none" w:sz="0" w:space="0" w:color="auto"/>
                <w:right w:val="none" w:sz="0" w:space="0" w:color="auto"/>
              </w:divBdr>
              <w:divsChild>
                <w:div w:id="1667630917">
                  <w:marLeft w:val="0"/>
                  <w:marRight w:val="0"/>
                  <w:marTop w:val="0"/>
                  <w:marBottom w:val="0"/>
                  <w:divBdr>
                    <w:top w:val="none" w:sz="0" w:space="0" w:color="auto"/>
                    <w:left w:val="none" w:sz="0" w:space="0" w:color="auto"/>
                    <w:bottom w:val="none" w:sz="0" w:space="0" w:color="auto"/>
                    <w:right w:val="none" w:sz="0" w:space="0" w:color="auto"/>
                  </w:divBdr>
                </w:div>
              </w:divsChild>
            </w:div>
            <w:div w:id="1863546490">
              <w:marLeft w:val="0"/>
              <w:marRight w:val="0"/>
              <w:marTop w:val="0"/>
              <w:marBottom w:val="0"/>
              <w:divBdr>
                <w:top w:val="none" w:sz="0" w:space="0" w:color="auto"/>
                <w:left w:val="none" w:sz="0" w:space="0" w:color="auto"/>
                <w:bottom w:val="none" w:sz="0" w:space="0" w:color="auto"/>
                <w:right w:val="none" w:sz="0" w:space="0" w:color="auto"/>
              </w:divBdr>
              <w:divsChild>
                <w:div w:id="1729768470">
                  <w:marLeft w:val="0"/>
                  <w:marRight w:val="0"/>
                  <w:marTop w:val="0"/>
                  <w:marBottom w:val="0"/>
                  <w:divBdr>
                    <w:top w:val="none" w:sz="0" w:space="0" w:color="auto"/>
                    <w:left w:val="none" w:sz="0" w:space="0" w:color="auto"/>
                    <w:bottom w:val="none" w:sz="0" w:space="0" w:color="auto"/>
                    <w:right w:val="none" w:sz="0" w:space="0" w:color="auto"/>
                  </w:divBdr>
                </w:div>
              </w:divsChild>
            </w:div>
            <w:div w:id="88890806">
              <w:marLeft w:val="0"/>
              <w:marRight w:val="0"/>
              <w:marTop w:val="0"/>
              <w:marBottom w:val="0"/>
              <w:divBdr>
                <w:top w:val="none" w:sz="0" w:space="0" w:color="auto"/>
                <w:left w:val="none" w:sz="0" w:space="0" w:color="auto"/>
                <w:bottom w:val="none" w:sz="0" w:space="0" w:color="auto"/>
                <w:right w:val="none" w:sz="0" w:space="0" w:color="auto"/>
              </w:divBdr>
              <w:divsChild>
                <w:div w:id="1440417402">
                  <w:marLeft w:val="0"/>
                  <w:marRight w:val="0"/>
                  <w:marTop w:val="0"/>
                  <w:marBottom w:val="0"/>
                  <w:divBdr>
                    <w:top w:val="none" w:sz="0" w:space="0" w:color="auto"/>
                    <w:left w:val="none" w:sz="0" w:space="0" w:color="auto"/>
                    <w:bottom w:val="none" w:sz="0" w:space="0" w:color="auto"/>
                    <w:right w:val="none" w:sz="0" w:space="0" w:color="auto"/>
                  </w:divBdr>
                </w:div>
              </w:divsChild>
            </w:div>
            <w:div w:id="551043965">
              <w:marLeft w:val="0"/>
              <w:marRight w:val="0"/>
              <w:marTop w:val="0"/>
              <w:marBottom w:val="0"/>
              <w:divBdr>
                <w:top w:val="none" w:sz="0" w:space="0" w:color="auto"/>
                <w:left w:val="none" w:sz="0" w:space="0" w:color="auto"/>
                <w:bottom w:val="none" w:sz="0" w:space="0" w:color="auto"/>
                <w:right w:val="none" w:sz="0" w:space="0" w:color="auto"/>
              </w:divBdr>
              <w:divsChild>
                <w:div w:id="6477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5108">
      <w:bodyDiv w:val="1"/>
      <w:marLeft w:val="0"/>
      <w:marRight w:val="0"/>
      <w:marTop w:val="0"/>
      <w:marBottom w:val="0"/>
      <w:divBdr>
        <w:top w:val="none" w:sz="0" w:space="0" w:color="auto"/>
        <w:left w:val="none" w:sz="0" w:space="0" w:color="auto"/>
        <w:bottom w:val="none" w:sz="0" w:space="0" w:color="auto"/>
        <w:right w:val="none" w:sz="0" w:space="0" w:color="auto"/>
      </w:divBdr>
      <w:divsChild>
        <w:div w:id="1138381237">
          <w:marLeft w:val="0"/>
          <w:marRight w:val="0"/>
          <w:marTop w:val="0"/>
          <w:marBottom w:val="0"/>
          <w:divBdr>
            <w:top w:val="none" w:sz="0" w:space="0" w:color="auto"/>
            <w:left w:val="none" w:sz="0" w:space="0" w:color="auto"/>
            <w:bottom w:val="none" w:sz="0" w:space="0" w:color="auto"/>
            <w:right w:val="none" w:sz="0" w:space="0" w:color="auto"/>
          </w:divBdr>
          <w:divsChild>
            <w:div w:id="1391154934">
              <w:marLeft w:val="0"/>
              <w:marRight w:val="0"/>
              <w:marTop w:val="0"/>
              <w:marBottom w:val="0"/>
              <w:divBdr>
                <w:top w:val="none" w:sz="0" w:space="0" w:color="auto"/>
                <w:left w:val="none" w:sz="0" w:space="0" w:color="auto"/>
                <w:bottom w:val="none" w:sz="0" w:space="0" w:color="auto"/>
                <w:right w:val="none" w:sz="0" w:space="0" w:color="auto"/>
              </w:divBdr>
              <w:divsChild>
                <w:div w:id="16763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148">
      <w:bodyDiv w:val="1"/>
      <w:marLeft w:val="0"/>
      <w:marRight w:val="0"/>
      <w:marTop w:val="0"/>
      <w:marBottom w:val="0"/>
      <w:divBdr>
        <w:top w:val="none" w:sz="0" w:space="0" w:color="auto"/>
        <w:left w:val="none" w:sz="0" w:space="0" w:color="auto"/>
        <w:bottom w:val="none" w:sz="0" w:space="0" w:color="auto"/>
        <w:right w:val="none" w:sz="0" w:space="0" w:color="auto"/>
      </w:divBdr>
    </w:div>
    <w:div w:id="604925351">
      <w:bodyDiv w:val="1"/>
      <w:marLeft w:val="0"/>
      <w:marRight w:val="0"/>
      <w:marTop w:val="0"/>
      <w:marBottom w:val="0"/>
      <w:divBdr>
        <w:top w:val="none" w:sz="0" w:space="0" w:color="auto"/>
        <w:left w:val="none" w:sz="0" w:space="0" w:color="auto"/>
        <w:bottom w:val="none" w:sz="0" w:space="0" w:color="auto"/>
        <w:right w:val="none" w:sz="0" w:space="0" w:color="auto"/>
      </w:divBdr>
    </w:div>
    <w:div w:id="607078931">
      <w:bodyDiv w:val="1"/>
      <w:marLeft w:val="0"/>
      <w:marRight w:val="0"/>
      <w:marTop w:val="0"/>
      <w:marBottom w:val="0"/>
      <w:divBdr>
        <w:top w:val="none" w:sz="0" w:space="0" w:color="auto"/>
        <w:left w:val="none" w:sz="0" w:space="0" w:color="auto"/>
        <w:bottom w:val="none" w:sz="0" w:space="0" w:color="auto"/>
        <w:right w:val="none" w:sz="0" w:space="0" w:color="auto"/>
      </w:divBdr>
      <w:divsChild>
        <w:div w:id="492987446">
          <w:marLeft w:val="0"/>
          <w:marRight w:val="0"/>
          <w:marTop w:val="0"/>
          <w:marBottom w:val="0"/>
          <w:divBdr>
            <w:top w:val="none" w:sz="0" w:space="0" w:color="auto"/>
            <w:left w:val="none" w:sz="0" w:space="0" w:color="auto"/>
            <w:bottom w:val="none" w:sz="0" w:space="0" w:color="auto"/>
            <w:right w:val="none" w:sz="0" w:space="0" w:color="auto"/>
          </w:divBdr>
          <w:divsChild>
            <w:div w:id="1955013085">
              <w:marLeft w:val="0"/>
              <w:marRight w:val="0"/>
              <w:marTop w:val="0"/>
              <w:marBottom w:val="0"/>
              <w:divBdr>
                <w:top w:val="none" w:sz="0" w:space="0" w:color="auto"/>
                <w:left w:val="none" w:sz="0" w:space="0" w:color="auto"/>
                <w:bottom w:val="none" w:sz="0" w:space="0" w:color="auto"/>
                <w:right w:val="none" w:sz="0" w:space="0" w:color="auto"/>
              </w:divBdr>
              <w:divsChild>
                <w:div w:id="1209608331">
                  <w:marLeft w:val="0"/>
                  <w:marRight w:val="0"/>
                  <w:marTop w:val="0"/>
                  <w:marBottom w:val="0"/>
                  <w:divBdr>
                    <w:top w:val="none" w:sz="0" w:space="0" w:color="auto"/>
                    <w:left w:val="none" w:sz="0" w:space="0" w:color="auto"/>
                    <w:bottom w:val="none" w:sz="0" w:space="0" w:color="auto"/>
                    <w:right w:val="none" w:sz="0" w:space="0" w:color="auto"/>
                  </w:divBdr>
                </w:div>
              </w:divsChild>
            </w:div>
            <w:div w:id="1965698292">
              <w:marLeft w:val="0"/>
              <w:marRight w:val="0"/>
              <w:marTop w:val="0"/>
              <w:marBottom w:val="0"/>
              <w:divBdr>
                <w:top w:val="none" w:sz="0" w:space="0" w:color="auto"/>
                <w:left w:val="none" w:sz="0" w:space="0" w:color="auto"/>
                <w:bottom w:val="none" w:sz="0" w:space="0" w:color="auto"/>
                <w:right w:val="none" w:sz="0" w:space="0" w:color="auto"/>
              </w:divBdr>
              <w:divsChild>
                <w:div w:id="4012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4521">
      <w:bodyDiv w:val="1"/>
      <w:marLeft w:val="0"/>
      <w:marRight w:val="0"/>
      <w:marTop w:val="0"/>
      <w:marBottom w:val="0"/>
      <w:divBdr>
        <w:top w:val="none" w:sz="0" w:space="0" w:color="auto"/>
        <w:left w:val="none" w:sz="0" w:space="0" w:color="auto"/>
        <w:bottom w:val="none" w:sz="0" w:space="0" w:color="auto"/>
        <w:right w:val="none" w:sz="0" w:space="0" w:color="auto"/>
      </w:divBdr>
      <w:divsChild>
        <w:div w:id="1496922300">
          <w:marLeft w:val="0"/>
          <w:marRight w:val="0"/>
          <w:marTop w:val="0"/>
          <w:marBottom w:val="0"/>
          <w:divBdr>
            <w:top w:val="none" w:sz="0" w:space="0" w:color="auto"/>
            <w:left w:val="none" w:sz="0" w:space="0" w:color="auto"/>
            <w:bottom w:val="none" w:sz="0" w:space="0" w:color="auto"/>
            <w:right w:val="none" w:sz="0" w:space="0" w:color="auto"/>
          </w:divBdr>
          <w:divsChild>
            <w:div w:id="604313950">
              <w:marLeft w:val="0"/>
              <w:marRight w:val="0"/>
              <w:marTop w:val="0"/>
              <w:marBottom w:val="0"/>
              <w:divBdr>
                <w:top w:val="none" w:sz="0" w:space="0" w:color="auto"/>
                <w:left w:val="none" w:sz="0" w:space="0" w:color="auto"/>
                <w:bottom w:val="none" w:sz="0" w:space="0" w:color="auto"/>
                <w:right w:val="none" w:sz="0" w:space="0" w:color="auto"/>
              </w:divBdr>
              <w:divsChild>
                <w:div w:id="1344084891">
                  <w:marLeft w:val="0"/>
                  <w:marRight w:val="0"/>
                  <w:marTop w:val="0"/>
                  <w:marBottom w:val="0"/>
                  <w:divBdr>
                    <w:top w:val="none" w:sz="0" w:space="0" w:color="auto"/>
                    <w:left w:val="none" w:sz="0" w:space="0" w:color="auto"/>
                    <w:bottom w:val="none" w:sz="0" w:space="0" w:color="auto"/>
                    <w:right w:val="none" w:sz="0" w:space="0" w:color="auto"/>
                  </w:divBdr>
                </w:div>
              </w:divsChild>
            </w:div>
            <w:div w:id="367023145">
              <w:marLeft w:val="0"/>
              <w:marRight w:val="0"/>
              <w:marTop w:val="0"/>
              <w:marBottom w:val="0"/>
              <w:divBdr>
                <w:top w:val="none" w:sz="0" w:space="0" w:color="auto"/>
                <w:left w:val="none" w:sz="0" w:space="0" w:color="auto"/>
                <w:bottom w:val="none" w:sz="0" w:space="0" w:color="auto"/>
                <w:right w:val="none" w:sz="0" w:space="0" w:color="auto"/>
              </w:divBdr>
              <w:divsChild>
                <w:div w:id="928271442">
                  <w:marLeft w:val="0"/>
                  <w:marRight w:val="0"/>
                  <w:marTop w:val="0"/>
                  <w:marBottom w:val="0"/>
                  <w:divBdr>
                    <w:top w:val="none" w:sz="0" w:space="0" w:color="auto"/>
                    <w:left w:val="none" w:sz="0" w:space="0" w:color="auto"/>
                    <w:bottom w:val="none" w:sz="0" w:space="0" w:color="auto"/>
                    <w:right w:val="none" w:sz="0" w:space="0" w:color="auto"/>
                  </w:divBdr>
                </w:div>
              </w:divsChild>
            </w:div>
            <w:div w:id="1044139830">
              <w:marLeft w:val="0"/>
              <w:marRight w:val="0"/>
              <w:marTop w:val="0"/>
              <w:marBottom w:val="0"/>
              <w:divBdr>
                <w:top w:val="none" w:sz="0" w:space="0" w:color="auto"/>
                <w:left w:val="none" w:sz="0" w:space="0" w:color="auto"/>
                <w:bottom w:val="none" w:sz="0" w:space="0" w:color="auto"/>
                <w:right w:val="none" w:sz="0" w:space="0" w:color="auto"/>
              </w:divBdr>
              <w:divsChild>
                <w:div w:id="1188250670">
                  <w:marLeft w:val="0"/>
                  <w:marRight w:val="0"/>
                  <w:marTop w:val="0"/>
                  <w:marBottom w:val="0"/>
                  <w:divBdr>
                    <w:top w:val="none" w:sz="0" w:space="0" w:color="auto"/>
                    <w:left w:val="none" w:sz="0" w:space="0" w:color="auto"/>
                    <w:bottom w:val="none" w:sz="0" w:space="0" w:color="auto"/>
                    <w:right w:val="none" w:sz="0" w:space="0" w:color="auto"/>
                  </w:divBdr>
                </w:div>
              </w:divsChild>
            </w:div>
            <w:div w:id="929895718">
              <w:marLeft w:val="0"/>
              <w:marRight w:val="0"/>
              <w:marTop w:val="0"/>
              <w:marBottom w:val="0"/>
              <w:divBdr>
                <w:top w:val="none" w:sz="0" w:space="0" w:color="auto"/>
                <w:left w:val="none" w:sz="0" w:space="0" w:color="auto"/>
                <w:bottom w:val="none" w:sz="0" w:space="0" w:color="auto"/>
                <w:right w:val="none" w:sz="0" w:space="0" w:color="auto"/>
              </w:divBdr>
              <w:divsChild>
                <w:div w:id="1572807163">
                  <w:marLeft w:val="0"/>
                  <w:marRight w:val="0"/>
                  <w:marTop w:val="0"/>
                  <w:marBottom w:val="0"/>
                  <w:divBdr>
                    <w:top w:val="none" w:sz="0" w:space="0" w:color="auto"/>
                    <w:left w:val="none" w:sz="0" w:space="0" w:color="auto"/>
                    <w:bottom w:val="none" w:sz="0" w:space="0" w:color="auto"/>
                    <w:right w:val="none" w:sz="0" w:space="0" w:color="auto"/>
                  </w:divBdr>
                </w:div>
              </w:divsChild>
            </w:div>
            <w:div w:id="1671253947">
              <w:marLeft w:val="0"/>
              <w:marRight w:val="0"/>
              <w:marTop w:val="0"/>
              <w:marBottom w:val="0"/>
              <w:divBdr>
                <w:top w:val="none" w:sz="0" w:space="0" w:color="auto"/>
                <w:left w:val="none" w:sz="0" w:space="0" w:color="auto"/>
                <w:bottom w:val="none" w:sz="0" w:space="0" w:color="auto"/>
                <w:right w:val="none" w:sz="0" w:space="0" w:color="auto"/>
              </w:divBdr>
              <w:divsChild>
                <w:div w:id="1657951254">
                  <w:marLeft w:val="0"/>
                  <w:marRight w:val="0"/>
                  <w:marTop w:val="0"/>
                  <w:marBottom w:val="0"/>
                  <w:divBdr>
                    <w:top w:val="none" w:sz="0" w:space="0" w:color="auto"/>
                    <w:left w:val="none" w:sz="0" w:space="0" w:color="auto"/>
                    <w:bottom w:val="none" w:sz="0" w:space="0" w:color="auto"/>
                    <w:right w:val="none" w:sz="0" w:space="0" w:color="auto"/>
                  </w:divBdr>
                </w:div>
              </w:divsChild>
            </w:div>
            <w:div w:id="649482969">
              <w:marLeft w:val="0"/>
              <w:marRight w:val="0"/>
              <w:marTop w:val="0"/>
              <w:marBottom w:val="0"/>
              <w:divBdr>
                <w:top w:val="none" w:sz="0" w:space="0" w:color="auto"/>
                <w:left w:val="none" w:sz="0" w:space="0" w:color="auto"/>
                <w:bottom w:val="none" w:sz="0" w:space="0" w:color="auto"/>
                <w:right w:val="none" w:sz="0" w:space="0" w:color="auto"/>
              </w:divBdr>
              <w:divsChild>
                <w:div w:id="1246458595">
                  <w:marLeft w:val="0"/>
                  <w:marRight w:val="0"/>
                  <w:marTop w:val="0"/>
                  <w:marBottom w:val="0"/>
                  <w:divBdr>
                    <w:top w:val="none" w:sz="0" w:space="0" w:color="auto"/>
                    <w:left w:val="none" w:sz="0" w:space="0" w:color="auto"/>
                    <w:bottom w:val="none" w:sz="0" w:space="0" w:color="auto"/>
                    <w:right w:val="none" w:sz="0" w:space="0" w:color="auto"/>
                  </w:divBdr>
                </w:div>
              </w:divsChild>
            </w:div>
            <w:div w:id="1128551819">
              <w:marLeft w:val="0"/>
              <w:marRight w:val="0"/>
              <w:marTop w:val="0"/>
              <w:marBottom w:val="0"/>
              <w:divBdr>
                <w:top w:val="none" w:sz="0" w:space="0" w:color="auto"/>
                <w:left w:val="none" w:sz="0" w:space="0" w:color="auto"/>
                <w:bottom w:val="none" w:sz="0" w:space="0" w:color="auto"/>
                <w:right w:val="none" w:sz="0" w:space="0" w:color="auto"/>
              </w:divBdr>
              <w:divsChild>
                <w:div w:id="1885025362">
                  <w:marLeft w:val="0"/>
                  <w:marRight w:val="0"/>
                  <w:marTop w:val="0"/>
                  <w:marBottom w:val="0"/>
                  <w:divBdr>
                    <w:top w:val="none" w:sz="0" w:space="0" w:color="auto"/>
                    <w:left w:val="none" w:sz="0" w:space="0" w:color="auto"/>
                    <w:bottom w:val="none" w:sz="0" w:space="0" w:color="auto"/>
                    <w:right w:val="none" w:sz="0" w:space="0" w:color="auto"/>
                  </w:divBdr>
                </w:div>
              </w:divsChild>
            </w:div>
            <w:div w:id="1058943682">
              <w:marLeft w:val="0"/>
              <w:marRight w:val="0"/>
              <w:marTop w:val="0"/>
              <w:marBottom w:val="0"/>
              <w:divBdr>
                <w:top w:val="none" w:sz="0" w:space="0" w:color="auto"/>
                <w:left w:val="none" w:sz="0" w:space="0" w:color="auto"/>
                <w:bottom w:val="none" w:sz="0" w:space="0" w:color="auto"/>
                <w:right w:val="none" w:sz="0" w:space="0" w:color="auto"/>
              </w:divBdr>
              <w:divsChild>
                <w:div w:id="1559244721">
                  <w:marLeft w:val="0"/>
                  <w:marRight w:val="0"/>
                  <w:marTop w:val="0"/>
                  <w:marBottom w:val="0"/>
                  <w:divBdr>
                    <w:top w:val="none" w:sz="0" w:space="0" w:color="auto"/>
                    <w:left w:val="none" w:sz="0" w:space="0" w:color="auto"/>
                    <w:bottom w:val="none" w:sz="0" w:space="0" w:color="auto"/>
                    <w:right w:val="none" w:sz="0" w:space="0" w:color="auto"/>
                  </w:divBdr>
                </w:div>
              </w:divsChild>
            </w:div>
            <w:div w:id="597913062">
              <w:marLeft w:val="0"/>
              <w:marRight w:val="0"/>
              <w:marTop w:val="0"/>
              <w:marBottom w:val="0"/>
              <w:divBdr>
                <w:top w:val="none" w:sz="0" w:space="0" w:color="auto"/>
                <w:left w:val="none" w:sz="0" w:space="0" w:color="auto"/>
                <w:bottom w:val="none" w:sz="0" w:space="0" w:color="auto"/>
                <w:right w:val="none" w:sz="0" w:space="0" w:color="auto"/>
              </w:divBdr>
              <w:divsChild>
                <w:div w:id="1371151830">
                  <w:marLeft w:val="0"/>
                  <w:marRight w:val="0"/>
                  <w:marTop w:val="0"/>
                  <w:marBottom w:val="0"/>
                  <w:divBdr>
                    <w:top w:val="none" w:sz="0" w:space="0" w:color="auto"/>
                    <w:left w:val="none" w:sz="0" w:space="0" w:color="auto"/>
                    <w:bottom w:val="none" w:sz="0" w:space="0" w:color="auto"/>
                    <w:right w:val="none" w:sz="0" w:space="0" w:color="auto"/>
                  </w:divBdr>
                </w:div>
              </w:divsChild>
            </w:div>
            <w:div w:id="86312765">
              <w:marLeft w:val="0"/>
              <w:marRight w:val="0"/>
              <w:marTop w:val="0"/>
              <w:marBottom w:val="0"/>
              <w:divBdr>
                <w:top w:val="none" w:sz="0" w:space="0" w:color="auto"/>
                <w:left w:val="none" w:sz="0" w:space="0" w:color="auto"/>
                <w:bottom w:val="none" w:sz="0" w:space="0" w:color="auto"/>
                <w:right w:val="none" w:sz="0" w:space="0" w:color="auto"/>
              </w:divBdr>
              <w:divsChild>
                <w:div w:id="693649319">
                  <w:marLeft w:val="0"/>
                  <w:marRight w:val="0"/>
                  <w:marTop w:val="0"/>
                  <w:marBottom w:val="0"/>
                  <w:divBdr>
                    <w:top w:val="none" w:sz="0" w:space="0" w:color="auto"/>
                    <w:left w:val="none" w:sz="0" w:space="0" w:color="auto"/>
                    <w:bottom w:val="none" w:sz="0" w:space="0" w:color="auto"/>
                    <w:right w:val="none" w:sz="0" w:space="0" w:color="auto"/>
                  </w:divBdr>
                </w:div>
              </w:divsChild>
            </w:div>
            <w:div w:id="338773081">
              <w:marLeft w:val="0"/>
              <w:marRight w:val="0"/>
              <w:marTop w:val="0"/>
              <w:marBottom w:val="0"/>
              <w:divBdr>
                <w:top w:val="none" w:sz="0" w:space="0" w:color="auto"/>
                <w:left w:val="none" w:sz="0" w:space="0" w:color="auto"/>
                <w:bottom w:val="none" w:sz="0" w:space="0" w:color="auto"/>
                <w:right w:val="none" w:sz="0" w:space="0" w:color="auto"/>
              </w:divBdr>
              <w:divsChild>
                <w:div w:id="1017193421">
                  <w:marLeft w:val="0"/>
                  <w:marRight w:val="0"/>
                  <w:marTop w:val="0"/>
                  <w:marBottom w:val="0"/>
                  <w:divBdr>
                    <w:top w:val="none" w:sz="0" w:space="0" w:color="auto"/>
                    <w:left w:val="none" w:sz="0" w:space="0" w:color="auto"/>
                    <w:bottom w:val="none" w:sz="0" w:space="0" w:color="auto"/>
                    <w:right w:val="none" w:sz="0" w:space="0" w:color="auto"/>
                  </w:divBdr>
                </w:div>
              </w:divsChild>
            </w:div>
            <w:div w:id="2086297737">
              <w:marLeft w:val="0"/>
              <w:marRight w:val="0"/>
              <w:marTop w:val="0"/>
              <w:marBottom w:val="0"/>
              <w:divBdr>
                <w:top w:val="none" w:sz="0" w:space="0" w:color="auto"/>
                <w:left w:val="none" w:sz="0" w:space="0" w:color="auto"/>
                <w:bottom w:val="none" w:sz="0" w:space="0" w:color="auto"/>
                <w:right w:val="none" w:sz="0" w:space="0" w:color="auto"/>
              </w:divBdr>
              <w:divsChild>
                <w:div w:id="332609356">
                  <w:marLeft w:val="0"/>
                  <w:marRight w:val="0"/>
                  <w:marTop w:val="0"/>
                  <w:marBottom w:val="0"/>
                  <w:divBdr>
                    <w:top w:val="none" w:sz="0" w:space="0" w:color="auto"/>
                    <w:left w:val="none" w:sz="0" w:space="0" w:color="auto"/>
                    <w:bottom w:val="none" w:sz="0" w:space="0" w:color="auto"/>
                    <w:right w:val="none" w:sz="0" w:space="0" w:color="auto"/>
                  </w:divBdr>
                </w:div>
              </w:divsChild>
            </w:div>
            <w:div w:id="546382684">
              <w:marLeft w:val="0"/>
              <w:marRight w:val="0"/>
              <w:marTop w:val="0"/>
              <w:marBottom w:val="0"/>
              <w:divBdr>
                <w:top w:val="none" w:sz="0" w:space="0" w:color="auto"/>
                <w:left w:val="none" w:sz="0" w:space="0" w:color="auto"/>
                <w:bottom w:val="none" w:sz="0" w:space="0" w:color="auto"/>
                <w:right w:val="none" w:sz="0" w:space="0" w:color="auto"/>
              </w:divBdr>
              <w:divsChild>
                <w:div w:id="396171627">
                  <w:marLeft w:val="0"/>
                  <w:marRight w:val="0"/>
                  <w:marTop w:val="0"/>
                  <w:marBottom w:val="0"/>
                  <w:divBdr>
                    <w:top w:val="none" w:sz="0" w:space="0" w:color="auto"/>
                    <w:left w:val="none" w:sz="0" w:space="0" w:color="auto"/>
                    <w:bottom w:val="none" w:sz="0" w:space="0" w:color="auto"/>
                    <w:right w:val="none" w:sz="0" w:space="0" w:color="auto"/>
                  </w:divBdr>
                </w:div>
              </w:divsChild>
            </w:div>
            <w:div w:id="1122379145">
              <w:marLeft w:val="0"/>
              <w:marRight w:val="0"/>
              <w:marTop w:val="0"/>
              <w:marBottom w:val="0"/>
              <w:divBdr>
                <w:top w:val="none" w:sz="0" w:space="0" w:color="auto"/>
                <w:left w:val="none" w:sz="0" w:space="0" w:color="auto"/>
                <w:bottom w:val="none" w:sz="0" w:space="0" w:color="auto"/>
                <w:right w:val="none" w:sz="0" w:space="0" w:color="auto"/>
              </w:divBdr>
              <w:divsChild>
                <w:div w:id="68771805">
                  <w:marLeft w:val="0"/>
                  <w:marRight w:val="0"/>
                  <w:marTop w:val="0"/>
                  <w:marBottom w:val="0"/>
                  <w:divBdr>
                    <w:top w:val="none" w:sz="0" w:space="0" w:color="auto"/>
                    <w:left w:val="none" w:sz="0" w:space="0" w:color="auto"/>
                    <w:bottom w:val="none" w:sz="0" w:space="0" w:color="auto"/>
                    <w:right w:val="none" w:sz="0" w:space="0" w:color="auto"/>
                  </w:divBdr>
                </w:div>
              </w:divsChild>
            </w:div>
            <w:div w:id="528182530">
              <w:marLeft w:val="0"/>
              <w:marRight w:val="0"/>
              <w:marTop w:val="0"/>
              <w:marBottom w:val="0"/>
              <w:divBdr>
                <w:top w:val="none" w:sz="0" w:space="0" w:color="auto"/>
                <w:left w:val="none" w:sz="0" w:space="0" w:color="auto"/>
                <w:bottom w:val="none" w:sz="0" w:space="0" w:color="auto"/>
                <w:right w:val="none" w:sz="0" w:space="0" w:color="auto"/>
              </w:divBdr>
              <w:divsChild>
                <w:div w:id="55279556">
                  <w:marLeft w:val="0"/>
                  <w:marRight w:val="0"/>
                  <w:marTop w:val="0"/>
                  <w:marBottom w:val="0"/>
                  <w:divBdr>
                    <w:top w:val="none" w:sz="0" w:space="0" w:color="auto"/>
                    <w:left w:val="none" w:sz="0" w:space="0" w:color="auto"/>
                    <w:bottom w:val="none" w:sz="0" w:space="0" w:color="auto"/>
                    <w:right w:val="none" w:sz="0" w:space="0" w:color="auto"/>
                  </w:divBdr>
                </w:div>
              </w:divsChild>
            </w:div>
            <w:div w:id="1521629946">
              <w:marLeft w:val="0"/>
              <w:marRight w:val="0"/>
              <w:marTop w:val="0"/>
              <w:marBottom w:val="0"/>
              <w:divBdr>
                <w:top w:val="none" w:sz="0" w:space="0" w:color="auto"/>
                <w:left w:val="none" w:sz="0" w:space="0" w:color="auto"/>
                <w:bottom w:val="none" w:sz="0" w:space="0" w:color="auto"/>
                <w:right w:val="none" w:sz="0" w:space="0" w:color="auto"/>
              </w:divBdr>
              <w:divsChild>
                <w:div w:id="1308625606">
                  <w:marLeft w:val="0"/>
                  <w:marRight w:val="0"/>
                  <w:marTop w:val="0"/>
                  <w:marBottom w:val="0"/>
                  <w:divBdr>
                    <w:top w:val="none" w:sz="0" w:space="0" w:color="auto"/>
                    <w:left w:val="none" w:sz="0" w:space="0" w:color="auto"/>
                    <w:bottom w:val="none" w:sz="0" w:space="0" w:color="auto"/>
                    <w:right w:val="none" w:sz="0" w:space="0" w:color="auto"/>
                  </w:divBdr>
                </w:div>
              </w:divsChild>
            </w:div>
            <w:div w:id="693648835">
              <w:marLeft w:val="0"/>
              <w:marRight w:val="0"/>
              <w:marTop w:val="0"/>
              <w:marBottom w:val="0"/>
              <w:divBdr>
                <w:top w:val="none" w:sz="0" w:space="0" w:color="auto"/>
                <w:left w:val="none" w:sz="0" w:space="0" w:color="auto"/>
                <w:bottom w:val="none" w:sz="0" w:space="0" w:color="auto"/>
                <w:right w:val="none" w:sz="0" w:space="0" w:color="auto"/>
              </w:divBdr>
              <w:divsChild>
                <w:div w:id="532035135">
                  <w:marLeft w:val="0"/>
                  <w:marRight w:val="0"/>
                  <w:marTop w:val="0"/>
                  <w:marBottom w:val="0"/>
                  <w:divBdr>
                    <w:top w:val="none" w:sz="0" w:space="0" w:color="auto"/>
                    <w:left w:val="none" w:sz="0" w:space="0" w:color="auto"/>
                    <w:bottom w:val="none" w:sz="0" w:space="0" w:color="auto"/>
                    <w:right w:val="none" w:sz="0" w:space="0" w:color="auto"/>
                  </w:divBdr>
                </w:div>
              </w:divsChild>
            </w:div>
            <w:div w:id="1568221143">
              <w:marLeft w:val="0"/>
              <w:marRight w:val="0"/>
              <w:marTop w:val="0"/>
              <w:marBottom w:val="0"/>
              <w:divBdr>
                <w:top w:val="none" w:sz="0" w:space="0" w:color="auto"/>
                <w:left w:val="none" w:sz="0" w:space="0" w:color="auto"/>
                <w:bottom w:val="none" w:sz="0" w:space="0" w:color="auto"/>
                <w:right w:val="none" w:sz="0" w:space="0" w:color="auto"/>
              </w:divBdr>
              <w:divsChild>
                <w:div w:id="9532236">
                  <w:marLeft w:val="0"/>
                  <w:marRight w:val="0"/>
                  <w:marTop w:val="0"/>
                  <w:marBottom w:val="0"/>
                  <w:divBdr>
                    <w:top w:val="none" w:sz="0" w:space="0" w:color="auto"/>
                    <w:left w:val="none" w:sz="0" w:space="0" w:color="auto"/>
                    <w:bottom w:val="none" w:sz="0" w:space="0" w:color="auto"/>
                    <w:right w:val="none" w:sz="0" w:space="0" w:color="auto"/>
                  </w:divBdr>
                </w:div>
              </w:divsChild>
            </w:div>
            <w:div w:id="836043388">
              <w:marLeft w:val="0"/>
              <w:marRight w:val="0"/>
              <w:marTop w:val="0"/>
              <w:marBottom w:val="0"/>
              <w:divBdr>
                <w:top w:val="none" w:sz="0" w:space="0" w:color="auto"/>
                <w:left w:val="none" w:sz="0" w:space="0" w:color="auto"/>
                <w:bottom w:val="none" w:sz="0" w:space="0" w:color="auto"/>
                <w:right w:val="none" w:sz="0" w:space="0" w:color="auto"/>
              </w:divBdr>
              <w:divsChild>
                <w:div w:id="1935437496">
                  <w:marLeft w:val="0"/>
                  <w:marRight w:val="0"/>
                  <w:marTop w:val="0"/>
                  <w:marBottom w:val="0"/>
                  <w:divBdr>
                    <w:top w:val="none" w:sz="0" w:space="0" w:color="auto"/>
                    <w:left w:val="none" w:sz="0" w:space="0" w:color="auto"/>
                    <w:bottom w:val="none" w:sz="0" w:space="0" w:color="auto"/>
                    <w:right w:val="none" w:sz="0" w:space="0" w:color="auto"/>
                  </w:divBdr>
                </w:div>
              </w:divsChild>
            </w:div>
            <w:div w:id="3752106">
              <w:marLeft w:val="0"/>
              <w:marRight w:val="0"/>
              <w:marTop w:val="0"/>
              <w:marBottom w:val="0"/>
              <w:divBdr>
                <w:top w:val="none" w:sz="0" w:space="0" w:color="auto"/>
                <w:left w:val="none" w:sz="0" w:space="0" w:color="auto"/>
                <w:bottom w:val="none" w:sz="0" w:space="0" w:color="auto"/>
                <w:right w:val="none" w:sz="0" w:space="0" w:color="auto"/>
              </w:divBdr>
              <w:divsChild>
                <w:div w:id="1712269798">
                  <w:marLeft w:val="0"/>
                  <w:marRight w:val="0"/>
                  <w:marTop w:val="0"/>
                  <w:marBottom w:val="0"/>
                  <w:divBdr>
                    <w:top w:val="none" w:sz="0" w:space="0" w:color="auto"/>
                    <w:left w:val="none" w:sz="0" w:space="0" w:color="auto"/>
                    <w:bottom w:val="none" w:sz="0" w:space="0" w:color="auto"/>
                    <w:right w:val="none" w:sz="0" w:space="0" w:color="auto"/>
                  </w:divBdr>
                </w:div>
              </w:divsChild>
            </w:div>
            <w:div w:id="937953920">
              <w:marLeft w:val="0"/>
              <w:marRight w:val="0"/>
              <w:marTop w:val="0"/>
              <w:marBottom w:val="0"/>
              <w:divBdr>
                <w:top w:val="none" w:sz="0" w:space="0" w:color="auto"/>
                <w:left w:val="none" w:sz="0" w:space="0" w:color="auto"/>
                <w:bottom w:val="none" w:sz="0" w:space="0" w:color="auto"/>
                <w:right w:val="none" w:sz="0" w:space="0" w:color="auto"/>
              </w:divBdr>
              <w:divsChild>
                <w:div w:id="1491411832">
                  <w:marLeft w:val="0"/>
                  <w:marRight w:val="0"/>
                  <w:marTop w:val="0"/>
                  <w:marBottom w:val="0"/>
                  <w:divBdr>
                    <w:top w:val="none" w:sz="0" w:space="0" w:color="auto"/>
                    <w:left w:val="none" w:sz="0" w:space="0" w:color="auto"/>
                    <w:bottom w:val="none" w:sz="0" w:space="0" w:color="auto"/>
                    <w:right w:val="none" w:sz="0" w:space="0" w:color="auto"/>
                  </w:divBdr>
                </w:div>
              </w:divsChild>
            </w:div>
            <w:div w:id="1389958175">
              <w:marLeft w:val="0"/>
              <w:marRight w:val="0"/>
              <w:marTop w:val="0"/>
              <w:marBottom w:val="0"/>
              <w:divBdr>
                <w:top w:val="none" w:sz="0" w:space="0" w:color="auto"/>
                <w:left w:val="none" w:sz="0" w:space="0" w:color="auto"/>
                <w:bottom w:val="none" w:sz="0" w:space="0" w:color="auto"/>
                <w:right w:val="none" w:sz="0" w:space="0" w:color="auto"/>
              </w:divBdr>
              <w:divsChild>
                <w:div w:id="1392340828">
                  <w:marLeft w:val="0"/>
                  <w:marRight w:val="0"/>
                  <w:marTop w:val="0"/>
                  <w:marBottom w:val="0"/>
                  <w:divBdr>
                    <w:top w:val="none" w:sz="0" w:space="0" w:color="auto"/>
                    <w:left w:val="none" w:sz="0" w:space="0" w:color="auto"/>
                    <w:bottom w:val="none" w:sz="0" w:space="0" w:color="auto"/>
                    <w:right w:val="none" w:sz="0" w:space="0" w:color="auto"/>
                  </w:divBdr>
                </w:div>
              </w:divsChild>
            </w:div>
            <w:div w:id="1292131972">
              <w:marLeft w:val="0"/>
              <w:marRight w:val="0"/>
              <w:marTop w:val="0"/>
              <w:marBottom w:val="0"/>
              <w:divBdr>
                <w:top w:val="none" w:sz="0" w:space="0" w:color="auto"/>
                <w:left w:val="none" w:sz="0" w:space="0" w:color="auto"/>
                <w:bottom w:val="none" w:sz="0" w:space="0" w:color="auto"/>
                <w:right w:val="none" w:sz="0" w:space="0" w:color="auto"/>
              </w:divBdr>
              <w:divsChild>
                <w:div w:id="1697004126">
                  <w:marLeft w:val="0"/>
                  <w:marRight w:val="0"/>
                  <w:marTop w:val="0"/>
                  <w:marBottom w:val="0"/>
                  <w:divBdr>
                    <w:top w:val="none" w:sz="0" w:space="0" w:color="auto"/>
                    <w:left w:val="none" w:sz="0" w:space="0" w:color="auto"/>
                    <w:bottom w:val="none" w:sz="0" w:space="0" w:color="auto"/>
                    <w:right w:val="none" w:sz="0" w:space="0" w:color="auto"/>
                  </w:divBdr>
                </w:div>
              </w:divsChild>
            </w:div>
            <w:div w:id="1323661893">
              <w:marLeft w:val="0"/>
              <w:marRight w:val="0"/>
              <w:marTop w:val="0"/>
              <w:marBottom w:val="0"/>
              <w:divBdr>
                <w:top w:val="none" w:sz="0" w:space="0" w:color="auto"/>
                <w:left w:val="none" w:sz="0" w:space="0" w:color="auto"/>
                <w:bottom w:val="none" w:sz="0" w:space="0" w:color="auto"/>
                <w:right w:val="none" w:sz="0" w:space="0" w:color="auto"/>
              </w:divBdr>
              <w:divsChild>
                <w:div w:id="219635207">
                  <w:marLeft w:val="0"/>
                  <w:marRight w:val="0"/>
                  <w:marTop w:val="0"/>
                  <w:marBottom w:val="0"/>
                  <w:divBdr>
                    <w:top w:val="none" w:sz="0" w:space="0" w:color="auto"/>
                    <w:left w:val="none" w:sz="0" w:space="0" w:color="auto"/>
                    <w:bottom w:val="none" w:sz="0" w:space="0" w:color="auto"/>
                    <w:right w:val="none" w:sz="0" w:space="0" w:color="auto"/>
                  </w:divBdr>
                </w:div>
              </w:divsChild>
            </w:div>
            <w:div w:id="69621168">
              <w:marLeft w:val="0"/>
              <w:marRight w:val="0"/>
              <w:marTop w:val="0"/>
              <w:marBottom w:val="0"/>
              <w:divBdr>
                <w:top w:val="none" w:sz="0" w:space="0" w:color="auto"/>
                <w:left w:val="none" w:sz="0" w:space="0" w:color="auto"/>
                <w:bottom w:val="none" w:sz="0" w:space="0" w:color="auto"/>
                <w:right w:val="none" w:sz="0" w:space="0" w:color="auto"/>
              </w:divBdr>
              <w:divsChild>
                <w:div w:id="1117456418">
                  <w:marLeft w:val="0"/>
                  <w:marRight w:val="0"/>
                  <w:marTop w:val="0"/>
                  <w:marBottom w:val="0"/>
                  <w:divBdr>
                    <w:top w:val="none" w:sz="0" w:space="0" w:color="auto"/>
                    <w:left w:val="none" w:sz="0" w:space="0" w:color="auto"/>
                    <w:bottom w:val="none" w:sz="0" w:space="0" w:color="auto"/>
                    <w:right w:val="none" w:sz="0" w:space="0" w:color="auto"/>
                  </w:divBdr>
                </w:div>
              </w:divsChild>
            </w:div>
            <w:div w:id="787554817">
              <w:marLeft w:val="0"/>
              <w:marRight w:val="0"/>
              <w:marTop w:val="0"/>
              <w:marBottom w:val="0"/>
              <w:divBdr>
                <w:top w:val="none" w:sz="0" w:space="0" w:color="auto"/>
                <w:left w:val="none" w:sz="0" w:space="0" w:color="auto"/>
                <w:bottom w:val="none" w:sz="0" w:space="0" w:color="auto"/>
                <w:right w:val="none" w:sz="0" w:space="0" w:color="auto"/>
              </w:divBdr>
              <w:divsChild>
                <w:div w:id="1962027416">
                  <w:marLeft w:val="0"/>
                  <w:marRight w:val="0"/>
                  <w:marTop w:val="0"/>
                  <w:marBottom w:val="0"/>
                  <w:divBdr>
                    <w:top w:val="none" w:sz="0" w:space="0" w:color="auto"/>
                    <w:left w:val="none" w:sz="0" w:space="0" w:color="auto"/>
                    <w:bottom w:val="none" w:sz="0" w:space="0" w:color="auto"/>
                    <w:right w:val="none" w:sz="0" w:space="0" w:color="auto"/>
                  </w:divBdr>
                </w:div>
              </w:divsChild>
            </w:div>
            <w:div w:id="1368873138">
              <w:marLeft w:val="0"/>
              <w:marRight w:val="0"/>
              <w:marTop w:val="0"/>
              <w:marBottom w:val="0"/>
              <w:divBdr>
                <w:top w:val="none" w:sz="0" w:space="0" w:color="auto"/>
                <w:left w:val="none" w:sz="0" w:space="0" w:color="auto"/>
                <w:bottom w:val="none" w:sz="0" w:space="0" w:color="auto"/>
                <w:right w:val="none" w:sz="0" w:space="0" w:color="auto"/>
              </w:divBdr>
              <w:divsChild>
                <w:div w:id="8875048">
                  <w:marLeft w:val="0"/>
                  <w:marRight w:val="0"/>
                  <w:marTop w:val="0"/>
                  <w:marBottom w:val="0"/>
                  <w:divBdr>
                    <w:top w:val="none" w:sz="0" w:space="0" w:color="auto"/>
                    <w:left w:val="none" w:sz="0" w:space="0" w:color="auto"/>
                    <w:bottom w:val="none" w:sz="0" w:space="0" w:color="auto"/>
                    <w:right w:val="none" w:sz="0" w:space="0" w:color="auto"/>
                  </w:divBdr>
                </w:div>
              </w:divsChild>
            </w:div>
            <w:div w:id="769278765">
              <w:marLeft w:val="0"/>
              <w:marRight w:val="0"/>
              <w:marTop w:val="0"/>
              <w:marBottom w:val="0"/>
              <w:divBdr>
                <w:top w:val="none" w:sz="0" w:space="0" w:color="auto"/>
                <w:left w:val="none" w:sz="0" w:space="0" w:color="auto"/>
                <w:bottom w:val="none" w:sz="0" w:space="0" w:color="auto"/>
                <w:right w:val="none" w:sz="0" w:space="0" w:color="auto"/>
              </w:divBdr>
              <w:divsChild>
                <w:div w:id="1374845595">
                  <w:marLeft w:val="0"/>
                  <w:marRight w:val="0"/>
                  <w:marTop w:val="0"/>
                  <w:marBottom w:val="0"/>
                  <w:divBdr>
                    <w:top w:val="none" w:sz="0" w:space="0" w:color="auto"/>
                    <w:left w:val="none" w:sz="0" w:space="0" w:color="auto"/>
                    <w:bottom w:val="none" w:sz="0" w:space="0" w:color="auto"/>
                    <w:right w:val="none" w:sz="0" w:space="0" w:color="auto"/>
                  </w:divBdr>
                </w:div>
              </w:divsChild>
            </w:div>
            <w:div w:id="2125926400">
              <w:marLeft w:val="0"/>
              <w:marRight w:val="0"/>
              <w:marTop w:val="0"/>
              <w:marBottom w:val="0"/>
              <w:divBdr>
                <w:top w:val="none" w:sz="0" w:space="0" w:color="auto"/>
                <w:left w:val="none" w:sz="0" w:space="0" w:color="auto"/>
                <w:bottom w:val="none" w:sz="0" w:space="0" w:color="auto"/>
                <w:right w:val="none" w:sz="0" w:space="0" w:color="auto"/>
              </w:divBdr>
              <w:divsChild>
                <w:div w:id="823358922">
                  <w:marLeft w:val="0"/>
                  <w:marRight w:val="0"/>
                  <w:marTop w:val="0"/>
                  <w:marBottom w:val="0"/>
                  <w:divBdr>
                    <w:top w:val="none" w:sz="0" w:space="0" w:color="auto"/>
                    <w:left w:val="none" w:sz="0" w:space="0" w:color="auto"/>
                    <w:bottom w:val="none" w:sz="0" w:space="0" w:color="auto"/>
                    <w:right w:val="none" w:sz="0" w:space="0" w:color="auto"/>
                  </w:divBdr>
                </w:div>
              </w:divsChild>
            </w:div>
            <w:div w:id="671101790">
              <w:marLeft w:val="0"/>
              <w:marRight w:val="0"/>
              <w:marTop w:val="0"/>
              <w:marBottom w:val="0"/>
              <w:divBdr>
                <w:top w:val="none" w:sz="0" w:space="0" w:color="auto"/>
                <w:left w:val="none" w:sz="0" w:space="0" w:color="auto"/>
                <w:bottom w:val="none" w:sz="0" w:space="0" w:color="auto"/>
                <w:right w:val="none" w:sz="0" w:space="0" w:color="auto"/>
              </w:divBdr>
              <w:divsChild>
                <w:div w:id="1433355937">
                  <w:marLeft w:val="0"/>
                  <w:marRight w:val="0"/>
                  <w:marTop w:val="0"/>
                  <w:marBottom w:val="0"/>
                  <w:divBdr>
                    <w:top w:val="none" w:sz="0" w:space="0" w:color="auto"/>
                    <w:left w:val="none" w:sz="0" w:space="0" w:color="auto"/>
                    <w:bottom w:val="none" w:sz="0" w:space="0" w:color="auto"/>
                    <w:right w:val="none" w:sz="0" w:space="0" w:color="auto"/>
                  </w:divBdr>
                </w:div>
              </w:divsChild>
            </w:div>
            <w:div w:id="844051937">
              <w:marLeft w:val="0"/>
              <w:marRight w:val="0"/>
              <w:marTop w:val="0"/>
              <w:marBottom w:val="0"/>
              <w:divBdr>
                <w:top w:val="none" w:sz="0" w:space="0" w:color="auto"/>
                <w:left w:val="none" w:sz="0" w:space="0" w:color="auto"/>
                <w:bottom w:val="none" w:sz="0" w:space="0" w:color="auto"/>
                <w:right w:val="none" w:sz="0" w:space="0" w:color="auto"/>
              </w:divBdr>
              <w:divsChild>
                <w:div w:id="10528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5888">
      <w:bodyDiv w:val="1"/>
      <w:marLeft w:val="0"/>
      <w:marRight w:val="0"/>
      <w:marTop w:val="0"/>
      <w:marBottom w:val="0"/>
      <w:divBdr>
        <w:top w:val="none" w:sz="0" w:space="0" w:color="auto"/>
        <w:left w:val="none" w:sz="0" w:space="0" w:color="auto"/>
        <w:bottom w:val="none" w:sz="0" w:space="0" w:color="auto"/>
        <w:right w:val="none" w:sz="0" w:space="0" w:color="auto"/>
      </w:divBdr>
    </w:div>
    <w:div w:id="728697741">
      <w:bodyDiv w:val="1"/>
      <w:marLeft w:val="0"/>
      <w:marRight w:val="0"/>
      <w:marTop w:val="0"/>
      <w:marBottom w:val="0"/>
      <w:divBdr>
        <w:top w:val="none" w:sz="0" w:space="0" w:color="auto"/>
        <w:left w:val="none" w:sz="0" w:space="0" w:color="auto"/>
        <w:bottom w:val="none" w:sz="0" w:space="0" w:color="auto"/>
        <w:right w:val="none" w:sz="0" w:space="0" w:color="auto"/>
      </w:divBdr>
    </w:div>
    <w:div w:id="790439627">
      <w:bodyDiv w:val="1"/>
      <w:marLeft w:val="0"/>
      <w:marRight w:val="0"/>
      <w:marTop w:val="0"/>
      <w:marBottom w:val="0"/>
      <w:divBdr>
        <w:top w:val="none" w:sz="0" w:space="0" w:color="auto"/>
        <w:left w:val="none" w:sz="0" w:space="0" w:color="auto"/>
        <w:bottom w:val="none" w:sz="0" w:space="0" w:color="auto"/>
        <w:right w:val="none" w:sz="0" w:space="0" w:color="auto"/>
      </w:divBdr>
      <w:divsChild>
        <w:div w:id="1546795163">
          <w:marLeft w:val="0"/>
          <w:marRight w:val="0"/>
          <w:marTop w:val="0"/>
          <w:marBottom w:val="0"/>
          <w:divBdr>
            <w:top w:val="none" w:sz="0" w:space="0" w:color="auto"/>
            <w:left w:val="none" w:sz="0" w:space="0" w:color="auto"/>
            <w:bottom w:val="none" w:sz="0" w:space="0" w:color="auto"/>
            <w:right w:val="none" w:sz="0" w:space="0" w:color="auto"/>
          </w:divBdr>
          <w:divsChild>
            <w:div w:id="1434086473">
              <w:marLeft w:val="0"/>
              <w:marRight w:val="0"/>
              <w:marTop w:val="0"/>
              <w:marBottom w:val="0"/>
              <w:divBdr>
                <w:top w:val="none" w:sz="0" w:space="0" w:color="auto"/>
                <w:left w:val="none" w:sz="0" w:space="0" w:color="auto"/>
                <w:bottom w:val="none" w:sz="0" w:space="0" w:color="auto"/>
                <w:right w:val="none" w:sz="0" w:space="0" w:color="auto"/>
              </w:divBdr>
              <w:divsChild>
                <w:div w:id="8604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9295">
      <w:bodyDiv w:val="1"/>
      <w:marLeft w:val="0"/>
      <w:marRight w:val="0"/>
      <w:marTop w:val="0"/>
      <w:marBottom w:val="0"/>
      <w:divBdr>
        <w:top w:val="none" w:sz="0" w:space="0" w:color="auto"/>
        <w:left w:val="none" w:sz="0" w:space="0" w:color="auto"/>
        <w:bottom w:val="none" w:sz="0" w:space="0" w:color="auto"/>
        <w:right w:val="none" w:sz="0" w:space="0" w:color="auto"/>
      </w:divBdr>
      <w:divsChild>
        <w:div w:id="124661124">
          <w:marLeft w:val="0"/>
          <w:marRight w:val="0"/>
          <w:marTop w:val="0"/>
          <w:marBottom w:val="0"/>
          <w:divBdr>
            <w:top w:val="none" w:sz="0" w:space="0" w:color="auto"/>
            <w:left w:val="none" w:sz="0" w:space="0" w:color="auto"/>
            <w:bottom w:val="none" w:sz="0" w:space="0" w:color="auto"/>
            <w:right w:val="none" w:sz="0" w:space="0" w:color="auto"/>
          </w:divBdr>
          <w:divsChild>
            <w:div w:id="2033874949">
              <w:marLeft w:val="0"/>
              <w:marRight w:val="0"/>
              <w:marTop w:val="0"/>
              <w:marBottom w:val="0"/>
              <w:divBdr>
                <w:top w:val="none" w:sz="0" w:space="0" w:color="auto"/>
                <w:left w:val="none" w:sz="0" w:space="0" w:color="auto"/>
                <w:bottom w:val="none" w:sz="0" w:space="0" w:color="auto"/>
                <w:right w:val="none" w:sz="0" w:space="0" w:color="auto"/>
              </w:divBdr>
              <w:divsChild>
                <w:div w:id="33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1954">
      <w:bodyDiv w:val="1"/>
      <w:marLeft w:val="0"/>
      <w:marRight w:val="0"/>
      <w:marTop w:val="0"/>
      <w:marBottom w:val="0"/>
      <w:divBdr>
        <w:top w:val="none" w:sz="0" w:space="0" w:color="auto"/>
        <w:left w:val="none" w:sz="0" w:space="0" w:color="auto"/>
        <w:bottom w:val="none" w:sz="0" w:space="0" w:color="auto"/>
        <w:right w:val="none" w:sz="0" w:space="0" w:color="auto"/>
      </w:divBdr>
    </w:div>
    <w:div w:id="868447051">
      <w:bodyDiv w:val="1"/>
      <w:marLeft w:val="0"/>
      <w:marRight w:val="0"/>
      <w:marTop w:val="0"/>
      <w:marBottom w:val="0"/>
      <w:divBdr>
        <w:top w:val="none" w:sz="0" w:space="0" w:color="auto"/>
        <w:left w:val="none" w:sz="0" w:space="0" w:color="auto"/>
        <w:bottom w:val="none" w:sz="0" w:space="0" w:color="auto"/>
        <w:right w:val="none" w:sz="0" w:space="0" w:color="auto"/>
      </w:divBdr>
      <w:divsChild>
        <w:div w:id="1428424008">
          <w:marLeft w:val="0"/>
          <w:marRight w:val="0"/>
          <w:marTop w:val="0"/>
          <w:marBottom w:val="0"/>
          <w:divBdr>
            <w:top w:val="none" w:sz="0" w:space="0" w:color="auto"/>
            <w:left w:val="none" w:sz="0" w:space="0" w:color="auto"/>
            <w:bottom w:val="none" w:sz="0" w:space="0" w:color="auto"/>
            <w:right w:val="none" w:sz="0" w:space="0" w:color="auto"/>
          </w:divBdr>
          <w:divsChild>
            <w:div w:id="350493940">
              <w:marLeft w:val="0"/>
              <w:marRight w:val="0"/>
              <w:marTop w:val="0"/>
              <w:marBottom w:val="0"/>
              <w:divBdr>
                <w:top w:val="none" w:sz="0" w:space="0" w:color="auto"/>
                <w:left w:val="none" w:sz="0" w:space="0" w:color="auto"/>
                <w:bottom w:val="none" w:sz="0" w:space="0" w:color="auto"/>
                <w:right w:val="none" w:sz="0" w:space="0" w:color="auto"/>
              </w:divBdr>
              <w:divsChild>
                <w:div w:id="4781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3800">
      <w:bodyDiv w:val="1"/>
      <w:marLeft w:val="0"/>
      <w:marRight w:val="0"/>
      <w:marTop w:val="0"/>
      <w:marBottom w:val="0"/>
      <w:divBdr>
        <w:top w:val="none" w:sz="0" w:space="0" w:color="auto"/>
        <w:left w:val="none" w:sz="0" w:space="0" w:color="auto"/>
        <w:bottom w:val="none" w:sz="0" w:space="0" w:color="auto"/>
        <w:right w:val="none" w:sz="0" w:space="0" w:color="auto"/>
      </w:divBdr>
      <w:divsChild>
        <w:div w:id="589117308">
          <w:marLeft w:val="0"/>
          <w:marRight w:val="0"/>
          <w:marTop w:val="0"/>
          <w:marBottom w:val="0"/>
          <w:divBdr>
            <w:top w:val="none" w:sz="0" w:space="0" w:color="auto"/>
            <w:left w:val="none" w:sz="0" w:space="0" w:color="auto"/>
            <w:bottom w:val="none" w:sz="0" w:space="0" w:color="auto"/>
            <w:right w:val="none" w:sz="0" w:space="0" w:color="auto"/>
          </w:divBdr>
          <w:divsChild>
            <w:div w:id="335420832">
              <w:marLeft w:val="0"/>
              <w:marRight w:val="0"/>
              <w:marTop w:val="0"/>
              <w:marBottom w:val="0"/>
              <w:divBdr>
                <w:top w:val="none" w:sz="0" w:space="0" w:color="auto"/>
                <w:left w:val="none" w:sz="0" w:space="0" w:color="auto"/>
                <w:bottom w:val="none" w:sz="0" w:space="0" w:color="auto"/>
                <w:right w:val="none" w:sz="0" w:space="0" w:color="auto"/>
              </w:divBdr>
              <w:divsChild>
                <w:div w:id="3504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4958">
      <w:bodyDiv w:val="1"/>
      <w:marLeft w:val="0"/>
      <w:marRight w:val="0"/>
      <w:marTop w:val="0"/>
      <w:marBottom w:val="0"/>
      <w:divBdr>
        <w:top w:val="none" w:sz="0" w:space="0" w:color="auto"/>
        <w:left w:val="none" w:sz="0" w:space="0" w:color="auto"/>
        <w:bottom w:val="none" w:sz="0" w:space="0" w:color="auto"/>
        <w:right w:val="none" w:sz="0" w:space="0" w:color="auto"/>
      </w:divBdr>
      <w:divsChild>
        <w:div w:id="2118402778">
          <w:marLeft w:val="0"/>
          <w:marRight w:val="0"/>
          <w:marTop w:val="0"/>
          <w:marBottom w:val="0"/>
          <w:divBdr>
            <w:top w:val="none" w:sz="0" w:space="0" w:color="auto"/>
            <w:left w:val="none" w:sz="0" w:space="0" w:color="auto"/>
            <w:bottom w:val="none" w:sz="0" w:space="0" w:color="auto"/>
            <w:right w:val="none" w:sz="0" w:space="0" w:color="auto"/>
          </w:divBdr>
          <w:divsChild>
            <w:div w:id="1043751816">
              <w:marLeft w:val="0"/>
              <w:marRight w:val="0"/>
              <w:marTop w:val="0"/>
              <w:marBottom w:val="0"/>
              <w:divBdr>
                <w:top w:val="none" w:sz="0" w:space="0" w:color="auto"/>
                <w:left w:val="none" w:sz="0" w:space="0" w:color="auto"/>
                <w:bottom w:val="none" w:sz="0" w:space="0" w:color="auto"/>
                <w:right w:val="none" w:sz="0" w:space="0" w:color="auto"/>
              </w:divBdr>
              <w:divsChild>
                <w:div w:id="17793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0474">
      <w:bodyDiv w:val="1"/>
      <w:marLeft w:val="0"/>
      <w:marRight w:val="0"/>
      <w:marTop w:val="0"/>
      <w:marBottom w:val="0"/>
      <w:divBdr>
        <w:top w:val="none" w:sz="0" w:space="0" w:color="auto"/>
        <w:left w:val="none" w:sz="0" w:space="0" w:color="auto"/>
        <w:bottom w:val="none" w:sz="0" w:space="0" w:color="auto"/>
        <w:right w:val="none" w:sz="0" w:space="0" w:color="auto"/>
      </w:divBdr>
      <w:divsChild>
        <w:div w:id="118303702">
          <w:marLeft w:val="0"/>
          <w:marRight w:val="0"/>
          <w:marTop w:val="0"/>
          <w:marBottom w:val="0"/>
          <w:divBdr>
            <w:top w:val="none" w:sz="0" w:space="0" w:color="auto"/>
            <w:left w:val="none" w:sz="0" w:space="0" w:color="auto"/>
            <w:bottom w:val="none" w:sz="0" w:space="0" w:color="auto"/>
            <w:right w:val="none" w:sz="0" w:space="0" w:color="auto"/>
          </w:divBdr>
          <w:divsChild>
            <w:div w:id="778523777">
              <w:marLeft w:val="0"/>
              <w:marRight w:val="0"/>
              <w:marTop w:val="0"/>
              <w:marBottom w:val="0"/>
              <w:divBdr>
                <w:top w:val="none" w:sz="0" w:space="0" w:color="auto"/>
                <w:left w:val="none" w:sz="0" w:space="0" w:color="auto"/>
                <w:bottom w:val="none" w:sz="0" w:space="0" w:color="auto"/>
                <w:right w:val="none" w:sz="0" w:space="0" w:color="auto"/>
              </w:divBdr>
              <w:divsChild>
                <w:div w:id="58404935">
                  <w:marLeft w:val="0"/>
                  <w:marRight w:val="0"/>
                  <w:marTop w:val="0"/>
                  <w:marBottom w:val="0"/>
                  <w:divBdr>
                    <w:top w:val="none" w:sz="0" w:space="0" w:color="auto"/>
                    <w:left w:val="none" w:sz="0" w:space="0" w:color="auto"/>
                    <w:bottom w:val="none" w:sz="0" w:space="0" w:color="auto"/>
                    <w:right w:val="none" w:sz="0" w:space="0" w:color="auto"/>
                  </w:divBdr>
                  <w:divsChild>
                    <w:div w:id="14406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68903">
      <w:bodyDiv w:val="1"/>
      <w:marLeft w:val="0"/>
      <w:marRight w:val="0"/>
      <w:marTop w:val="0"/>
      <w:marBottom w:val="0"/>
      <w:divBdr>
        <w:top w:val="none" w:sz="0" w:space="0" w:color="auto"/>
        <w:left w:val="none" w:sz="0" w:space="0" w:color="auto"/>
        <w:bottom w:val="none" w:sz="0" w:space="0" w:color="auto"/>
        <w:right w:val="none" w:sz="0" w:space="0" w:color="auto"/>
      </w:divBdr>
    </w:div>
    <w:div w:id="1059937822">
      <w:bodyDiv w:val="1"/>
      <w:marLeft w:val="0"/>
      <w:marRight w:val="0"/>
      <w:marTop w:val="0"/>
      <w:marBottom w:val="0"/>
      <w:divBdr>
        <w:top w:val="none" w:sz="0" w:space="0" w:color="auto"/>
        <w:left w:val="none" w:sz="0" w:space="0" w:color="auto"/>
        <w:bottom w:val="none" w:sz="0" w:space="0" w:color="auto"/>
        <w:right w:val="none" w:sz="0" w:space="0" w:color="auto"/>
      </w:divBdr>
      <w:divsChild>
        <w:div w:id="1421563054">
          <w:marLeft w:val="0"/>
          <w:marRight w:val="0"/>
          <w:marTop w:val="0"/>
          <w:marBottom w:val="0"/>
          <w:divBdr>
            <w:top w:val="none" w:sz="0" w:space="0" w:color="auto"/>
            <w:left w:val="none" w:sz="0" w:space="0" w:color="auto"/>
            <w:bottom w:val="none" w:sz="0" w:space="0" w:color="auto"/>
            <w:right w:val="none" w:sz="0" w:space="0" w:color="auto"/>
          </w:divBdr>
          <w:divsChild>
            <w:div w:id="1767115879">
              <w:marLeft w:val="0"/>
              <w:marRight w:val="0"/>
              <w:marTop w:val="0"/>
              <w:marBottom w:val="0"/>
              <w:divBdr>
                <w:top w:val="none" w:sz="0" w:space="0" w:color="auto"/>
                <w:left w:val="none" w:sz="0" w:space="0" w:color="auto"/>
                <w:bottom w:val="none" w:sz="0" w:space="0" w:color="auto"/>
                <w:right w:val="none" w:sz="0" w:space="0" w:color="auto"/>
              </w:divBdr>
              <w:divsChild>
                <w:div w:id="1199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8573">
      <w:bodyDiv w:val="1"/>
      <w:marLeft w:val="0"/>
      <w:marRight w:val="0"/>
      <w:marTop w:val="0"/>
      <w:marBottom w:val="0"/>
      <w:divBdr>
        <w:top w:val="none" w:sz="0" w:space="0" w:color="auto"/>
        <w:left w:val="none" w:sz="0" w:space="0" w:color="auto"/>
        <w:bottom w:val="none" w:sz="0" w:space="0" w:color="auto"/>
        <w:right w:val="none" w:sz="0" w:space="0" w:color="auto"/>
      </w:divBdr>
    </w:div>
    <w:div w:id="1148285459">
      <w:bodyDiv w:val="1"/>
      <w:marLeft w:val="0"/>
      <w:marRight w:val="0"/>
      <w:marTop w:val="0"/>
      <w:marBottom w:val="0"/>
      <w:divBdr>
        <w:top w:val="none" w:sz="0" w:space="0" w:color="auto"/>
        <w:left w:val="none" w:sz="0" w:space="0" w:color="auto"/>
        <w:bottom w:val="none" w:sz="0" w:space="0" w:color="auto"/>
        <w:right w:val="none" w:sz="0" w:space="0" w:color="auto"/>
      </w:divBdr>
      <w:divsChild>
        <w:div w:id="644118114">
          <w:marLeft w:val="0"/>
          <w:marRight w:val="0"/>
          <w:marTop w:val="0"/>
          <w:marBottom w:val="0"/>
          <w:divBdr>
            <w:top w:val="none" w:sz="0" w:space="0" w:color="auto"/>
            <w:left w:val="none" w:sz="0" w:space="0" w:color="auto"/>
            <w:bottom w:val="none" w:sz="0" w:space="0" w:color="auto"/>
            <w:right w:val="none" w:sz="0" w:space="0" w:color="auto"/>
          </w:divBdr>
          <w:divsChild>
            <w:div w:id="1250500938">
              <w:marLeft w:val="0"/>
              <w:marRight w:val="0"/>
              <w:marTop w:val="0"/>
              <w:marBottom w:val="0"/>
              <w:divBdr>
                <w:top w:val="none" w:sz="0" w:space="0" w:color="auto"/>
                <w:left w:val="none" w:sz="0" w:space="0" w:color="auto"/>
                <w:bottom w:val="none" w:sz="0" w:space="0" w:color="auto"/>
                <w:right w:val="none" w:sz="0" w:space="0" w:color="auto"/>
              </w:divBdr>
              <w:divsChild>
                <w:div w:id="304772867">
                  <w:marLeft w:val="0"/>
                  <w:marRight w:val="0"/>
                  <w:marTop w:val="0"/>
                  <w:marBottom w:val="0"/>
                  <w:divBdr>
                    <w:top w:val="none" w:sz="0" w:space="0" w:color="auto"/>
                    <w:left w:val="none" w:sz="0" w:space="0" w:color="auto"/>
                    <w:bottom w:val="none" w:sz="0" w:space="0" w:color="auto"/>
                    <w:right w:val="none" w:sz="0" w:space="0" w:color="auto"/>
                  </w:divBdr>
                  <w:divsChild>
                    <w:div w:id="4997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53602">
      <w:bodyDiv w:val="1"/>
      <w:marLeft w:val="0"/>
      <w:marRight w:val="0"/>
      <w:marTop w:val="0"/>
      <w:marBottom w:val="0"/>
      <w:divBdr>
        <w:top w:val="none" w:sz="0" w:space="0" w:color="auto"/>
        <w:left w:val="none" w:sz="0" w:space="0" w:color="auto"/>
        <w:bottom w:val="none" w:sz="0" w:space="0" w:color="auto"/>
        <w:right w:val="none" w:sz="0" w:space="0" w:color="auto"/>
      </w:divBdr>
      <w:divsChild>
        <w:div w:id="1534147159">
          <w:marLeft w:val="0"/>
          <w:marRight w:val="0"/>
          <w:marTop w:val="0"/>
          <w:marBottom w:val="0"/>
          <w:divBdr>
            <w:top w:val="none" w:sz="0" w:space="0" w:color="auto"/>
            <w:left w:val="none" w:sz="0" w:space="0" w:color="auto"/>
            <w:bottom w:val="none" w:sz="0" w:space="0" w:color="auto"/>
            <w:right w:val="none" w:sz="0" w:space="0" w:color="auto"/>
          </w:divBdr>
          <w:divsChild>
            <w:div w:id="1561212090">
              <w:marLeft w:val="0"/>
              <w:marRight w:val="0"/>
              <w:marTop w:val="0"/>
              <w:marBottom w:val="0"/>
              <w:divBdr>
                <w:top w:val="none" w:sz="0" w:space="0" w:color="auto"/>
                <w:left w:val="none" w:sz="0" w:space="0" w:color="auto"/>
                <w:bottom w:val="none" w:sz="0" w:space="0" w:color="auto"/>
                <w:right w:val="none" w:sz="0" w:space="0" w:color="auto"/>
              </w:divBdr>
              <w:divsChild>
                <w:div w:id="12269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52120">
      <w:bodyDiv w:val="1"/>
      <w:marLeft w:val="0"/>
      <w:marRight w:val="0"/>
      <w:marTop w:val="0"/>
      <w:marBottom w:val="0"/>
      <w:divBdr>
        <w:top w:val="none" w:sz="0" w:space="0" w:color="auto"/>
        <w:left w:val="none" w:sz="0" w:space="0" w:color="auto"/>
        <w:bottom w:val="none" w:sz="0" w:space="0" w:color="auto"/>
        <w:right w:val="none" w:sz="0" w:space="0" w:color="auto"/>
      </w:divBdr>
      <w:divsChild>
        <w:div w:id="203638941">
          <w:marLeft w:val="0"/>
          <w:marRight w:val="0"/>
          <w:marTop w:val="0"/>
          <w:marBottom w:val="0"/>
          <w:divBdr>
            <w:top w:val="none" w:sz="0" w:space="0" w:color="auto"/>
            <w:left w:val="none" w:sz="0" w:space="0" w:color="auto"/>
            <w:bottom w:val="none" w:sz="0" w:space="0" w:color="auto"/>
            <w:right w:val="none" w:sz="0" w:space="0" w:color="auto"/>
          </w:divBdr>
          <w:divsChild>
            <w:div w:id="1214777985">
              <w:marLeft w:val="0"/>
              <w:marRight w:val="0"/>
              <w:marTop w:val="0"/>
              <w:marBottom w:val="0"/>
              <w:divBdr>
                <w:top w:val="none" w:sz="0" w:space="0" w:color="auto"/>
                <w:left w:val="none" w:sz="0" w:space="0" w:color="auto"/>
                <w:bottom w:val="none" w:sz="0" w:space="0" w:color="auto"/>
                <w:right w:val="none" w:sz="0" w:space="0" w:color="auto"/>
              </w:divBdr>
              <w:divsChild>
                <w:div w:id="19211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2504">
      <w:bodyDiv w:val="1"/>
      <w:marLeft w:val="0"/>
      <w:marRight w:val="0"/>
      <w:marTop w:val="0"/>
      <w:marBottom w:val="0"/>
      <w:divBdr>
        <w:top w:val="none" w:sz="0" w:space="0" w:color="auto"/>
        <w:left w:val="none" w:sz="0" w:space="0" w:color="auto"/>
        <w:bottom w:val="none" w:sz="0" w:space="0" w:color="auto"/>
        <w:right w:val="none" w:sz="0" w:space="0" w:color="auto"/>
      </w:divBdr>
      <w:divsChild>
        <w:div w:id="863054312">
          <w:marLeft w:val="0"/>
          <w:marRight w:val="0"/>
          <w:marTop w:val="0"/>
          <w:marBottom w:val="0"/>
          <w:divBdr>
            <w:top w:val="none" w:sz="0" w:space="0" w:color="auto"/>
            <w:left w:val="none" w:sz="0" w:space="0" w:color="auto"/>
            <w:bottom w:val="none" w:sz="0" w:space="0" w:color="auto"/>
            <w:right w:val="none" w:sz="0" w:space="0" w:color="auto"/>
          </w:divBdr>
          <w:divsChild>
            <w:div w:id="1291549422">
              <w:marLeft w:val="0"/>
              <w:marRight w:val="0"/>
              <w:marTop w:val="0"/>
              <w:marBottom w:val="0"/>
              <w:divBdr>
                <w:top w:val="none" w:sz="0" w:space="0" w:color="auto"/>
                <w:left w:val="none" w:sz="0" w:space="0" w:color="auto"/>
                <w:bottom w:val="none" w:sz="0" w:space="0" w:color="auto"/>
                <w:right w:val="none" w:sz="0" w:space="0" w:color="auto"/>
              </w:divBdr>
              <w:divsChild>
                <w:div w:id="1381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00895">
      <w:bodyDiv w:val="1"/>
      <w:marLeft w:val="0"/>
      <w:marRight w:val="0"/>
      <w:marTop w:val="0"/>
      <w:marBottom w:val="0"/>
      <w:divBdr>
        <w:top w:val="none" w:sz="0" w:space="0" w:color="auto"/>
        <w:left w:val="none" w:sz="0" w:space="0" w:color="auto"/>
        <w:bottom w:val="none" w:sz="0" w:space="0" w:color="auto"/>
        <w:right w:val="none" w:sz="0" w:space="0" w:color="auto"/>
      </w:divBdr>
    </w:div>
    <w:div w:id="1403527866">
      <w:bodyDiv w:val="1"/>
      <w:marLeft w:val="0"/>
      <w:marRight w:val="0"/>
      <w:marTop w:val="0"/>
      <w:marBottom w:val="0"/>
      <w:divBdr>
        <w:top w:val="none" w:sz="0" w:space="0" w:color="auto"/>
        <w:left w:val="none" w:sz="0" w:space="0" w:color="auto"/>
        <w:bottom w:val="none" w:sz="0" w:space="0" w:color="auto"/>
        <w:right w:val="none" w:sz="0" w:space="0" w:color="auto"/>
      </w:divBdr>
      <w:divsChild>
        <w:div w:id="1554341353">
          <w:marLeft w:val="0"/>
          <w:marRight w:val="0"/>
          <w:marTop w:val="0"/>
          <w:marBottom w:val="0"/>
          <w:divBdr>
            <w:top w:val="none" w:sz="0" w:space="0" w:color="auto"/>
            <w:left w:val="none" w:sz="0" w:space="0" w:color="auto"/>
            <w:bottom w:val="none" w:sz="0" w:space="0" w:color="auto"/>
            <w:right w:val="none" w:sz="0" w:space="0" w:color="auto"/>
          </w:divBdr>
          <w:divsChild>
            <w:div w:id="1331787400">
              <w:marLeft w:val="0"/>
              <w:marRight w:val="0"/>
              <w:marTop w:val="0"/>
              <w:marBottom w:val="0"/>
              <w:divBdr>
                <w:top w:val="none" w:sz="0" w:space="0" w:color="auto"/>
                <w:left w:val="none" w:sz="0" w:space="0" w:color="auto"/>
                <w:bottom w:val="none" w:sz="0" w:space="0" w:color="auto"/>
                <w:right w:val="none" w:sz="0" w:space="0" w:color="auto"/>
              </w:divBdr>
              <w:divsChild>
                <w:div w:id="3670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9073">
      <w:bodyDiv w:val="1"/>
      <w:marLeft w:val="0"/>
      <w:marRight w:val="0"/>
      <w:marTop w:val="0"/>
      <w:marBottom w:val="0"/>
      <w:divBdr>
        <w:top w:val="none" w:sz="0" w:space="0" w:color="auto"/>
        <w:left w:val="none" w:sz="0" w:space="0" w:color="auto"/>
        <w:bottom w:val="none" w:sz="0" w:space="0" w:color="auto"/>
        <w:right w:val="none" w:sz="0" w:space="0" w:color="auto"/>
      </w:divBdr>
      <w:divsChild>
        <w:div w:id="2103337853">
          <w:marLeft w:val="0"/>
          <w:marRight w:val="0"/>
          <w:marTop w:val="0"/>
          <w:marBottom w:val="0"/>
          <w:divBdr>
            <w:top w:val="none" w:sz="0" w:space="0" w:color="auto"/>
            <w:left w:val="none" w:sz="0" w:space="0" w:color="auto"/>
            <w:bottom w:val="none" w:sz="0" w:space="0" w:color="auto"/>
            <w:right w:val="none" w:sz="0" w:space="0" w:color="auto"/>
          </w:divBdr>
          <w:divsChild>
            <w:div w:id="1285507088">
              <w:marLeft w:val="0"/>
              <w:marRight w:val="0"/>
              <w:marTop w:val="0"/>
              <w:marBottom w:val="0"/>
              <w:divBdr>
                <w:top w:val="none" w:sz="0" w:space="0" w:color="auto"/>
                <w:left w:val="none" w:sz="0" w:space="0" w:color="auto"/>
                <w:bottom w:val="none" w:sz="0" w:space="0" w:color="auto"/>
                <w:right w:val="none" w:sz="0" w:space="0" w:color="auto"/>
              </w:divBdr>
              <w:divsChild>
                <w:div w:id="1070155359">
                  <w:marLeft w:val="0"/>
                  <w:marRight w:val="0"/>
                  <w:marTop w:val="0"/>
                  <w:marBottom w:val="0"/>
                  <w:divBdr>
                    <w:top w:val="none" w:sz="0" w:space="0" w:color="auto"/>
                    <w:left w:val="none" w:sz="0" w:space="0" w:color="auto"/>
                    <w:bottom w:val="none" w:sz="0" w:space="0" w:color="auto"/>
                    <w:right w:val="none" w:sz="0" w:space="0" w:color="auto"/>
                  </w:divBdr>
                </w:div>
              </w:divsChild>
            </w:div>
            <w:div w:id="1657152552">
              <w:marLeft w:val="0"/>
              <w:marRight w:val="0"/>
              <w:marTop w:val="0"/>
              <w:marBottom w:val="0"/>
              <w:divBdr>
                <w:top w:val="none" w:sz="0" w:space="0" w:color="auto"/>
                <w:left w:val="none" w:sz="0" w:space="0" w:color="auto"/>
                <w:bottom w:val="none" w:sz="0" w:space="0" w:color="auto"/>
                <w:right w:val="none" w:sz="0" w:space="0" w:color="auto"/>
              </w:divBdr>
              <w:divsChild>
                <w:div w:id="594561715">
                  <w:marLeft w:val="0"/>
                  <w:marRight w:val="0"/>
                  <w:marTop w:val="0"/>
                  <w:marBottom w:val="0"/>
                  <w:divBdr>
                    <w:top w:val="none" w:sz="0" w:space="0" w:color="auto"/>
                    <w:left w:val="none" w:sz="0" w:space="0" w:color="auto"/>
                    <w:bottom w:val="none" w:sz="0" w:space="0" w:color="auto"/>
                    <w:right w:val="none" w:sz="0" w:space="0" w:color="auto"/>
                  </w:divBdr>
                </w:div>
              </w:divsChild>
            </w:div>
            <w:div w:id="1117482944">
              <w:marLeft w:val="0"/>
              <w:marRight w:val="0"/>
              <w:marTop w:val="0"/>
              <w:marBottom w:val="0"/>
              <w:divBdr>
                <w:top w:val="none" w:sz="0" w:space="0" w:color="auto"/>
                <w:left w:val="none" w:sz="0" w:space="0" w:color="auto"/>
                <w:bottom w:val="none" w:sz="0" w:space="0" w:color="auto"/>
                <w:right w:val="none" w:sz="0" w:space="0" w:color="auto"/>
              </w:divBdr>
              <w:divsChild>
                <w:div w:id="347752892">
                  <w:marLeft w:val="0"/>
                  <w:marRight w:val="0"/>
                  <w:marTop w:val="0"/>
                  <w:marBottom w:val="0"/>
                  <w:divBdr>
                    <w:top w:val="none" w:sz="0" w:space="0" w:color="auto"/>
                    <w:left w:val="none" w:sz="0" w:space="0" w:color="auto"/>
                    <w:bottom w:val="none" w:sz="0" w:space="0" w:color="auto"/>
                    <w:right w:val="none" w:sz="0" w:space="0" w:color="auto"/>
                  </w:divBdr>
                </w:div>
              </w:divsChild>
            </w:div>
            <w:div w:id="1365252484">
              <w:marLeft w:val="0"/>
              <w:marRight w:val="0"/>
              <w:marTop w:val="0"/>
              <w:marBottom w:val="0"/>
              <w:divBdr>
                <w:top w:val="none" w:sz="0" w:space="0" w:color="auto"/>
                <w:left w:val="none" w:sz="0" w:space="0" w:color="auto"/>
                <w:bottom w:val="none" w:sz="0" w:space="0" w:color="auto"/>
                <w:right w:val="none" w:sz="0" w:space="0" w:color="auto"/>
              </w:divBdr>
              <w:divsChild>
                <w:div w:id="1295603944">
                  <w:marLeft w:val="0"/>
                  <w:marRight w:val="0"/>
                  <w:marTop w:val="0"/>
                  <w:marBottom w:val="0"/>
                  <w:divBdr>
                    <w:top w:val="none" w:sz="0" w:space="0" w:color="auto"/>
                    <w:left w:val="none" w:sz="0" w:space="0" w:color="auto"/>
                    <w:bottom w:val="none" w:sz="0" w:space="0" w:color="auto"/>
                    <w:right w:val="none" w:sz="0" w:space="0" w:color="auto"/>
                  </w:divBdr>
                </w:div>
              </w:divsChild>
            </w:div>
            <w:div w:id="1439519375">
              <w:marLeft w:val="0"/>
              <w:marRight w:val="0"/>
              <w:marTop w:val="0"/>
              <w:marBottom w:val="0"/>
              <w:divBdr>
                <w:top w:val="none" w:sz="0" w:space="0" w:color="auto"/>
                <w:left w:val="none" w:sz="0" w:space="0" w:color="auto"/>
                <w:bottom w:val="none" w:sz="0" w:space="0" w:color="auto"/>
                <w:right w:val="none" w:sz="0" w:space="0" w:color="auto"/>
              </w:divBdr>
              <w:divsChild>
                <w:div w:id="1874686499">
                  <w:marLeft w:val="0"/>
                  <w:marRight w:val="0"/>
                  <w:marTop w:val="0"/>
                  <w:marBottom w:val="0"/>
                  <w:divBdr>
                    <w:top w:val="none" w:sz="0" w:space="0" w:color="auto"/>
                    <w:left w:val="none" w:sz="0" w:space="0" w:color="auto"/>
                    <w:bottom w:val="none" w:sz="0" w:space="0" w:color="auto"/>
                    <w:right w:val="none" w:sz="0" w:space="0" w:color="auto"/>
                  </w:divBdr>
                </w:div>
              </w:divsChild>
            </w:div>
            <w:div w:id="1553343904">
              <w:marLeft w:val="0"/>
              <w:marRight w:val="0"/>
              <w:marTop w:val="0"/>
              <w:marBottom w:val="0"/>
              <w:divBdr>
                <w:top w:val="none" w:sz="0" w:space="0" w:color="auto"/>
                <w:left w:val="none" w:sz="0" w:space="0" w:color="auto"/>
                <w:bottom w:val="none" w:sz="0" w:space="0" w:color="auto"/>
                <w:right w:val="none" w:sz="0" w:space="0" w:color="auto"/>
              </w:divBdr>
              <w:divsChild>
                <w:div w:id="1290471834">
                  <w:marLeft w:val="0"/>
                  <w:marRight w:val="0"/>
                  <w:marTop w:val="0"/>
                  <w:marBottom w:val="0"/>
                  <w:divBdr>
                    <w:top w:val="none" w:sz="0" w:space="0" w:color="auto"/>
                    <w:left w:val="none" w:sz="0" w:space="0" w:color="auto"/>
                    <w:bottom w:val="none" w:sz="0" w:space="0" w:color="auto"/>
                    <w:right w:val="none" w:sz="0" w:space="0" w:color="auto"/>
                  </w:divBdr>
                </w:div>
              </w:divsChild>
            </w:div>
            <w:div w:id="1545754007">
              <w:marLeft w:val="0"/>
              <w:marRight w:val="0"/>
              <w:marTop w:val="0"/>
              <w:marBottom w:val="0"/>
              <w:divBdr>
                <w:top w:val="none" w:sz="0" w:space="0" w:color="auto"/>
                <w:left w:val="none" w:sz="0" w:space="0" w:color="auto"/>
                <w:bottom w:val="none" w:sz="0" w:space="0" w:color="auto"/>
                <w:right w:val="none" w:sz="0" w:space="0" w:color="auto"/>
              </w:divBdr>
              <w:divsChild>
                <w:div w:id="267352065">
                  <w:marLeft w:val="0"/>
                  <w:marRight w:val="0"/>
                  <w:marTop w:val="0"/>
                  <w:marBottom w:val="0"/>
                  <w:divBdr>
                    <w:top w:val="none" w:sz="0" w:space="0" w:color="auto"/>
                    <w:left w:val="none" w:sz="0" w:space="0" w:color="auto"/>
                    <w:bottom w:val="none" w:sz="0" w:space="0" w:color="auto"/>
                    <w:right w:val="none" w:sz="0" w:space="0" w:color="auto"/>
                  </w:divBdr>
                </w:div>
              </w:divsChild>
            </w:div>
            <w:div w:id="109471821">
              <w:marLeft w:val="0"/>
              <w:marRight w:val="0"/>
              <w:marTop w:val="0"/>
              <w:marBottom w:val="0"/>
              <w:divBdr>
                <w:top w:val="none" w:sz="0" w:space="0" w:color="auto"/>
                <w:left w:val="none" w:sz="0" w:space="0" w:color="auto"/>
                <w:bottom w:val="none" w:sz="0" w:space="0" w:color="auto"/>
                <w:right w:val="none" w:sz="0" w:space="0" w:color="auto"/>
              </w:divBdr>
              <w:divsChild>
                <w:div w:id="328682041">
                  <w:marLeft w:val="0"/>
                  <w:marRight w:val="0"/>
                  <w:marTop w:val="0"/>
                  <w:marBottom w:val="0"/>
                  <w:divBdr>
                    <w:top w:val="none" w:sz="0" w:space="0" w:color="auto"/>
                    <w:left w:val="none" w:sz="0" w:space="0" w:color="auto"/>
                    <w:bottom w:val="none" w:sz="0" w:space="0" w:color="auto"/>
                    <w:right w:val="none" w:sz="0" w:space="0" w:color="auto"/>
                  </w:divBdr>
                </w:div>
              </w:divsChild>
            </w:div>
            <w:div w:id="1769885919">
              <w:marLeft w:val="0"/>
              <w:marRight w:val="0"/>
              <w:marTop w:val="0"/>
              <w:marBottom w:val="0"/>
              <w:divBdr>
                <w:top w:val="none" w:sz="0" w:space="0" w:color="auto"/>
                <w:left w:val="none" w:sz="0" w:space="0" w:color="auto"/>
                <w:bottom w:val="none" w:sz="0" w:space="0" w:color="auto"/>
                <w:right w:val="none" w:sz="0" w:space="0" w:color="auto"/>
              </w:divBdr>
              <w:divsChild>
                <w:div w:id="1781953977">
                  <w:marLeft w:val="0"/>
                  <w:marRight w:val="0"/>
                  <w:marTop w:val="0"/>
                  <w:marBottom w:val="0"/>
                  <w:divBdr>
                    <w:top w:val="none" w:sz="0" w:space="0" w:color="auto"/>
                    <w:left w:val="none" w:sz="0" w:space="0" w:color="auto"/>
                    <w:bottom w:val="none" w:sz="0" w:space="0" w:color="auto"/>
                    <w:right w:val="none" w:sz="0" w:space="0" w:color="auto"/>
                  </w:divBdr>
                </w:div>
              </w:divsChild>
            </w:div>
            <w:div w:id="42800757">
              <w:marLeft w:val="0"/>
              <w:marRight w:val="0"/>
              <w:marTop w:val="0"/>
              <w:marBottom w:val="0"/>
              <w:divBdr>
                <w:top w:val="none" w:sz="0" w:space="0" w:color="auto"/>
                <w:left w:val="none" w:sz="0" w:space="0" w:color="auto"/>
                <w:bottom w:val="none" w:sz="0" w:space="0" w:color="auto"/>
                <w:right w:val="none" w:sz="0" w:space="0" w:color="auto"/>
              </w:divBdr>
              <w:divsChild>
                <w:div w:id="187061287">
                  <w:marLeft w:val="0"/>
                  <w:marRight w:val="0"/>
                  <w:marTop w:val="0"/>
                  <w:marBottom w:val="0"/>
                  <w:divBdr>
                    <w:top w:val="none" w:sz="0" w:space="0" w:color="auto"/>
                    <w:left w:val="none" w:sz="0" w:space="0" w:color="auto"/>
                    <w:bottom w:val="none" w:sz="0" w:space="0" w:color="auto"/>
                    <w:right w:val="none" w:sz="0" w:space="0" w:color="auto"/>
                  </w:divBdr>
                </w:div>
              </w:divsChild>
            </w:div>
            <w:div w:id="631908608">
              <w:marLeft w:val="0"/>
              <w:marRight w:val="0"/>
              <w:marTop w:val="0"/>
              <w:marBottom w:val="0"/>
              <w:divBdr>
                <w:top w:val="none" w:sz="0" w:space="0" w:color="auto"/>
                <w:left w:val="none" w:sz="0" w:space="0" w:color="auto"/>
                <w:bottom w:val="none" w:sz="0" w:space="0" w:color="auto"/>
                <w:right w:val="none" w:sz="0" w:space="0" w:color="auto"/>
              </w:divBdr>
              <w:divsChild>
                <w:div w:id="194541891">
                  <w:marLeft w:val="0"/>
                  <w:marRight w:val="0"/>
                  <w:marTop w:val="0"/>
                  <w:marBottom w:val="0"/>
                  <w:divBdr>
                    <w:top w:val="none" w:sz="0" w:space="0" w:color="auto"/>
                    <w:left w:val="none" w:sz="0" w:space="0" w:color="auto"/>
                    <w:bottom w:val="none" w:sz="0" w:space="0" w:color="auto"/>
                    <w:right w:val="none" w:sz="0" w:space="0" w:color="auto"/>
                  </w:divBdr>
                </w:div>
              </w:divsChild>
            </w:div>
            <w:div w:id="331832356">
              <w:marLeft w:val="0"/>
              <w:marRight w:val="0"/>
              <w:marTop w:val="0"/>
              <w:marBottom w:val="0"/>
              <w:divBdr>
                <w:top w:val="none" w:sz="0" w:space="0" w:color="auto"/>
                <w:left w:val="none" w:sz="0" w:space="0" w:color="auto"/>
                <w:bottom w:val="none" w:sz="0" w:space="0" w:color="auto"/>
                <w:right w:val="none" w:sz="0" w:space="0" w:color="auto"/>
              </w:divBdr>
              <w:divsChild>
                <w:div w:id="2024352518">
                  <w:marLeft w:val="0"/>
                  <w:marRight w:val="0"/>
                  <w:marTop w:val="0"/>
                  <w:marBottom w:val="0"/>
                  <w:divBdr>
                    <w:top w:val="none" w:sz="0" w:space="0" w:color="auto"/>
                    <w:left w:val="none" w:sz="0" w:space="0" w:color="auto"/>
                    <w:bottom w:val="none" w:sz="0" w:space="0" w:color="auto"/>
                    <w:right w:val="none" w:sz="0" w:space="0" w:color="auto"/>
                  </w:divBdr>
                </w:div>
              </w:divsChild>
            </w:div>
            <w:div w:id="304504364">
              <w:marLeft w:val="0"/>
              <w:marRight w:val="0"/>
              <w:marTop w:val="0"/>
              <w:marBottom w:val="0"/>
              <w:divBdr>
                <w:top w:val="none" w:sz="0" w:space="0" w:color="auto"/>
                <w:left w:val="none" w:sz="0" w:space="0" w:color="auto"/>
                <w:bottom w:val="none" w:sz="0" w:space="0" w:color="auto"/>
                <w:right w:val="none" w:sz="0" w:space="0" w:color="auto"/>
              </w:divBdr>
              <w:divsChild>
                <w:div w:id="21262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9299">
      <w:bodyDiv w:val="1"/>
      <w:marLeft w:val="0"/>
      <w:marRight w:val="0"/>
      <w:marTop w:val="0"/>
      <w:marBottom w:val="0"/>
      <w:divBdr>
        <w:top w:val="none" w:sz="0" w:space="0" w:color="auto"/>
        <w:left w:val="none" w:sz="0" w:space="0" w:color="auto"/>
        <w:bottom w:val="none" w:sz="0" w:space="0" w:color="auto"/>
        <w:right w:val="none" w:sz="0" w:space="0" w:color="auto"/>
      </w:divBdr>
      <w:divsChild>
        <w:div w:id="1284464425">
          <w:marLeft w:val="0"/>
          <w:marRight w:val="0"/>
          <w:marTop w:val="0"/>
          <w:marBottom w:val="0"/>
          <w:divBdr>
            <w:top w:val="none" w:sz="0" w:space="0" w:color="auto"/>
            <w:left w:val="none" w:sz="0" w:space="0" w:color="auto"/>
            <w:bottom w:val="none" w:sz="0" w:space="0" w:color="auto"/>
            <w:right w:val="none" w:sz="0" w:space="0" w:color="auto"/>
          </w:divBdr>
          <w:divsChild>
            <w:div w:id="499547767">
              <w:marLeft w:val="0"/>
              <w:marRight w:val="0"/>
              <w:marTop w:val="0"/>
              <w:marBottom w:val="0"/>
              <w:divBdr>
                <w:top w:val="none" w:sz="0" w:space="0" w:color="auto"/>
                <w:left w:val="none" w:sz="0" w:space="0" w:color="auto"/>
                <w:bottom w:val="none" w:sz="0" w:space="0" w:color="auto"/>
                <w:right w:val="none" w:sz="0" w:space="0" w:color="auto"/>
              </w:divBdr>
              <w:divsChild>
                <w:div w:id="4302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6134">
      <w:bodyDiv w:val="1"/>
      <w:marLeft w:val="0"/>
      <w:marRight w:val="0"/>
      <w:marTop w:val="0"/>
      <w:marBottom w:val="0"/>
      <w:divBdr>
        <w:top w:val="none" w:sz="0" w:space="0" w:color="auto"/>
        <w:left w:val="none" w:sz="0" w:space="0" w:color="auto"/>
        <w:bottom w:val="none" w:sz="0" w:space="0" w:color="auto"/>
        <w:right w:val="none" w:sz="0" w:space="0" w:color="auto"/>
      </w:divBdr>
      <w:divsChild>
        <w:div w:id="1637055963">
          <w:marLeft w:val="0"/>
          <w:marRight w:val="0"/>
          <w:marTop w:val="0"/>
          <w:marBottom w:val="0"/>
          <w:divBdr>
            <w:top w:val="none" w:sz="0" w:space="0" w:color="auto"/>
            <w:left w:val="none" w:sz="0" w:space="0" w:color="auto"/>
            <w:bottom w:val="none" w:sz="0" w:space="0" w:color="auto"/>
            <w:right w:val="none" w:sz="0" w:space="0" w:color="auto"/>
          </w:divBdr>
          <w:divsChild>
            <w:div w:id="1294285447">
              <w:marLeft w:val="0"/>
              <w:marRight w:val="0"/>
              <w:marTop w:val="0"/>
              <w:marBottom w:val="0"/>
              <w:divBdr>
                <w:top w:val="none" w:sz="0" w:space="0" w:color="auto"/>
                <w:left w:val="none" w:sz="0" w:space="0" w:color="auto"/>
                <w:bottom w:val="none" w:sz="0" w:space="0" w:color="auto"/>
                <w:right w:val="none" w:sz="0" w:space="0" w:color="auto"/>
              </w:divBdr>
              <w:divsChild>
                <w:div w:id="15191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2346">
      <w:bodyDiv w:val="1"/>
      <w:marLeft w:val="0"/>
      <w:marRight w:val="0"/>
      <w:marTop w:val="0"/>
      <w:marBottom w:val="0"/>
      <w:divBdr>
        <w:top w:val="none" w:sz="0" w:space="0" w:color="auto"/>
        <w:left w:val="none" w:sz="0" w:space="0" w:color="auto"/>
        <w:bottom w:val="none" w:sz="0" w:space="0" w:color="auto"/>
        <w:right w:val="none" w:sz="0" w:space="0" w:color="auto"/>
      </w:divBdr>
      <w:divsChild>
        <w:div w:id="1098796557">
          <w:marLeft w:val="0"/>
          <w:marRight w:val="0"/>
          <w:marTop w:val="0"/>
          <w:marBottom w:val="0"/>
          <w:divBdr>
            <w:top w:val="none" w:sz="0" w:space="0" w:color="auto"/>
            <w:left w:val="none" w:sz="0" w:space="0" w:color="auto"/>
            <w:bottom w:val="none" w:sz="0" w:space="0" w:color="auto"/>
            <w:right w:val="none" w:sz="0" w:space="0" w:color="auto"/>
          </w:divBdr>
          <w:divsChild>
            <w:div w:id="1389458438">
              <w:marLeft w:val="0"/>
              <w:marRight w:val="0"/>
              <w:marTop w:val="0"/>
              <w:marBottom w:val="0"/>
              <w:divBdr>
                <w:top w:val="none" w:sz="0" w:space="0" w:color="auto"/>
                <w:left w:val="none" w:sz="0" w:space="0" w:color="auto"/>
                <w:bottom w:val="none" w:sz="0" w:space="0" w:color="auto"/>
                <w:right w:val="none" w:sz="0" w:space="0" w:color="auto"/>
              </w:divBdr>
              <w:divsChild>
                <w:div w:id="1257398714">
                  <w:marLeft w:val="0"/>
                  <w:marRight w:val="0"/>
                  <w:marTop w:val="0"/>
                  <w:marBottom w:val="0"/>
                  <w:divBdr>
                    <w:top w:val="none" w:sz="0" w:space="0" w:color="auto"/>
                    <w:left w:val="none" w:sz="0" w:space="0" w:color="auto"/>
                    <w:bottom w:val="none" w:sz="0" w:space="0" w:color="auto"/>
                    <w:right w:val="none" w:sz="0" w:space="0" w:color="auto"/>
                  </w:divBdr>
                  <w:divsChild>
                    <w:div w:id="18104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00963">
      <w:bodyDiv w:val="1"/>
      <w:marLeft w:val="0"/>
      <w:marRight w:val="0"/>
      <w:marTop w:val="0"/>
      <w:marBottom w:val="0"/>
      <w:divBdr>
        <w:top w:val="none" w:sz="0" w:space="0" w:color="auto"/>
        <w:left w:val="none" w:sz="0" w:space="0" w:color="auto"/>
        <w:bottom w:val="none" w:sz="0" w:space="0" w:color="auto"/>
        <w:right w:val="none" w:sz="0" w:space="0" w:color="auto"/>
      </w:divBdr>
      <w:divsChild>
        <w:div w:id="1781757285">
          <w:marLeft w:val="0"/>
          <w:marRight w:val="0"/>
          <w:marTop w:val="0"/>
          <w:marBottom w:val="0"/>
          <w:divBdr>
            <w:top w:val="none" w:sz="0" w:space="0" w:color="auto"/>
            <w:left w:val="none" w:sz="0" w:space="0" w:color="auto"/>
            <w:bottom w:val="none" w:sz="0" w:space="0" w:color="auto"/>
            <w:right w:val="none" w:sz="0" w:space="0" w:color="auto"/>
          </w:divBdr>
          <w:divsChild>
            <w:div w:id="343749638">
              <w:marLeft w:val="0"/>
              <w:marRight w:val="0"/>
              <w:marTop w:val="0"/>
              <w:marBottom w:val="0"/>
              <w:divBdr>
                <w:top w:val="none" w:sz="0" w:space="0" w:color="auto"/>
                <w:left w:val="none" w:sz="0" w:space="0" w:color="auto"/>
                <w:bottom w:val="none" w:sz="0" w:space="0" w:color="auto"/>
                <w:right w:val="none" w:sz="0" w:space="0" w:color="auto"/>
              </w:divBdr>
              <w:divsChild>
                <w:div w:id="4105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9072">
      <w:bodyDiv w:val="1"/>
      <w:marLeft w:val="0"/>
      <w:marRight w:val="0"/>
      <w:marTop w:val="0"/>
      <w:marBottom w:val="0"/>
      <w:divBdr>
        <w:top w:val="none" w:sz="0" w:space="0" w:color="auto"/>
        <w:left w:val="none" w:sz="0" w:space="0" w:color="auto"/>
        <w:bottom w:val="none" w:sz="0" w:space="0" w:color="auto"/>
        <w:right w:val="none" w:sz="0" w:space="0" w:color="auto"/>
      </w:divBdr>
    </w:div>
    <w:div w:id="1587107330">
      <w:bodyDiv w:val="1"/>
      <w:marLeft w:val="0"/>
      <w:marRight w:val="0"/>
      <w:marTop w:val="0"/>
      <w:marBottom w:val="0"/>
      <w:divBdr>
        <w:top w:val="none" w:sz="0" w:space="0" w:color="auto"/>
        <w:left w:val="none" w:sz="0" w:space="0" w:color="auto"/>
        <w:bottom w:val="none" w:sz="0" w:space="0" w:color="auto"/>
        <w:right w:val="none" w:sz="0" w:space="0" w:color="auto"/>
      </w:divBdr>
      <w:divsChild>
        <w:div w:id="135755944">
          <w:marLeft w:val="0"/>
          <w:marRight w:val="0"/>
          <w:marTop w:val="0"/>
          <w:marBottom w:val="0"/>
          <w:divBdr>
            <w:top w:val="none" w:sz="0" w:space="0" w:color="auto"/>
            <w:left w:val="none" w:sz="0" w:space="0" w:color="auto"/>
            <w:bottom w:val="none" w:sz="0" w:space="0" w:color="auto"/>
            <w:right w:val="none" w:sz="0" w:space="0" w:color="auto"/>
          </w:divBdr>
          <w:divsChild>
            <w:div w:id="921256151">
              <w:marLeft w:val="0"/>
              <w:marRight w:val="0"/>
              <w:marTop w:val="0"/>
              <w:marBottom w:val="0"/>
              <w:divBdr>
                <w:top w:val="none" w:sz="0" w:space="0" w:color="auto"/>
                <w:left w:val="none" w:sz="0" w:space="0" w:color="auto"/>
                <w:bottom w:val="none" w:sz="0" w:space="0" w:color="auto"/>
                <w:right w:val="none" w:sz="0" w:space="0" w:color="auto"/>
              </w:divBdr>
              <w:divsChild>
                <w:div w:id="18000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6277">
      <w:bodyDiv w:val="1"/>
      <w:marLeft w:val="0"/>
      <w:marRight w:val="0"/>
      <w:marTop w:val="0"/>
      <w:marBottom w:val="0"/>
      <w:divBdr>
        <w:top w:val="none" w:sz="0" w:space="0" w:color="auto"/>
        <w:left w:val="none" w:sz="0" w:space="0" w:color="auto"/>
        <w:bottom w:val="none" w:sz="0" w:space="0" w:color="auto"/>
        <w:right w:val="none" w:sz="0" w:space="0" w:color="auto"/>
      </w:divBdr>
      <w:divsChild>
        <w:div w:id="1795058621">
          <w:marLeft w:val="0"/>
          <w:marRight w:val="0"/>
          <w:marTop w:val="0"/>
          <w:marBottom w:val="0"/>
          <w:divBdr>
            <w:top w:val="none" w:sz="0" w:space="0" w:color="auto"/>
            <w:left w:val="none" w:sz="0" w:space="0" w:color="auto"/>
            <w:bottom w:val="none" w:sz="0" w:space="0" w:color="auto"/>
            <w:right w:val="none" w:sz="0" w:space="0" w:color="auto"/>
          </w:divBdr>
          <w:divsChild>
            <w:div w:id="1171872564">
              <w:marLeft w:val="0"/>
              <w:marRight w:val="0"/>
              <w:marTop w:val="0"/>
              <w:marBottom w:val="0"/>
              <w:divBdr>
                <w:top w:val="none" w:sz="0" w:space="0" w:color="auto"/>
                <w:left w:val="none" w:sz="0" w:space="0" w:color="auto"/>
                <w:bottom w:val="none" w:sz="0" w:space="0" w:color="auto"/>
                <w:right w:val="none" w:sz="0" w:space="0" w:color="auto"/>
              </w:divBdr>
              <w:divsChild>
                <w:div w:id="8476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26875">
      <w:bodyDiv w:val="1"/>
      <w:marLeft w:val="0"/>
      <w:marRight w:val="0"/>
      <w:marTop w:val="0"/>
      <w:marBottom w:val="0"/>
      <w:divBdr>
        <w:top w:val="none" w:sz="0" w:space="0" w:color="auto"/>
        <w:left w:val="none" w:sz="0" w:space="0" w:color="auto"/>
        <w:bottom w:val="none" w:sz="0" w:space="0" w:color="auto"/>
        <w:right w:val="none" w:sz="0" w:space="0" w:color="auto"/>
      </w:divBdr>
      <w:divsChild>
        <w:div w:id="679234428">
          <w:marLeft w:val="0"/>
          <w:marRight w:val="0"/>
          <w:marTop w:val="0"/>
          <w:marBottom w:val="0"/>
          <w:divBdr>
            <w:top w:val="none" w:sz="0" w:space="0" w:color="auto"/>
            <w:left w:val="none" w:sz="0" w:space="0" w:color="auto"/>
            <w:bottom w:val="none" w:sz="0" w:space="0" w:color="auto"/>
            <w:right w:val="none" w:sz="0" w:space="0" w:color="auto"/>
          </w:divBdr>
          <w:divsChild>
            <w:div w:id="1535389040">
              <w:marLeft w:val="0"/>
              <w:marRight w:val="0"/>
              <w:marTop w:val="0"/>
              <w:marBottom w:val="0"/>
              <w:divBdr>
                <w:top w:val="none" w:sz="0" w:space="0" w:color="auto"/>
                <w:left w:val="none" w:sz="0" w:space="0" w:color="auto"/>
                <w:bottom w:val="none" w:sz="0" w:space="0" w:color="auto"/>
                <w:right w:val="none" w:sz="0" w:space="0" w:color="auto"/>
              </w:divBdr>
              <w:divsChild>
                <w:div w:id="12680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2963">
      <w:bodyDiv w:val="1"/>
      <w:marLeft w:val="0"/>
      <w:marRight w:val="0"/>
      <w:marTop w:val="0"/>
      <w:marBottom w:val="0"/>
      <w:divBdr>
        <w:top w:val="none" w:sz="0" w:space="0" w:color="auto"/>
        <w:left w:val="none" w:sz="0" w:space="0" w:color="auto"/>
        <w:bottom w:val="none" w:sz="0" w:space="0" w:color="auto"/>
        <w:right w:val="none" w:sz="0" w:space="0" w:color="auto"/>
      </w:divBdr>
      <w:divsChild>
        <w:div w:id="2019039590">
          <w:marLeft w:val="0"/>
          <w:marRight w:val="0"/>
          <w:marTop w:val="0"/>
          <w:marBottom w:val="0"/>
          <w:divBdr>
            <w:top w:val="none" w:sz="0" w:space="0" w:color="auto"/>
            <w:left w:val="none" w:sz="0" w:space="0" w:color="auto"/>
            <w:bottom w:val="none" w:sz="0" w:space="0" w:color="auto"/>
            <w:right w:val="none" w:sz="0" w:space="0" w:color="auto"/>
          </w:divBdr>
          <w:divsChild>
            <w:div w:id="1074205250">
              <w:marLeft w:val="0"/>
              <w:marRight w:val="0"/>
              <w:marTop w:val="0"/>
              <w:marBottom w:val="0"/>
              <w:divBdr>
                <w:top w:val="none" w:sz="0" w:space="0" w:color="auto"/>
                <w:left w:val="none" w:sz="0" w:space="0" w:color="auto"/>
                <w:bottom w:val="none" w:sz="0" w:space="0" w:color="auto"/>
                <w:right w:val="none" w:sz="0" w:space="0" w:color="auto"/>
              </w:divBdr>
              <w:divsChild>
                <w:div w:id="16302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1901">
      <w:bodyDiv w:val="1"/>
      <w:marLeft w:val="0"/>
      <w:marRight w:val="0"/>
      <w:marTop w:val="0"/>
      <w:marBottom w:val="0"/>
      <w:divBdr>
        <w:top w:val="none" w:sz="0" w:space="0" w:color="auto"/>
        <w:left w:val="none" w:sz="0" w:space="0" w:color="auto"/>
        <w:bottom w:val="none" w:sz="0" w:space="0" w:color="auto"/>
        <w:right w:val="none" w:sz="0" w:space="0" w:color="auto"/>
      </w:divBdr>
      <w:divsChild>
        <w:div w:id="1054816096">
          <w:marLeft w:val="0"/>
          <w:marRight w:val="0"/>
          <w:marTop w:val="0"/>
          <w:marBottom w:val="0"/>
          <w:divBdr>
            <w:top w:val="none" w:sz="0" w:space="0" w:color="auto"/>
            <w:left w:val="none" w:sz="0" w:space="0" w:color="auto"/>
            <w:bottom w:val="none" w:sz="0" w:space="0" w:color="auto"/>
            <w:right w:val="none" w:sz="0" w:space="0" w:color="auto"/>
          </w:divBdr>
          <w:divsChild>
            <w:div w:id="1744327450">
              <w:marLeft w:val="0"/>
              <w:marRight w:val="0"/>
              <w:marTop w:val="0"/>
              <w:marBottom w:val="0"/>
              <w:divBdr>
                <w:top w:val="none" w:sz="0" w:space="0" w:color="auto"/>
                <w:left w:val="none" w:sz="0" w:space="0" w:color="auto"/>
                <w:bottom w:val="none" w:sz="0" w:space="0" w:color="auto"/>
                <w:right w:val="none" w:sz="0" w:space="0" w:color="auto"/>
              </w:divBdr>
              <w:divsChild>
                <w:div w:id="6389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2645">
      <w:bodyDiv w:val="1"/>
      <w:marLeft w:val="0"/>
      <w:marRight w:val="0"/>
      <w:marTop w:val="0"/>
      <w:marBottom w:val="0"/>
      <w:divBdr>
        <w:top w:val="none" w:sz="0" w:space="0" w:color="auto"/>
        <w:left w:val="none" w:sz="0" w:space="0" w:color="auto"/>
        <w:bottom w:val="none" w:sz="0" w:space="0" w:color="auto"/>
        <w:right w:val="none" w:sz="0" w:space="0" w:color="auto"/>
      </w:divBdr>
      <w:divsChild>
        <w:div w:id="2015263208">
          <w:marLeft w:val="0"/>
          <w:marRight w:val="0"/>
          <w:marTop w:val="0"/>
          <w:marBottom w:val="0"/>
          <w:divBdr>
            <w:top w:val="none" w:sz="0" w:space="0" w:color="auto"/>
            <w:left w:val="none" w:sz="0" w:space="0" w:color="auto"/>
            <w:bottom w:val="none" w:sz="0" w:space="0" w:color="auto"/>
            <w:right w:val="none" w:sz="0" w:space="0" w:color="auto"/>
          </w:divBdr>
          <w:divsChild>
            <w:div w:id="126243045">
              <w:marLeft w:val="0"/>
              <w:marRight w:val="0"/>
              <w:marTop w:val="0"/>
              <w:marBottom w:val="0"/>
              <w:divBdr>
                <w:top w:val="none" w:sz="0" w:space="0" w:color="auto"/>
                <w:left w:val="none" w:sz="0" w:space="0" w:color="auto"/>
                <w:bottom w:val="none" w:sz="0" w:space="0" w:color="auto"/>
                <w:right w:val="none" w:sz="0" w:space="0" w:color="auto"/>
              </w:divBdr>
              <w:divsChild>
                <w:div w:id="1569532584">
                  <w:marLeft w:val="0"/>
                  <w:marRight w:val="0"/>
                  <w:marTop w:val="0"/>
                  <w:marBottom w:val="0"/>
                  <w:divBdr>
                    <w:top w:val="none" w:sz="0" w:space="0" w:color="auto"/>
                    <w:left w:val="none" w:sz="0" w:space="0" w:color="auto"/>
                    <w:bottom w:val="none" w:sz="0" w:space="0" w:color="auto"/>
                    <w:right w:val="none" w:sz="0" w:space="0" w:color="auto"/>
                  </w:divBdr>
                  <w:divsChild>
                    <w:div w:id="19010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48735">
      <w:bodyDiv w:val="1"/>
      <w:marLeft w:val="0"/>
      <w:marRight w:val="0"/>
      <w:marTop w:val="0"/>
      <w:marBottom w:val="0"/>
      <w:divBdr>
        <w:top w:val="none" w:sz="0" w:space="0" w:color="auto"/>
        <w:left w:val="none" w:sz="0" w:space="0" w:color="auto"/>
        <w:bottom w:val="none" w:sz="0" w:space="0" w:color="auto"/>
        <w:right w:val="none" w:sz="0" w:space="0" w:color="auto"/>
      </w:divBdr>
    </w:div>
    <w:div w:id="1833375174">
      <w:bodyDiv w:val="1"/>
      <w:marLeft w:val="0"/>
      <w:marRight w:val="0"/>
      <w:marTop w:val="0"/>
      <w:marBottom w:val="0"/>
      <w:divBdr>
        <w:top w:val="none" w:sz="0" w:space="0" w:color="auto"/>
        <w:left w:val="none" w:sz="0" w:space="0" w:color="auto"/>
        <w:bottom w:val="none" w:sz="0" w:space="0" w:color="auto"/>
        <w:right w:val="none" w:sz="0" w:space="0" w:color="auto"/>
      </w:divBdr>
      <w:divsChild>
        <w:div w:id="1530798639">
          <w:marLeft w:val="0"/>
          <w:marRight w:val="0"/>
          <w:marTop w:val="0"/>
          <w:marBottom w:val="0"/>
          <w:divBdr>
            <w:top w:val="none" w:sz="0" w:space="0" w:color="auto"/>
            <w:left w:val="none" w:sz="0" w:space="0" w:color="auto"/>
            <w:bottom w:val="none" w:sz="0" w:space="0" w:color="auto"/>
            <w:right w:val="none" w:sz="0" w:space="0" w:color="auto"/>
          </w:divBdr>
          <w:divsChild>
            <w:div w:id="1216429466">
              <w:marLeft w:val="0"/>
              <w:marRight w:val="0"/>
              <w:marTop w:val="0"/>
              <w:marBottom w:val="0"/>
              <w:divBdr>
                <w:top w:val="none" w:sz="0" w:space="0" w:color="auto"/>
                <w:left w:val="none" w:sz="0" w:space="0" w:color="auto"/>
                <w:bottom w:val="none" w:sz="0" w:space="0" w:color="auto"/>
                <w:right w:val="none" w:sz="0" w:space="0" w:color="auto"/>
              </w:divBdr>
              <w:divsChild>
                <w:div w:id="8031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6256">
      <w:bodyDiv w:val="1"/>
      <w:marLeft w:val="0"/>
      <w:marRight w:val="0"/>
      <w:marTop w:val="0"/>
      <w:marBottom w:val="0"/>
      <w:divBdr>
        <w:top w:val="none" w:sz="0" w:space="0" w:color="auto"/>
        <w:left w:val="none" w:sz="0" w:space="0" w:color="auto"/>
        <w:bottom w:val="none" w:sz="0" w:space="0" w:color="auto"/>
        <w:right w:val="none" w:sz="0" w:space="0" w:color="auto"/>
      </w:divBdr>
    </w:div>
    <w:div w:id="1862082429">
      <w:bodyDiv w:val="1"/>
      <w:marLeft w:val="0"/>
      <w:marRight w:val="0"/>
      <w:marTop w:val="0"/>
      <w:marBottom w:val="0"/>
      <w:divBdr>
        <w:top w:val="none" w:sz="0" w:space="0" w:color="auto"/>
        <w:left w:val="none" w:sz="0" w:space="0" w:color="auto"/>
        <w:bottom w:val="none" w:sz="0" w:space="0" w:color="auto"/>
        <w:right w:val="none" w:sz="0" w:space="0" w:color="auto"/>
      </w:divBdr>
      <w:divsChild>
        <w:div w:id="1613438551">
          <w:marLeft w:val="0"/>
          <w:marRight w:val="0"/>
          <w:marTop w:val="0"/>
          <w:marBottom w:val="0"/>
          <w:divBdr>
            <w:top w:val="none" w:sz="0" w:space="0" w:color="auto"/>
            <w:left w:val="none" w:sz="0" w:space="0" w:color="auto"/>
            <w:bottom w:val="none" w:sz="0" w:space="0" w:color="auto"/>
            <w:right w:val="none" w:sz="0" w:space="0" w:color="auto"/>
          </w:divBdr>
          <w:divsChild>
            <w:div w:id="1404717764">
              <w:marLeft w:val="0"/>
              <w:marRight w:val="0"/>
              <w:marTop w:val="0"/>
              <w:marBottom w:val="0"/>
              <w:divBdr>
                <w:top w:val="none" w:sz="0" w:space="0" w:color="auto"/>
                <w:left w:val="none" w:sz="0" w:space="0" w:color="auto"/>
                <w:bottom w:val="none" w:sz="0" w:space="0" w:color="auto"/>
                <w:right w:val="none" w:sz="0" w:space="0" w:color="auto"/>
              </w:divBdr>
              <w:divsChild>
                <w:div w:id="556555129">
                  <w:marLeft w:val="0"/>
                  <w:marRight w:val="0"/>
                  <w:marTop w:val="0"/>
                  <w:marBottom w:val="0"/>
                  <w:divBdr>
                    <w:top w:val="none" w:sz="0" w:space="0" w:color="auto"/>
                    <w:left w:val="none" w:sz="0" w:space="0" w:color="auto"/>
                    <w:bottom w:val="none" w:sz="0" w:space="0" w:color="auto"/>
                    <w:right w:val="none" w:sz="0" w:space="0" w:color="auto"/>
                  </w:divBdr>
                </w:div>
              </w:divsChild>
            </w:div>
            <w:div w:id="819542514">
              <w:marLeft w:val="0"/>
              <w:marRight w:val="0"/>
              <w:marTop w:val="0"/>
              <w:marBottom w:val="0"/>
              <w:divBdr>
                <w:top w:val="none" w:sz="0" w:space="0" w:color="auto"/>
                <w:left w:val="none" w:sz="0" w:space="0" w:color="auto"/>
                <w:bottom w:val="none" w:sz="0" w:space="0" w:color="auto"/>
                <w:right w:val="none" w:sz="0" w:space="0" w:color="auto"/>
              </w:divBdr>
              <w:divsChild>
                <w:div w:id="1673215505">
                  <w:marLeft w:val="0"/>
                  <w:marRight w:val="0"/>
                  <w:marTop w:val="0"/>
                  <w:marBottom w:val="0"/>
                  <w:divBdr>
                    <w:top w:val="none" w:sz="0" w:space="0" w:color="auto"/>
                    <w:left w:val="none" w:sz="0" w:space="0" w:color="auto"/>
                    <w:bottom w:val="none" w:sz="0" w:space="0" w:color="auto"/>
                    <w:right w:val="none" w:sz="0" w:space="0" w:color="auto"/>
                  </w:divBdr>
                </w:div>
              </w:divsChild>
            </w:div>
            <w:div w:id="1481386754">
              <w:marLeft w:val="0"/>
              <w:marRight w:val="0"/>
              <w:marTop w:val="0"/>
              <w:marBottom w:val="0"/>
              <w:divBdr>
                <w:top w:val="none" w:sz="0" w:space="0" w:color="auto"/>
                <w:left w:val="none" w:sz="0" w:space="0" w:color="auto"/>
                <w:bottom w:val="none" w:sz="0" w:space="0" w:color="auto"/>
                <w:right w:val="none" w:sz="0" w:space="0" w:color="auto"/>
              </w:divBdr>
              <w:divsChild>
                <w:div w:id="478306903">
                  <w:marLeft w:val="0"/>
                  <w:marRight w:val="0"/>
                  <w:marTop w:val="0"/>
                  <w:marBottom w:val="0"/>
                  <w:divBdr>
                    <w:top w:val="none" w:sz="0" w:space="0" w:color="auto"/>
                    <w:left w:val="none" w:sz="0" w:space="0" w:color="auto"/>
                    <w:bottom w:val="none" w:sz="0" w:space="0" w:color="auto"/>
                    <w:right w:val="none" w:sz="0" w:space="0" w:color="auto"/>
                  </w:divBdr>
                </w:div>
              </w:divsChild>
            </w:div>
            <w:div w:id="1579166589">
              <w:marLeft w:val="0"/>
              <w:marRight w:val="0"/>
              <w:marTop w:val="0"/>
              <w:marBottom w:val="0"/>
              <w:divBdr>
                <w:top w:val="none" w:sz="0" w:space="0" w:color="auto"/>
                <w:left w:val="none" w:sz="0" w:space="0" w:color="auto"/>
                <w:bottom w:val="none" w:sz="0" w:space="0" w:color="auto"/>
                <w:right w:val="none" w:sz="0" w:space="0" w:color="auto"/>
              </w:divBdr>
              <w:divsChild>
                <w:div w:id="7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9190">
      <w:bodyDiv w:val="1"/>
      <w:marLeft w:val="0"/>
      <w:marRight w:val="0"/>
      <w:marTop w:val="0"/>
      <w:marBottom w:val="0"/>
      <w:divBdr>
        <w:top w:val="none" w:sz="0" w:space="0" w:color="auto"/>
        <w:left w:val="none" w:sz="0" w:space="0" w:color="auto"/>
        <w:bottom w:val="none" w:sz="0" w:space="0" w:color="auto"/>
        <w:right w:val="none" w:sz="0" w:space="0" w:color="auto"/>
      </w:divBdr>
      <w:divsChild>
        <w:div w:id="1441561638">
          <w:marLeft w:val="0"/>
          <w:marRight w:val="0"/>
          <w:marTop w:val="0"/>
          <w:marBottom w:val="0"/>
          <w:divBdr>
            <w:top w:val="none" w:sz="0" w:space="0" w:color="auto"/>
            <w:left w:val="none" w:sz="0" w:space="0" w:color="auto"/>
            <w:bottom w:val="none" w:sz="0" w:space="0" w:color="auto"/>
            <w:right w:val="none" w:sz="0" w:space="0" w:color="auto"/>
          </w:divBdr>
          <w:divsChild>
            <w:div w:id="1678530949">
              <w:marLeft w:val="0"/>
              <w:marRight w:val="0"/>
              <w:marTop w:val="0"/>
              <w:marBottom w:val="0"/>
              <w:divBdr>
                <w:top w:val="none" w:sz="0" w:space="0" w:color="auto"/>
                <w:left w:val="none" w:sz="0" w:space="0" w:color="auto"/>
                <w:bottom w:val="none" w:sz="0" w:space="0" w:color="auto"/>
                <w:right w:val="none" w:sz="0" w:space="0" w:color="auto"/>
              </w:divBdr>
              <w:divsChild>
                <w:div w:id="1566598754">
                  <w:marLeft w:val="0"/>
                  <w:marRight w:val="0"/>
                  <w:marTop w:val="0"/>
                  <w:marBottom w:val="0"/>
                  <w:divBdr>
                    <w:top w:val="none" w:sz="0" w:space="0" w:color="auto"/>
                    <w:left w:val="none" w:sz="0" w:space="0" w:color="auto"/>
                    <w:bottom w:val="none" w:sz="0" w:space="0" w:color="auto"/>
                    <w:right w:val="none" w:sz="0" w:space="0" w:color="auto"/>
                  </w:divBdr>
                  <w:divsChild>
                    <w:div w:id="8285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88481">
      <w:bodyDiv w:val="1"/>
      <w:marLeft w:val="0"/>
      <w:marRight w:val="0"/>
      <w:marTop w:val="0"/>
      <w:marBottom w:val="0"/>
      <w:divBdr>
        <w:top w:val="none" w:sz="0" w:space="0" w:color="auto"/>
        <w:left w:val="none" w:sz="0" w:space="0" w:color="auto"/>
        <w:bottom w:val="none" w:sz="0" w:space="0" w:color="auto"/>
        <w:right w:val="none" w:sz="0" w:space="0" w:color="auto"/>
      </w:divBdr>
      <w:divsChild>
        <w:div w:id="2132166944">
          <w:marLeft w:val="0"/>
          <w:marRight w:val="0"/>
          <w:marTop w:val="0"/>
          <w:marBottom w:val="0"/>
          <w:divBdr>
            <w:top w:val="none" w:sz="0" w:space="0" w:color="auto"/>
            <w:left w:val="none" w:sz="0" w:space="0" w:color="auto"/>
            <w:bottom w:val="none" w:sz="0" w:space="0" w:color="auto"/>
            <w:right w:val="none" w:sz="0" w:space="0" w:color="auto"/>
          </w:divBdr>
          <w:divsChild>
            <w:div w:id="40793693">
              <w:marLeft w:val="0"/>
              <w:marRight w:val="0"/>
              <w:marTop w:val="0"/>
              <w:marBottom w:val="0"/>
              <w:divBdr>
                <w:top w:val="none" w:sz="0" w:space="0" w:color="auto"/>
                <w:left w:val="none" w:sz="0" w:space="0" w:color="auto"/>
                <w:bottom w:val="none" w:sz="0" w:space="0" w:color="auto"/>
                <w:right w:val="none" w:sz="0" w:space="0" w:color="auto"/>
              </w:divBdr>
              <w:divsChild>
                <w:div w:id="5406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457">
      <w:bodyDiv w:val="1"/>
      <w:marLeft w:val="0"/>
      <w:marRight w:val="0"/>
      <w:marTop w:val="0"/>
      <w:marBottom w:val="0"/>
      <w:divBdr>
        <w:top w:val="none" w:sz="0" w:space="0" w:color="auto"/>
        <w:left w:val="none" w:sz="0" w:space="0" w:color="auto"/>
        <w:bottom w:val="none" w:sz="0" w:space="0" w:color="auto"/>
        <w:right w:val="none" w:sz="0" w:space="0" w:color="auto"/>
      </w:divBdr>
    </w:div>
    <w:div w:id="2037996256">
      <w:bodyDiv w:val="1"/>
      <w:marLeft w:val="0"/>
      <w:marRight w:val="0"/>
      <w:marTop w:val="0"/>
      <w:marBottom w:val="0"/>
      <w:divBdr>
        <w:top w:val="none" w:sz="0" w:space="0" w:color="auto"/>
        <w:left w:val="none" w:sz="0" w:space="0" w:color="auto"/>
        <w:bottom w:val="none" w:sz="0" w:space="0" w:color="auto"/>
        <w:right w:val="none" w:sz="0" w:space="0" w:color="auto"/>
      </w:divBdr>
    </w:div>
    <w:div w:id="2050492947">
      <w:bodyDiv w:val="1"/>
      <w:marLeft w:val="0"/>
      <w:marRight w:val="0"/>
      <w:marTop w:val="0"/>
      <w:marBottom w:val="0"/>
      <w:divBdr>
        <w:top w:val="none" w:sz="0" w:space="0" w:color="auto"/>
        <w:left w:val="none" w:sz="0" w:space="0" w:color="auto"/>
        <w:bottom w:val="none" w:sz="0" w:space="0" w:color="auto"/>
        <w:right w:val="none" w:sz="0" w:space="0" w:color="auto"/>
      </w:divBdr>
    </w:div>
    <w:div w:id="2056079360">
      <w:bodyDiv w:val="1"/>
      <w:marLeft w:val="0"/>
      <w:marRight w:val="0"/>
      <w:marTop w:val="0"/>
      <w:marBottom w:val="0"/>
      <w:divBdr>
        <w:top w:val="none" w:sz="0" w:space="0" w:color="auto"/>
        <w:left w:val="none" w:sz="0" w:space="0" w:color="auto"/>
        <w:bottom w:val="none" w:sz="0" w:space="0" w:color="auto"/>
        <w:right w:val="none" w:sz="0" w:space="0" w:color="auto"/>
      </w:divBdr>
      <w:divsChild>
        <w:div w:id="98071066">
          <w:marLeft w:val="0"/>
          <w:marRight w:val="0"/>
          <w:marTop w:val="0"/>
          <w:marBottom w:val="0"/>
          <w:divBdr>
            <w:top w:val="none" w:sz="0" w:space="0" w:color="auto"/>
            <w:left w:val="none" w:sz="0" w:space="0" w:color="auto"/>
            <w:bottom w:val="none" w:sz="0" w:space="0" w:color="auto"/>
            <w:right w:val="none" w:sz="0" w:space="0" w:color="auto"/>
          </w:divBdr>
          <w:divsChild>
            <w:div w:id="2095004970">
              <w:marLeft w:val="0"/>
              <w:marRight w:val="0"/>
              <w:marTop w:val="0"/>
              <w:marBottom w:val="0"/>
              <w:divBdr>
                <w:top w:val="none" w:sz="0" w:space="0" w:color="auto"/>
                <w:left w:val="none" w:sz="0" w:space="0" w:color="auto"/>
                <w:bottom w:val="none" w:sz="0" w:space="0" w:color="auto"/>
                <w:right w:val="none" w:sz="0" w:space="0" w:color="auto"/>
              </w:divBdr>
              <w:divsChild>
                <w:div w:id="19049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6618">
      <w:bodyDiv w:val="1"/>
      <w:marLeft w:val="0"/>
      <w:marRight w:val="0"/>
      <w:marTop w:val="0"/>
      <w:marBottom w:val="0"/>
      <w:divBdr>
        <w:top w:val="none" w:sz="0" w:space="0" w:color="auto"/>
        <w:left w:val="none" w:sz="0" w:space="0" w:color="auto"/>
        <w:bottom w:val="none" w:sz="0" w:space="0" w:color="auto"/>
        <w:right w:val="none" w:sz="0" w:space="0" w:color="auto"/>
      </w:divBdr>
      <w:divsChild>
        <w:div w:id="989557928">
          <w:marLeft w:val="0"/>
          <w:marRight w:val="0"/>
          <w:marTop w:val="0"/>
          <w:marBottom w:val="0"/>
          <w:divBdr>
            <w:top w:val="none" w:sz="0" w:space="0" w:color="auto"/>
            <w:left w:val="none" w:sz="0" w:space="0" w:color="auto"/>
            <w:bottom w:val="none" w:sz="0" w:space="0" w:color="auto"/>
            <w:right w:val="none" w:sz="0" w:space="0" w:color="auto"/>
          </w:divBdr>
          <w:divsChild>
            <w:div w:id="623728067">
              <w:marLeft w:val="0"/>
              <w:marRight w:val="0"/>
              <w:marTop w:val="0"/>
              <w:marBottom w:val="0"/>
              <w:divBdr>
                <w:top w:val="none" w:sz="0" w:space="0" w:color="auto"/>
                <w:left w:val="none" w:sz="0" w:space="0" w:color="auto"/>
                <w:bottom w:val="none" w:sz="0" w:space="0" w:color="auto"/>
                <w:right w:val="none" w:sz="0" w:space="0" w:color="auto"/>
              </w:divBdr>
              <w:divsChild>
                <w:div w:id="2076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https://www.cima.ky/guidance-notes" TargetMode="External"/><Relationship Id="rId2" Type="http://schemas.openxmlformats.org/officeDocument/2006/relationships/hyperlink" Target="http://www.fatf-gafi.org/publications/methodsandtrends/documents/nationalmoneylaunderingandterroristfinancingriskassessment.html" TargetMode="External"/><Relationship Id="rId1" Type="http://schemas.openxmlformats.org/officeDocument/2006/relationships/hyperlink" Target="http://www.fatf-gafi.org/publications/fatfrecommendations/documents/rba-trust-company-service-providers.html" TargetMode="External"/><Relationship Id="rId6" Type="http://schemas.openxmlformats.org/officeDocument/2006/relationships/hyperlink" Target="https://www.baselgovernance.org/basel-aml-index/public-ranking" TargetMode="External"/><Relationship Id="rId5" Type="http://schemas.openxmlformats.org/officeDocument/2006/relationships/hyperlink" Target="https://www.un.org/securitycouncil/sanctions/information" TargetMode="External"/><Relationship Id="rId4" Type="http://schemas.openxmlformats.org/officeDocument/2006/relationships/hyperlink" Target="http://www.fatf-gafi.org/count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Cayman%20TCSP%20Risk%20Assessment\Summary%20customer%20ris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cuments\Cayman%20TCSP%20Risk%20Assessment\Summary%20distribution%20ris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User\Documents\Cayman%20TCSP%20Risk%20Assessment\Summary%20customer%20risk.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cuments\Cayman%20TCSP%20Risk%20Assessment\Summary%20product%20and%20service%20ris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ocuments\Cayman%20TCSP%20Risk%20Assessment\Summary%20customer%20ris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ocuments\Cayman%20TCSP%20Risk%20Assessment\Summary%20distribution%20risk.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ocuments\Cayman%20TCSP%20Risk%20Assessment\Summary%20distribution%20risk.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Supervisory</a:t>
            </a:r>
            <a:r>
              <a:rPr lang="en-IE" baseline="0"/>
              <a:t> Remit of FSD</a:t>
            </a:r>
            <a:endParaRPr lang="en-I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3E1-4EBA-AD24-14A91235AC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3E1-4EBA-AD24-14A91235AC1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3E1-4EBA-AD24-14A91235AC1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3E1-4EBA-AD24-14A91235AC1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3E1-4EBA-AD24-14A91235AC1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3E1-4EBA-AD24-14A91235AC1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3E1-4EBA-AD24-14A91235AC1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3E1-4EBA-AD24-14A91235AC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Sheet1!$A$11:$A$18</c:f>
              <c:strCache>
                <c:ptCount val="8"/>
                <c:pt idx="0">
                  <c:v>Supervisory Remit of FSD</c:v>
                </c:pt>
                <c:pt idx="1">
                  <c:v>Unrestricted trust</c:v>
                </c:pt>
                <c:pt idx="2">
                  <c:v>Restricted trust</c:v>
                </c:pt>
                <c:pt idx="3">
                  <c:v>Nominee Trusts</c:v>
                </c:pt>
                <c:pt idx="4">
                  <c:v>Private Trust Companies</c:v>
                </c:pt>
                <c:pt idx="5">
                  <c:v>Controlled Subsidiaries</c:v>
                </c:pt>
                <c:pt idx="6">
                  <c:v>Companies Management</c:v>
                </c:pt>
                <c:pt idx="7">
                  <c:v>Corporate Service Providers</c:v>
                </c:pt>
              </c:strCache>
            </c:strRef>
          </c:cat>
          <c:val>
            <c:numRef>
              <c:f>Sheet1!$B$11:$B$18</c:f>
              <c:numCache>
                <c:formatCode>General</c:formatCode>
                <c:ptCount val="8"/>
                <c:pt idx="1">
                  <c:v>57</c:v>
                </c:pt>
                <c:pt idx="2">
                  <c:v>58</c:v>
                </c:pt>
                <c:pt idx="3">
                  <c:v>29</c:v>
                </c:pt>
                <c:pt idx="4">
                  <c:v>131</c:v>
                </c:pt>
                <c:pt idx="5">
                  <c:v>47</c:v>
                </c:pt>
                <c:pt idx="6">
                  <c:v>120</c:v>
                </c:pt>
                <c:pt idx="7">
                  <c:v>24</c:v>
                </c:pt>
              </c:numCache>
            </c:numRef>
          </c:val>
          <c:extLst>
            <c:ext xmlns:c16="http://schemas.microsoft.com/office/drawing/2014/chart" uri="{C3380CC4-5D6E-409C-BE32-E72D297353CC}">
              <c16:uniqueId val="{00000010-73E1-4EBA-AD24-14A91235AC1C}"/>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High Risk Jurisidictions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Summary!$B$10</c:f>
              <c:strCache>
                <c:ptCount val="1"/>
                <c:pt idx="0">
                  <c:v>CSP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Summary!$A$11:$A$13</c:f>
              <c:strCache>
                <c:ptCount val="3"/>
                <c:pt idx="0">
                  <c:v>Affiliates in high risk jurisdictions</c:v>
                </c:pt>
                <c:pt idx="1">
                  <c:v>Parent companies in high risk jurisdictions</c:v>
                </c:pt>
                <c:pt idx="2">
                  <c:v>Subsidiaries and/or branches in high risk jurisdictions</c:v>
                </c:pt>
              </c:strCache>
            </c:strRef>
          </c:cat>
          <c:val>
            <c:numRef>
              <c:f>Summary!$B$11:$B$13</c:f>
              <c:numCache>
                <c:formatCode>General</c:formatCode>
                <c:ptCount val="3"/>
                <c:pt idx="0">
                  <c:v>10</c:v>
                </c:pt>
                <c:pt idx="1">
                  <c:v>4</c:v>
                </c:pt>
                <c:pt idx="2">
                  <c:v>4</c:v>
                </c:pt>
              </c:numCache>
            </c:numRef>
          </c:val>
          <c:extLst>
            <c:ext xmlns:c16="http://schemas.microsoft.com/office/drawing/2014/chart" uri="{C3380CC4-5D6E-409C-BE32-E72D297353CC}">
              <c16:uniqueId val="{00000000-3481-4E1C-B6C5-7E1C7C46704F}"/>
            </c:ext>
          </c:extLst>
        </c:ser>
        <c:ser>
          <c:idx val="1"/>
          <c:order val="1"/>
          <c:tx>
            <c:strRef>
              <c:f>Summary!$C$10</c:f>
              <c:strCache>
                <c:ptCount val="1"/>
                <c:pt idx="0">
                  <c:v>TSP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Summary!$A$11:$A$13</c:f>
              <c:strCache>
                <c:ptCount val="3"/>
                <c:pt idx="0">
                  <c:v>Affiliates in high risk jurisdictions</c:v>
                </c:pt>
                <c:pt idx="1">
                  <c:v>Parent companies in high risk jurisdictions</c:v>
                </c:pt>
                <c:pt idx="2">
                  <c:v>Subsidiaries and/or branches in high risk jurisdictions</c:v>
                </c:pt>
              </c:strCache>
            </c:strRef>
          </c:cat>
          <c:val>
            <c:numRef>
              <c:f>Summary!$C$11:$C$13</c:f>
              <c:numCache>
                <c:formatCode>General</c:formatCode>
                <c:ptCount val="3"/>
                <c:pt idx="0">
                  <c:v>31</c:v>
                </c:pt>
                <c:pt idx="1">
                  <c:v>6</c:v>
                </c:pt>
                <c:pt idx="2">
                  <c:v>1</c:v>
                </c:pt>
              </c:numCache>
            </c:numRef>
          </c:val>
          <c:extLst>
            <c:ext xmlns:c16="http://schemas.microsoft.com/office/drawing/2014/chart" uri="{C3380CC4-5D6E-409C-BE32-E72D297353CC}">
              <c16:uniqueId val="{00000001-3481-4E1C-B6C5-7E1C7C46704F}"/>
            </c:ext>
          </c:extLst>
        </c:ser>
        <c:dLbls>
          <c:dLblPos val="outEnd"/>
          <c:showLegendKey val="0"/>
          <c:showVal val="1"/>
          <c:showCatName val="0"/>
          <c:showSerName val="0"/>
          <c:showPercent val="0"/>
          <c:showBubbleSize val="0"/>
        </c:dLbls>
        <c:gapWidth val="219"/>
        <c:overlap val="-27"/>
        <c:axId val="410010232"/>
        <c:axId val="410014824"/>
      </c:barChart>
      <c:catAx>
        <c:axId val="410010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014824"/>
        <c:crosses val="autoZero"/>
        <c:auto val="1"/>
        <c:lblAlgn val="ctr"/>
        <c:lblOffset val="100"/>
        <c:noMultiLvlLbl val="0"/>
      </c:catAx>
      <c:valAx>
        <c:axId val="410014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010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Comparison of TSP &amp; CSP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Sheet1!$B$25</c:f>
              <c:strCache>
                <c:ptCount val="1"/>
                <c:pt idx="0">
                  <c:v>TSPs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Sheet1!$A$26:$A$29</c:f>
              <c:strCache>
                <c:ptCount val="4"/>
                <c:pt idx="0">
                  <c:v>Customers</c:v>
                </c:pt>
                <c:pt idx="1">
                  <c:v>PEPs</c:v>
                </c:pt>
                <c:pt idx="2">
                  <c:v>HNWI</c:v>
                </c:pt>
                <c:pt idx="3">
                  <c:v>HR Jurisdiction</c:v>
                </c:pt>
              </c:strCache>
            </c:strRef>
          </c:cat>
          <c:val>
            <c:numRef>
              <c:f>Sheet1!$B$26:$B$29</c:f>
              <c:numCache>
                <c:formatCode>General</c:formatCode>
                <c:ptCount val="4"/>
                <c:pt idx="0">
                  <c:v>153000</c:v>
                </c:pt>
                <c:pt idx="1">
                  <c:v>1500</c:v>
                </c:pt>
                <c:pt idx="2">
                  <c:v>46250</c:v>
                </c:pt>
                <c:pt idx="3">
                  <c:v>7965</c:v>
                </c:pt>
              </c:numCache>
            </c:numRef>
          </c:val>
          <c:extLst>
            <c:ext xmlns:c16="http://schemas.microsoft.com/office/drawing/2014/chart" uri="{C3380CC4-5D6E-409C-BE32-E72D297353CC}">
              <c16:uniqueId val="{00000000-6679-4523-99D8-E82CE71535F4}"/>
            </c:ext>
          </c:extLst>
        </c:ser>
        <c:ser>
          <c:idx val="1"/>
          <c:order val="1"/>
          <c:tx>
            <c:strRef>
              <c:f>Sheet1!$C$25</c:f>
              <c:strCache>
                <c:ptCount val="1"/>
                <c:pt idx="0">
                  <c:v>CSPs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Sheet1!$A$26:$A$29</c:f>
              <c:strCache>
                <c:ptCount val="4"/>
                <c:pt idx="0">
                  <c:v>Customers</c:v>
                </c:pt>
                <c:pt idx="1">
                  <c:v>PEPs</c:v>
                </c:pt>
                <c:pt idx="2">
                  <c:v>HNWI</c:v>
                </c:pt>
                <c:pt idx="3">
                  <c:v>HR Jurisdiction</c:v>
                </c:pt>
              </c:strCache>
            </c:strRef>
          </c:cat>
          <c:val>
            <c:numRef>
              <c:f>Sheet1!$C$26:$C$29</c:f>
              <c:numCache>
                <c:formatCode>General</c:formatCode>
                <c:ptCount val="4"/>
                <c:pt idx="0">
                  <c:v>23500</c:v>
                </c:pt>
                <c:pt idx="1">
                  <c:v>57</c:v>
                </c:pt>
                <c:pt idx="2">
                  <c:v>51</c:v>
                </c:pt>
                <c:pt idx="3">
                  <c:v>1696</c:v>
                </c:pt>
              </c:numCache>
            </c:numRef>
          </c:val>
          <c:extLst>
            <c:ext xmlns:c16="http://schemas.microsoft.com/office/drawing/2014/chart" uri="{C3380CC4-5D6E-409C-BE32-E72D297353CC}">
              <c16:uniqueId val="{00000001-6679-4523-99D8-E82CE71535F4}"/>
            </c:ext>
          </c:extLst>
        </c:ser>
        <c:dLbls>
          <c:dLblPos val="outEnd"/>
          <c:showLegendKey val="0"/>
          <c:showVal val="1"/>
          <c:showCatName val="0"/>
          <c:showSerName val="0"/>
          <c:showPercent val="0"/>
          <c:showBubbleSize val="0"/>
        </c:dLbls>
        <c:gapWidth val="219"/>
        <c:overlap val="-27"/>
        <c:axId val="597434936"/>
        <c:axId val="597435592"/>
      </c:barChart>
      <c:catAx>
        <c:axId val="59743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435592"/>
        <c:crosses val="autoZero"/>
        <c:auto val="1"/>
        <c:lblAlgn val="ctr"/>
        <c:lblOffset val="100"/>
        <c:noMultiLvlLbl val="0"/>
      </c:catAx>
      <c:valAx>
        <c:axId val="597435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434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Primary</a:t>
            </a:r>
            <a:r>
              <a:rPr lang="en-IE" baseline="0"/>
              <a:t> Services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'Summary information'!$H$2</c:f>
              <c:strCache>
                <c:ptCount val="1"/>
                <c:pt idx="0">
                  <c:v>CSP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information'!$G$3:$G$9</c:f>
              <c:strCache>
                <c:ptCount val="7"/>
                <c:pt idx="0">
                  <c:v>Administrator</c:v>
                </c:pt>
                <c:pt idx="1">
                  <c:v>Enforcer</c:v>
                </c:pt>
                <c:pt idx="2">
                  <c:v>Executor</c:v>
                </c:pt>
                <c:pt idx="3">
                  <c:v>Protector</c:v>
                </c:pt>
                <c:pt idx="4">
                  <c:v>Trustee</c:v>
                </c:pt>
                <c:pt idx="5">
                  <c:v>Director</c:v>
                </c:pt>
                <c:pt idx="6">
                  <c:v>Registered Office</c:v>
                </c:pt>
              </c:strCache>
            </c:strRef>
          </c:cat>
          <c:val>
            <c:numRef>
              <c:f>'Summary information'!$H$3:$H$9</c:f>
              <c:numCache>
                <c:formatCode>General</c:formatCode>
                <c:ptCount val="7"/>
                <c:pt idx="0">
                  <c:v>0</c:v>
                </c:pt>
                <c:pt idx="1">
                  <c:v>1</c:v>
                </c:pt>
                <c:pt idx="2">
                  <c:v>0</c:v>
                </c:pt>
                <c:pt idx="3">
                  <c:v>1</c:v>
                </c:pt>
                <c:pt idx="4">
                  <c:v>3</c:v>
                </c:pt>
                <c:pt idx="5">
                  <c:v>40</c:v>
                </c:pt>
                <c:pt idx="6">
                  <c:v>90</c:v>
                </c:pt>
              </c:numCache>
            </c:numRef>
          </c:val>
          <c:extLst>
            <c:ext xmlns:c16="http://schemas.microsoft.com/office/drawing/2014/chart" uri="{C3380CC4-5D6E-409C-BE32-E72D297353CC}">
              <c16:uniqueId val="{00000000-8BF4-43CC-BDC6-3EBE116815C9}"/>
            </c:ext>
          </c:extLst>
        </c:ser>
        <c:ser>
          <c:idx val="1"/>
          <c:order val="1"/>
          <c:tx>
            <c:strRef>
              <c:f>'Summary information'!$I$2</c:f>
              <c:strCache>
                <c:ptCount val="1"/>
                <c:pt idx="0">
                  <c:v>TSP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information'!$G$3:$G$9</c:f>
              <c:strCache>
                <c:ptCount val="7"/>
                <c:pt idx="0">
                  <c:v>Administrator</c:v>
                </c:pt>
                <c:pt idx="1">
                  <c:v>Enforcer</c:v>
                </c:pt>
                <c:pt idx="2">
                  <c:v>Executor</c:v>
                </c:pt>
                <c:pt idx="3">
                  <c:v>Protector</c:v>
                </c:pt>
                <c:pt idx="4">
                  <c:v>Trustee</c:v>
                </c:pt>
                <c:pt idx="5">
                  <c:v>Director</c:v>
                </c:pt>
                <c:pt idx="6">
                  <c:v>Registered Office</c:v>
                </c:pt>
              </c:strCache>
            </c:strRef>
          </c:cat>
          <c:val>
            <c:numRef>
              <c:f>'Summary information'!$I$3:$I$9</c:f>
              <c:numCache>
                <c:formatCode>General</c:formatCode>
                <c:ptCount val="7"/>
                <c:pt idx="0">
                  <c:v>5</c:v>
                </c:pt>
                <c:pt idx="1">
                  <c:v>4</c:v>
                </c:pt>
                <c:pt idx="2">
                  <c:v>1</c:v>
                </c:pt>
                <c:pt idx="3">
                  <c:v>1</c:v>
                </c:pt>
                <c:pt idx="4">
                  <c:v>63</c:v>
                </c:pt>
                <c:pt idx="5">
                  <c:v>34</c:v>
                </c:pt>
                <c:pt idx="6">
                  <c:v>49</c:v>
                </c:pt>
              </c:numCache>
            </c:numRef>
          </c:val>
          <c:extLst>
            <c:ext xmlns:c16="http://schemas.microsoft.com/office/drawing/2014/chart" uri="{C3380CC4-5D6E-409C-BE32-E72D297353CC}">
              <c16:uniqueId val="{00000001-8BF4-43CC-BDC6-3EBE116815C9}"/>
            </c:ext>
          </c:extLst>
        </c:ser>
        <c:dLbls>
          <c:dLblPos val="outEnd"/>
          <c:showLegendKey val="0"/>
          <c:showVal val="1"/>
          <c:showCatName val="0"/>
          <c:showSerName val="0"/>
          <c:showPercent val="0"/>
          <c:showBubbleSize val="0"/>
        </c:dLbls>
        <c:gapWidth val="219"/>
        <c:overlap val="-27"/>
        <c:axId val="420016088"/>
        <c:axId val="420018384"/>
      </c:barChart>
      <c:catAx>
        <c:axId val="420016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018384"/>
        <c:crosses val="autoZero"/>
        <c:auto val="1"/>
        <c:lblAlgn val="ctr"/>
        <c:lblOffset val="100"/>
        <c:noMultiLvlLbl val="0"/>
      </c:catAx>
      <c:valAx>
        <c:axId val="42001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016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[Summary customer risk.xlsx]Summary Activities 06!PivotTable3</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'Summary Activities 06'!$B$3:$B$4</c:f>
              <c:strCache>
                <c:ptCount val="1"/>
                <c:pt idx="0">
                  <c:v>CSP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Activities 06'!$A$5:$A$14</c:f>
              <c:strCache>
                <c:ptCount val="9"/>
                <c:pt idx="0">
                  <c:v>Dealers in precious metals and stones</c:v>
                </c:pt>
                <c:pt idx="1">
                  <c:v>Mining</c:v>
                </c:pt>
                <c:pt idx="2">
                  <c:v>NPOs</c:v>
                </c:pt>
                <c:pt idx="3">
                  <c:v>Oil and gas</c:v>
                </c:pt>
                <c:pt idx="4">
                  <c:v>SEZ</c:v>
                </c:pt>
                <c:pt idx="5">
                  <c:v>SPCs</c:v>
                </c:pt>
                <c:pt idx="6">
                  <c:v>SPVs</c:v>
                </c:pt>
                <c:pt idx="7">
                  <c:v>VASPs</c:v>
                </c:pt>
                <c:pt idx="8">
                  <c:v>Virtual assets</c:v>
                </c:pt>
              </c:strCache>
            </c:strRef>
          </c:cat>
          <c:val>
            <c:numRef>
              <c:f>'Summary Activities 06'!$B$5:$B$14</c:f>
              <c:numCache>
                <c:formatCode>General</c:formatCode>
                <c:ptCount val="9"/>
                <c:pt idx="0">
                  <c:v>1</c:v>
                </c:pt>
                <c:pt idx="1">
                  <c:v>8</c:v>
                </c:pt>
                <c:pt idx="2">
                  <c:v>9</c:v>
                </c:pt>
                <c:pt idx="3">
                  <c:v>13</c:v>
                </c:pt>
                <c:pt idx="4">
                  <c:v>17</c:v>
                </c:pt>
                <c:pt idx="5">
                  <c:v>35</c:v>
                </c:pt>
                <c:pt idx="6">
                  <c:v>64</c:v>
                </c:pt>
                <c:pt idx="8">
                  <c:v>9</c:v>
                </c:pt>
              </c:numCache>
            </c:numRef>
          </c:val>
          <c:extLst>
            <c:ext xmlns:c16="http://schemas.microsoft.com/office/drawing/2014/chart" uri="{C3380CC4-5D6E-409C-BE32-E72D297353CC}">
              <c16:uniqueId val="{00000000-26E9-4D6B-AA4F-CD549FAD8314}"/>
            </c:ext>
          </c:extLst>
        </c:ser>
        <c:ser>
          <c:idx val="1"/>
          <c:order val="1"/>
          <c:tx>
            <c:strRef>
              <c:f>'Summary Activities 06'!$C$3:$C$4</c:f>
              <c:strCache>
                <c:ptCount val="1"/>
                <c:pt idx="0">
                  <c:v>TSP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Activities 06'!$A$5:$A$14</c:f>
              <c:strCache>
                <c:ptCount val="9"/>
                <c:pt idx="0">
                  <c:v>Dealers in precious metals and stones</c:v>
                </c:pt>
                <c:pt idx="1">
                  <c:v>Mining</c:v>
                </c:pt>
                <c:pt idx="2">
                  <c:v>NPOs</c:v>
                </c:pt>
                <c:pt idx="3">
                  <c:v>Oil and gas</c:v>
                </c:pt>
                <c:pt idx="4">
                  <c:v>SEZ</c:v>
                </c:pt>
                <c:pt idx="5">
                  <c:v>SPCs</c:v>
                </c:pt>
                <c:pt idx="6">
                  <c:v>SPVs</c:v>
                </c:pt>
                <c:pt idx="7">
                  <c:v>VASPs</c:v>
                </c:pt>
                <c:pt idx="8">
                  <c:v>Virtual assets</c:v>
                </c:pt>
              </c:strCache>
            </c:strRef>
          </c:cat>
          <c:val>
            <c:numRef>
              <c:f>'Summary Activities 06'!$C$5:$C$14</c:f>
              <c:numCache>
                <c:formatCode>General</c:formatCode>
                <c:ptCount val="9"/>
                <c:pt idx="0">
                  <c:v>3</c:v>
                </c:pt>
                <c:pt idx="1">
                  <c:v>7</c:v>
                </c:pt>
                <c:pt idx="2">
                  <c:v>8</c:v>
                </c:pt>
                <c:pt idx="3">
                  <c:v>14</c:v>
                </c:pt>
                <c:pt idx="4">
                  <c:v>17</c:v>
                </c:pt>
                <c:pt idx="5">
                  <c:v>161</c:v>
                </c:pt>
                <c:pt idx="6">
                  <c:v>76</c:v>
                </c:pt>
                <c:pt idx="7">
                  <c:v>1</c:v>
                </c:pt>
                <c:pt idx="8">
                  <c:v>14</c:v>
                </c:pt>
              </c:numCache>
            </c:numRef>
          </c:val>
          <c:extLst>
            <c:ext xmlns:c16="http://schemas.microsoft.com/office/drawing/2014/chart" uri="{C3380CC4-5D6E-409C-BE32-E72D297353CC}">
              <c16:uniqueId val="{00000001-26E9-4D6B-AA4F-CD549FAD8314}"/>
            </c:ext>
          </c:extLst>
        </c:ser>
        <c:dLbls>
          <c:dLblPos val="outEnd"/>
          <c:showLegendKey val="0"/>
          <c:showVal val="1"/>
          <c:showCatName val="0"/>
          <c:showSerName val="0"/>
          <c:showPercent val="0"/>
          <c:showBubbleSize val="0"/>
        </c:dLbls>
        <c:gapWidth val="219"/>
        <c:overlap val="-27"/>
        <c:axId val="419490712"/>
        <c:axId val="419491040"/>
      </c:barChart>
      <c:catAx>
        <c:axId val="419490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491040"/>
        <c:crosses val="autoZero"/>
        <c:auto val="1"/>
        <c:lblAlgn val="ctr"/>
        <c:lblOffset val="100"/>
        <c:noMultiLvlLbl val="0"/>
      </c:catAx>
      <c:valAx>
        <c:axId val="41949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4907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[Summary distribution risk.xlsx]B08 NF2F!PivotTable8</c:name>
    <c:fmtId val="-1"/>
  </c:pivotSource>
  <c:chart>
    <c:autoTitleDeleted val="0"/>
    <c:pivotFmts>
      <c:pivotFmt>
        <c:idx val="0"/>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pPr>
            <a:solidFill>
              <a:schemeClr val="accent1"/>
            </a:solidFill>
            <a:ln w="9525">
              <a:solidFill>
                <a:schemeClr val="accent1"/>
              </a:solidFill>
            </a:ln>
            <a:effectLst/>
          </c:spPr>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'B08 NF2F'!$B$3:$B$4</c:f>
              <c:strCache>
                <c:ptCount val="1"/>
                <c:pt idx="0">
                  <c:v>Face to Face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'B08 NF2F'!$A$5:$A$7</c:f>
              <c:strCache>
                <c:ptCount val="2"/>
                <c:pt idx="0">
                  <c:v>CSP</c:v>
                </c:pt>
                <c:pt idx="1">
                  <c:v>TSP</c:v>
                </c:pt>
              </c:strCache>
            </c:strRef>
          </c:cat>
          <c:val>
            <c:numRef>
              <c:f>'B08 NF2F'!$B$5:$B$7</c:f>
              <c:numCache>
                <c:formatCode>General</c:formatCode>
                <c:ptCount val="2"/>
                <c:pt idx="0">
                  <c:v>9520</c:v>
                </c:pt>
                <c:pt idx="1">
                  <c:v>34514</c:v>
                </c:pt>
              </c:numCache>
            </c:numRef>
          </c:val>
          <c:extLst>
            <c:ext xmlns:c16="http://schemas.microsoft.com/office/drawing/2014/chart" uri="{C3380CC4-5D6E-409C-BE32-E72D297353CC}">
              <c16:uniqueId val="{00000000-85C5-48F9-9445-DEB9FA6EADCC}"/>
            </c:ext>
          </c:extLst>
        </c:ser>
        <c:ser>
          <c:idx val="1"/>
          <c:order val="1"/>
          <c:tx>
            <c:strRef>
              <c:f>'B08 NF2F'!$C$3:$C$4</c:f>
              <c:strCache>
                <c:ptCount val="1"/>
                <c:pt idx="0">
                  <c:v>Non-Face to Face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'B08 NF2F'!$A$5:$A$7</c:f>
              <c:strCache>
                <c:ptCount val="2"/>
                <c:pt idx="0">
                  <c:v>CSP</c:v>
                </c:pt>
                <c:pt idx="1">
                  <c:v>TSP</c:v>
                </c:pt>
              </c:strCache>
            </c:strRef>
          </c:cat>
          <c:val>
            <c:numRef>
              <c:f>'B08 NF2F'!$C$5:$C$7</c:f>
              <c:numCache>
                <c:formatCode>General</c:formatCode>
                <c:ptCount val="2"/>
                <c:pt idx="0">
                  <c:v>15656</c:v>
                </c:pt>
                <c:pt idx="1">
                  <c:v>116408</c:v>
                </c:pt>
              </c:numCache>
            </c:numRef>
          </c:val>
          <c:extLst>
            <c:ext xmlns:c16="http://schemas.microsoft.com/office/drawing/2014/chart" uri="{C3380CC4-5D6E-409C-BE32-E72D297353CC}">
              <c16:uniqueId val="{00000001-85C5-48F9-9445-DEB9FA6EADCC}"/>
            </c:ext>
          </c:extLst>
        </c:ser>
        <c:dLbls>
          <c:dLblPos val="outEnd"/>
          <c:showLegendKey val="0"/>
          <c:showVal val="1"/>
          <c:showCatName val="0"/>
          <c:showSerName val="0"/>
          <c:showPercent val="0"/>
          <c:showBubbleSize val="0"/>
        </c:dLbls>
        <c:gapWidth val="219"/>
        <c:overlap val="-27"/>
        <c:axId val="410009248"/>
        <c:axId val="410004656"/>
      </c:barChart>
      <c:catAx>
        <c:axId val="41000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004656"/>
        <c:crosses val="autoZero"/>
        <c:auto val="1"/>
        <c:lblAlgn val="ctr"/>
        <c:lblOffset val="100"/>
        <c:noMultiLvlLbl val="0"/>
      </c:catAx>
      <c:valAx>
        <c:axId val="41000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0092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[Summary distribution risk.xlsx]B 18 Summary!PivotTable10</c:name>
    <c:fmtId val="-1"/>
  </c:pivotSource>
  <c:chart>
    <c:autoTitleDeleted val="0"/>
    <c:pivotFmts>
      <c:pivotFmt>
        <c:idx val="0"/>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 18 Summary'!$B$3:$B$4</c:f>
              <c:strCache>
                <c:ptCount val="1"/>
                <c:pt idx="0">
                  <c:v>CSP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 18 Summary'!$A$5:$A$12</c:f>
              <c:strCache>
                <c:ptCount val="7"/>
                <c:pt idx="0">
                  <c:v>Accounting</c:v>
                </c:pt>
                <c:pt idx="1">
                  <c:v>Compliance</c:v>
                </c:pt>
                <c:pt idx="2">
                  <c:v>IT Support</c:v>
                </c:pt>
                <c:pt idx="3">
                  <c:v>MLRO</c:v>
                </c:pt>
                <c:pt idx="4">
                  <c:v>Other...</c:v>
                </c:pt>
                <c:pt idx="5">
                  <c:v>Sanction screening</c:v>
                </c:pt>
                <c:pt idx="6">
                  <c:v>Transaction monitoring</c:v>
                </c:pt>
              </c:strCache>
            </c:strRef>
          </c:cat>
          <c:val>
            <c:numRef>
              <c:f>'B 18 Summary'!$B$5:$B$12</c:f>
              <c:numCache>
                <c:formatCode>General</c:formatCode>
                <c:ptCount val="7"/>
                <c:pt idx="0">
                  <c:v>17</c:v>
                </c:pt>
                <c:pt idx="1">
                  <c:v>18</c:v>
                </c:pt>
                <c:pt idx="2">
                  <c:v>1</c:v>
                </c:pt>
                <c:pt idx="3">
                  <c:v>11</c:v>
                </c:pt>
                <c:pt idx="4">
                  <c:v>26</c:v>
                </c:pt>
                <c:pt idx="5">
                  <c:v>12</c:v>
                </c:pt>
                <c:pt idx="6">
                  <c:v>11</c:v>
                </c:pt>
              </c:numCache>
            </c:numRef>
          </c:val>
          <c:extLst>
            <c:ext xmlns:c16="http://schemas.microsoft.com/office/drawing/2014/chart" uri="{C3380CC4-5D6E-409C-BE32-E72D297353CC}">
              <c16:uniqueId val="{00000000-0357-4A43-A5C3-46B05DA1D5BA}"/>
            </c:ext>
          </c:extLst>
        </c:ser>
        <c:ser>
          <c:idx val="1"/>
          <c:order val="1"/>
          <c:tx>
            <c:strRef>
              <c:f>'B 18 Summary'!$C$3:$C$4</c:f>
              <c:strCache>
                <c:ptCount val="1"/>
                <c:pt idx="0">
                  <c:v>TSP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 18 Summary'!$A$5:$A$12</c:f>
              <c:strCache>
                <c:ptCount val="7"/>
                <c:pt idx="0">
                  <c:v>Accounting</c:v>
                </c:pt>
                <c:pt idx="1">
                  <c:v>Compliance</c:v>
                </c:pt>
                <c:pt idx="2">
                  <c:v>IT Support</c:v>
                </c:pt>
                <c:pt idx="3">
                  <c:v>MLRO</c:v>
                </c:pt>
                <c:pt idx="4">
                  <c:v>Other...</c:v>
                </c:pt>
                <c:pt idx="5">
                  <c:v>Sanction screening</c:v>
                </c:pt>
                <c:pt idx="6">
                  <c:v>Transaction monitoring</c:v>
                </c:pt>
              </c:strCache>
            </c:strRef>
          </c:cat>
          <c:val>
            <c:numRef>
              <c:f>'B 18 Summary'!$C$5:$C$12</c:f>
              <c:numCache>
                <c:formatCode>General</c:formatCode>
                <c:ptCount val="7"/>
                <c:pt idx="0">
                  <c:v>30</c:v>
                </c:pt>
                <c:pt idx="1">
                  <c:v>20</c:v>
                </c:pt>
                <c:pt idx="3">
                  <c:v>10</c:v>
                </c:pt>
                <c:pt idx="4">
                  <c:v>65</c:v>
                </c:pt>
                <c:pt idx="5">
                  <c:v>21</c:v>
                </c:pt>
                <c:pt idx="6">
                  <c:v>17</c:v>
                </c:pt>
              </c:numCache>
            </c:numRef>
          </c:val>
          <c:extLst>
            <c:ext xmlns:c16="http://schemas.microsoft.com/office/drawing/2014/chart" uri="{C3380CC4-5D6E-409C-BE32-E72D297353CC}">
              <c16:uniqueId val="{00000001-0357-4A43-A5C3-46B05DA1D5BA}"/>
            </c:ext>
          </c:extLst>
        </c:ser>
        <c:dLbls>
          <c:dLblPos val="outEnd"/>
          <c:showLegendKey val="0"/>
          <c:showVal val="1"/>
          <c:showCatName val="0"/>
          <c:showSerName val="0"/>
          <c:showPercent val="0"/>
          <c:showBubbleSize val="0"/>
        </c:dLbls>
        <c:gapWidth val="219"/>
        <c:overlap val="-27"/>
        <c:axId val="420018712"/>
        <c:axId val="420017400"/>
      </c:barChart>
      <c:catAx>
        <c:axId val="420018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017400"/>
        <c:crosses val="autoZero"/>
        <c:auto val="1"/>
        <c:lblAlgn val="ctr"/>
        <c:lblOffset val="100"/>
        <c:noMultiLvlLbl val="0"/>
      </c:catAx>
      <c:valAx>
        <c:axId val="420017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0187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44C84-A660-4196-B08F-9BF46BE5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4385</Words>
  <Characters>25000</Characters>
  <Application>Microsoft Office Word</Application>
  <DocSecurity>0</DocSecurity>
  <Lines>208</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Bökkerink</dc:creator>
  <cp:keywords/>
  <dc:description/>
  <cp:lastModifiedBy>Bromfield, Rohan</cp:lastModifiedBy>
  <cp:revision>14</cp:revision>
  <cp:lastPrinted>2020-01-30T13:47:00Z</cp:lastPrinted>
  <dcterms:created xsi:type="dcterms:W3CDTF">2020-02-05T16:18:00Z</dcterms:created>
  <dcterms:modified xsi:type="dcterms:W3CDTF">2020-02-05T19:01:00Z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1162578399</vt:i4>
  </property>
</Properties>
</file>