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1661" w14:textId="117D4EF6" w:rsidR="00D4370B" w:rsidRPr="00D4370B" w:rsidRDefault="008016F2" w:rsidP="008426E4">
      <w:pPr>
        <w:jc w:val="both"/>
        <w:rPr>
          <w:rFonts w:ascii="Verdana" w:hAnsi="Verdana"/>
          <w:b/>
          <w:sz w:val="28"/>
          <w:szCs w:val="28"/>
        </w:rPr>
      </w:pPr>
      <w:r w:rsidRPr="00D4370B">
        <w:rPr>
          <w:rFonts w:ascii="Verdana" w:hAnsi="Verdana"/>
          <w:b/>
          <w:noProof/>
          <w:sz w:val="28"/>
          <w:szCs w:val="28"/>
        </w:rPr>
        <mc:AlternateContent>
          <mc:Choice Requires="wps">
            <w:drawing>
              <wp:anchor distT="0" distB="0" distL="114300" distR="114300" simplePos="0" relativeHeight="251659264" behindDoc="0" locked="0" layoutInCell="1" allowOverlap="1" wp14:anchorId="19C15BBC" wp14:editId="7029027E">
                <wp:simplePos x="0" y="0"/>
                <wp:positionH relativeFrom="margin">
                  <wp:align>left</wp:align>
                </wp:positionH>
                <wp:positionV relativeFrom="paragraph">
                  <wp:posOffset>523875</wp:posOffset>
                </wp:positionV>
                <wp:extent cx="59340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93407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1E460"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25pt" to="467.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" strokecolor="#0070c0" strokeweight="3pt">
                <w10:wrap anchorx="margin"/>
              </v:line>
            </w:pict>
          </mc:Fallback>
        </mc:AlternateContent>
      </w:r>
      <w:r w:rsidR="00005AA4" w:rsidRPr="00D4370B">
        <w:rPr>
          <w:rFonts w:ascii="Verdana" w:hAnsi="Verdana"/>
          <w:b/>
          <w:sz w:val="28"/>
          <w:szCs w:val="28"/>
        </w:rPr>
        <w:t>SECTOR SPECIFIC RISK ASSESSMENT - INSURANCE INDUSTRY</w:t>
      </w:r>
    </w:p>
    <w:p w14:paraId="4A55BFE4" w14:textId="77777777" w:rsidR="00005AA4" w:rsidRDefault="00005AA4" w:rsidP="008426E4">
      <w:pPr>
        <w:jc w:val="both"/>
        <w:rPr>
          <w:rFonts w:ascii="Verdana" w:hAnsi="Verdana"/>
          <w:b/>
          <w:color w:val="0070C0"/>
          <w:sz w:val="24"/>
          <w:szCs w:val="24"/>
        </w:rPr>
      </w:pPr>
    </w:p>
    <w:p w14:paraId="097E53C9" w14:textId="6141C8B7" w:rsidR="00B44641" w:rsidRPr="00B44641" w:rsidRDefault="001E040B" w:rsidP="008426E4">
      <w:pPr>
        <w:jc w:val="both"/>
        <w:rPr>
          <w:rFonts w:ascii="Verdana" w:hAnsi="Verdana"/>
          <w:b/>
          <w:color w:val="0070C0"/>
          <w:sz w:val="24"/>
          <w:szCs w:val="24"/>
        </w:rPr>
      </w:pPr>
      <w:r>
        <w:rPr>
          <w:rFonts w:ascii="Verdana" w:hAnsi="Verdana"/>
          <w:b/>
          <w:color w:val="0070C0"/>
          <w:sz w:val="24"/>
          <w:szCs w:val="24"/>
        </w:rPr>
        <w:t xml:space="preserve">1. </w:t>
      </w:r>
      <w:r w:rsidR="00B44641" w:rsidRPr="00B44641">
        <w:rPr>
          <w:rFonts w:ascii="Verdana" w:hAnsi="Verdana"/>
          <w:b/>
          <w:color w:val="0070C0"/>
          <w:sz w:val="24"/>
          <w:szCs w:val="24"/>
        </w:rPr>
        <w:t>EXECUTIVE SUMMARY</w:t>
      </w:r>
    </w:p>
    <w:p w14:paraId="70905E34" w14:textId="2DA36B7E" w:rsidR="00B44641" w:rsidRDefault="00250BA6" w:rsidP="000A16F7">
      <w:pPr>
        <w:pStyle w:val="ListParagraph"/>
        <w:numPr>
          <w:ilvl w:val="0"/>
          <w:numId w:val="17"/>
        </w:numPr>
        <w:ind w:left="450"/>
        <w:jc w:val="both"/>
        <w:rPr>
          <w:rFonts w:ascii="Verdana" w:hAnsi="Verdana"/>
          <w:sz w:val="20"/>
          <w:szCs w:val="20"/>
        </w:rPr>
      </w:pPr>
      <w:r w:rsidRPr="000A16F7">
        <w:rPr>
          <w:rFonts w:ascii="Verdana" w:hAnsi="Verdana"/>
          <w:sz w:val="20"/>
          <w:szCs w:val="20"/>
        </w:rPr>
        <w:t>The Cayman Islands insurance sector has two distinct parts</w:t>
      </w:r>
      <w:r w:rsidR="00C12D47">
        <w:rPr>
          <w:rFonts w:ascii="Verdana" w:hAnsi="Verdana"/>
          <w:sz w:val="20"/>
          <w:szCs w:val="20"/>
        </w:rPr>
        <w:t xml:space="preserve"> - </w:t>
      </w:r>
      <w:r w:rsidRPr="000A16F7">
        <w:rPr>
          <w:rFonts w:ascii="Verdana" w:hAnsi="Verdana"/>
          <w:sz w:val="20"/>
          <w:szCs w:val="20"/>
        </w:rPr>
        <w:t xml:space="preserve">the domestic insurance sector and </w:t>
      </w:r>
      <w:r w:rsidR="0076218E">
        <w:rPr>
          <w:rFonts w:ascii="Verdana" w:hAnsi="Verdana"/>
          <w:sz w:val="20"/>
          <w:szCs w:val="20"/>
        </w:rPr>
        <w:t xml:space="preserve">the </w:t>
      </w:r>
      <w:r w:rsidRPr="000A16F7">
        <w:rPr>
          <w:rFonts w:ascii="Verdana" w:hAnsi="Verdana"/>
          <w:sz w:val="20"/>
          <w:szCs w:val="20"/>
        </w:rPr>
        <w:t>international insurance</w:t>
      </w:r>
      <w:r w:rsidR="0076218E">
        <w:rPr>
          <w:rFonts w:ascii="Verdana" w:hAnsi="Verdana"/>
          <w:sz w:val="20"/>
          <w:szCs w:val="20"/>
        </w:rPr>
        <w:t xml:space="preserve"> sector</w:t>
      </w:r>
      <w:r w:rsidR="000A16F7">
        <w:rPr>
          <w:rFonts w:ascii="Verdana" w:hAnsi="Verdana"/>
          <w:sz w:val="20"/>
          <w:szCs w:val="20"/>
        </w:rPr>
        <w:t xml:space="preserve">. As at 31 December 2019, the domestic insurance sector was made up of 26 insurers and 68 intermediaries, and the international sector </w:t>
      </w:r>
      <w:r w:rsidR="00246317">
        <w:rPr>
          <w:rFonts w:ascii="Verdana" w:hAnsi="Verdana"/>
          <w:sz w:val="20"/>
          <w:szCs w:val="20"/>
        </w:rPr>
        <w:t>was made up of</w:t>
      </w:r>
      <w:r w:rsidR="000A16F7">
        <w:rPr>
          <w:rFonts w:ascii="Verdana" w:hAnsi="Verdana"/>
          <w:sz w:val="20"/>
          <w:szCs w:val="20"/>
        </w:rPr>
        <w:t xml:space="preserve"> 646 insurers and 24 intermediaries. All 764 companies were licensed by the Cayman Islands Monetary Authority (the “Authority”).</w:t>
      </w:r>
    </w:p>
    <w:p w14:paraId="465E40BB" w14:textId="77777777" w:rsidR="000A16F7" w:rsidRPr="000A16F7" w:rsidRDefault="000A16F7" w:rsidP="000A16F7">
      <w:pPr>
        <w:pStyle w:val="ListParagraph"/>
        <w:numPr>
          <w:ilvl w:val="0"/>
          <w:numId w:val="17"/>
        </w:numPr>
        <w:ind w:left="450"/>
        <w:jc w:val="both"/>
        <w:rPr>
          <w:rFonts w:ascii="Verdana" w:hAnsi="Verdana"/>
          <w:sz w:val="20"/>
          <w:szCs w:val="20"/>
        </w:rPr>
      </w:pPr>
      <w:r w:rsidRPr="000A16F7">
        <w:rPr>
          <w:rFonts w:ascii="Verdana" w:hAnsi="Verdana"/>
          <w:sz w:val="20"/>
          <w:szCs w:val="20"/>
        </w:rPr>
        <w:t xml:space="preserve">It is an offence under the laws in the Cayman Islands to carry on insurance business either as an insurer or insurance intermediary without a valid </w:t>
      </w:r>
      <w:proofErr w:type="spellStart"/>
      <w:r w:rsidRPr="000A16F7">
        <w:rPr>
          <w:rFonts w:ascii="Verdana" w:hAnsi="Verdana"/>
          <w:sz w:val="20"/>
          <w:szCs w:val="20"/>
        </w:rPr>
        <w:t>licence</w:t>
      </w:r>
      <w:proofErr w:type="spellEnd"/>
      <w:r w:rsidRPr="000A16F7">
        <w:rPr>
          <w:rFonts w:ascii="Verdana" w:hAnsi="Verdana"/>
          <w:sz w:val="20"/>
          <w:szCs w:val="20"/>
        </w:rPr>
        <w:t xml:space="preserve"> issued for that purpose by the Authority. </w:t>
      </w:r>
    </w:p>
    <w:p w14:paraId="4484288E" w14:textId="6A724D04" w:rsidR="003241F6" w:rsidRDefault="00C12D47" w:rsidP="000A16F7">
      <w:pPr>
        <w:pStyle w:val="ListParagraph"/>
        <w:numPr>
          <w:ilvl w:val="0"/>
          <w:numId w:val="17"/>
        </w:numPr>
        <w:ind w:left="450"/>
        <w:jc w:val="both"/>
        <w:rPr>
          <w:rFonts w:ascii="Verdana" w:hAnsi="Verdana"/>
          <w:sz w:val="20"/>
          <w:szCs w:val="20"/>
        </w:rPr>
      </w:pPr>
      <w:r>
        <w:rPr>
          <w:rFonts w:ascii="Verdana" w:hAnsi="Verdana"/>
          <w:sz w:val="20"/>
          <w:szCs w:val="20"/>
        </w:rPr>
        <w:t xml:space="preserve">The FATF Recommendations recognizes life and other investment-related insurance business to have a higher ML/TF exposure than other insurance products. </w:t>
      </w:r>
      <w:r w:rsidR="003241F6">
        <w:rPr>
          <w:rFonts w:ascii="Verdana" w:hAnsi="Verdana"/>
          <w:sz w:val="20"/>
          <w:szCs w:val="20"/>
        </w:rPr>
        <w:t xml:space="preserve">FATF’s Guidance for Risk-Based Approach for the Life Insurance Sector (October 2018 version) states: </w:t>
      </w:r>
      <w:r w:rsidR="003241F6" w:rsidRPr="003241F6">
        <w:rPr>
          <w:rFonts w:ascii="Verdana" w:hAnsi="Verdana"/>
          <w:i/>
          <w:iCs/>
          <w:sz w:val="20"/>
          <w:szCs w:val="20"/>
        </w:rPr>
        <w:t>“Generally the ML/TF risks associated to the life insurance sector is lower than that associated with other financial products (e.g., loans, payment services) or other sectors (e.g., banking, gambling, precious stones and metal dealers). Indeed, many life insurance products are not sufficiently flexible to be the first vehicle of choice for money launderers. However, as with other financial services products, there is a risk that the funds used to purchase life insurance may be the proceeds of crime. There is also a risk, even limited, that funds withdrawn from life insurance contracts could be used to fund terrorism”.</w:t>
      </w:r>
    </w:p>
    <w:p w14:paraId="31302F25" w14:textId="688F4043" w:rsidR="000C072D" w:rsidRDefault="003154D0" w:rsidP="000A16F7">
      <w:pPr>
        <w:pStyle w:val="ListParagraph"/>
        <w:numPr>
          <w:ilvl w:val="0"/>
          <w:numId w:val="17"/>
        </w:numPr>
        <w:ind w:left="450"/>
        <w:jc w:val="both"/>
        <w:rPr>
          <w:rFonts w:ascii="Verdana" w:hAnsi="Verdana"/>
          <w:sz w:val="20"/>
          <w:szCs w:val="20"/>
        </w:rPr>
      </w:pPr>
      <w:r>
        <w:rPr>
          <w:rFonts w:ascii="Verdana" w:hAnsi="Verdana"/>
          <w:sz w:val="20"/>
          <w:szCs w:val="20"/>
        </w:rPr>
        <w:t>Out of the 672 Cayman-based insurance companies, only 36</w:t>
      </w:r>
      <w:r w:rsidR="00390689">
        <w:rPr>
          <w:rFonts w:ascii="Verdana" w:hAnsi="Verdana"/>
          <w:sz w:val="20"/>
          <w:szCs w:val="20"/>
        </w:rPr>
        <w:t xml:space="preserve"> (5%)</w:t>
      </w:r>
      <w:r>
        <w:rPr>
          <w:rFonts w:ascii="Verdana" w:hAnsi="Verdana"/>
          <w:sz w:val="20"/>
          <w:szCs w:val="20"/>
        </w:rPr>
        <w:t xml:space="preserve"> carried on </w:t>
      </w:r>
      <w:r w:rsidR="00C12D47">
        <w:rPr>
          <w:rFonts w:ascii="Verdana" w:hAnsi="Verdana"/>
          <w:sz w:val="20"/>
          <w:szCs w:val="20"/>
        </w:rPr>
        <w:t>life and other investment-related insurance business</w:t>
      </w:r>
      <w:r>
        <w:rPr>
          <w:rFonts w:ascii="Verdana" w:hAnsi="Verdana"/>
          <w:sz w:val="20"/>
          <w:szCs w:val="20"/>
        </w:rPr>
        <w:t xml:space="preserve"> as </w:t>
      </w:r>
      <w:r w:rsidRPr="00127783">
        <w:rPr>
          <w:rFonts w:ascii="Verdana" w:hAnsi="Verdana"/>
          <w:sz w:val="20"/>
          <w:szCs w:val="20"/>
        </w:rPr>
        <w:t>direct</w:t>
      </w:r>
      <w:r>
        <w:rPr>
          <w:rFonts w:ascii="Verdana" w:hAnsi="Verdana"/>
          <w:sz w:val="20"/>
          <w:szCs w:val="20"/>
        </w:rPr>
        <w:t xml:space="preserve"> insurers. </w:t>
      </w:r>
      <w:r w:rsidR="000C072D">
        <w:rPr>
          <w:rFonts w:ascii="Verdana" w:hAnsi="Verdana"/>
          <w:sz w:val="20"/>
          <w:szCs w:val="20"/>
        </w:rPr>
        <w:t xml:space="preserve">The 36 </w:t>
      </w:r>
      <w:r w:rsidR="00121391">
        <w:rPr>
          <w:rFonts w:ascii="Verdana" w:hAnsi="Verdana"/>
          <w:sz w:val="20"/>
          <w:szCs w:val="20"/>
        </w:rPr>
        <w:t xml:space="preserve">direct life </w:t>
      </w:r>
      <w:r w:rsidR="000C072D">
        <w:rPr>
          <w:rFonts w:ascii="Verdana" w:hAnsi="Verdana"/>
          <w:sz w:val="20"/>
          <w:szCs w:val="20"/>
        </w:rPr>
        <w:t xml:space="preserve">insurers </w:t>
      </w:r>
      <w:r w:rsidR="000C072D" w:rsidRPr="00121391">
        <w:rPr>
          <w:rFonts w:ascii="Verdana" w:hAnsi="Verdana"/>
          <w:sz w:val="20"/>
          <w:szCs w:val="20"/>
        </w:rPr>
        <w:t>accounted for 4.3% of</w:t>
      </w:r>
      <w:r w:rsidR="000C072D">
        <w:rPr>
          <w:rFonts w:ascii="Verdana" w:hAnsi="Verdana"/>
          <w:sz w:val="20"/>
          <w:szCs w:val="20"/>
        </w:rPr>
        <w:t xml:space="preserve"> the total premium of US$18.9 billion written by all 672 insurers in 2019.</w:t>
      </w:r>
    </w:p>
    <w:p w14:paraId="1B295C43" w14:textId="31885EB1" w:rsidR="00377F16" w:rsidRDefault="00734EA6" w:rsidP="00734EA6">
      <w:pPr>
        <w:pStyle w:val="ListParagraph"/>
        <w:numPr>
          <w:ilvl w:val="0"/>
          <w:numId w:val="17"/>
        </w:numPr>
        <w:ind w:left="450"/>
        <w:jc w:val="both"/>
        <w:rPr>
          <w:rFonts w:ascii="Verdana" w:hAnsi="Verdana"/>
          <w:sz w:val="20"/>
          <w:szCs w:val="20"/>
        </w:rPr>
      </w:pPr>
      <w:r>
        <w:rPr>
          <w:rFonts w:ascii="Verdana" w:hAnsi="Verdana"/>
          <w:sz w:val="20"/>
          <w:szCs w:val="20"/>
        </w:rPr>
        <w:t xml:space="preserve">The Cayman Islands’ National Risk Assessment (“NRA”) </w:t>
      </w:r>
      <w:r w:rsidR="002B0DC1">
        <w:rPr>
          <w:rFonts w:ascii="Verdana" w:hAnsi="Verdana"/>
          <w:sz w:val="20"/>
          <w:szCs w:val="20"/>
        </w:rPr>
        <w:t xml:space="preserve">concluded </w:t>
      </w:r>
      <w:r>
        <w:rPr>
          <w:rFonts w:ascii="Verdana" w:hAnsi="Verdana"/>
          <w:sz w:val="20"/>
          <w:szCs w:val="20"/>
        </w:rPr>
        <w:t xml:space="preserve">in 2015 attached a “Medium” level vulnerability to the Cayman’s insurance sector. </w:t>
      </w:r>
      <w:r w:rsidR="00390689">
        <w:rPr>
          <w:rFonts w:ascii="Verdana" w:hAnsi="Verdana"/>
          <w:sz w:val="20"/>
          <w:szCs w:val="20"/>
        </w:rPr>
        <w:t xml:space="preserve">The </w:t>
      </w:r>
      <w:r w:rsidR="00377F16">
        <w:rPr>
          <w:rFonts w:ascii="Verdana" w:hAnsi="Verdana"/>
          <w:sz w:val="20"/>
          <w:szCs w:val="20"/>
        </w:rPr>
        <w:t>NRA highlighted the following:</w:t>
      </w:r>
    </w:p>
    <w:p w14:paraId="20765A1E" w14:textId="7B1EADEC" w:rsidR="00734EA6" w:rsidRDefault="00711948" w:rsidP="00377F16">
      <w:pPr>
        <w:pStyle w:val="ListParagraph"/>
        <w:numPr>
          <w:ilvl w:val="1"/>
          <w:numId w:val="17"/>
        </w:numPr>
        <w:ind w:left="900" w:hanging="450"/>
        <w:jc w:val="both"/>
        <w:rPr>
          <w:rFonts w:ascii="Verdana" w:hAnsi="Verdana"/>
          <w:sz w:val="20"/>
          <w:szCs w:val="20"/>
        </w:rPr>
      </w:pPr>
      <w:r w:rsidRPr="00711948">
        <w:rPr>
          <w:rFonts w:ascii="Verdana" w:hAnsi="Verdana"/>
          <w:sz w:val="20"/>
          <w:szCs w:val="20"/>
        </w:rPr>
        <w:t xml:space="preserve">International insurers engaged in long-term </w:t>
      </w:r>
      <w:r>
        <w:rPr>
          <w:rFonts w:ascii="Verdana" w:hAnsi="Verdana"/>
          <w:sz w:val="20"/>
          <w:szCs w:val="20"/>
        </w:rPr>
        <w:t xml:space="preserve">life </w:t>
      </w:r>
      <w:r w:rsidRPr="00711948">
        <w:rPr>
          <w:rFonts w:ascii="Verdana" w:hAnsi="Verdana"/>
          <w:sz w:val="20"/>
          <w:szCs w:val="20"/>
        </w:rPr>
        <w:t>insurance business</w:t>
      </w:r>
      <w:r>
        <w:rPr>
          <w:rFonts w:ascii="Verdana" w:hAnsi="Verdana"/>
          <w:sz w:val="20"/>
          <w:szCs w:val="20"/>
        </w:rPr>
        <w:t xml:space="preserve"> </w:t>
      </w:r>
      <w:r w:rsidR="00A76A31">
        <w:rPr>
          <w:rFonts w:ascii="Verdana" w:hAnsi="Verdana"/>
          <w:sz w:val="20"/>
          <w:szCs w:val="20"/>
        </w:rPr>
        <w:t xml:space="preserve">had </w:t>
      </w:r>
      <w:r>
        <w:rPr>
          <w:rFonts w:ascii="Verdana" w:hAnsi="Verdana"/>
          <w:sz w:val="20"/>
          <w:szCs w:val="20"/>
        </w:rPr>
        <w:t xml:space="preserve">a </w:t>
      </w:r>
      <w:r w:rsidRPr="00711948">
        <w:rPr>
          <w:rFonts w:ascii="Verdana" w:hAnsi="Verdana"/>
          <w:sz w:val="20"/>
          <w:szCs w:val="20"/>
        </w:rPr>
        <w:t xml:space="preserve">higher </w:t>
      </w:r>
      <w:r w:rsidR="00A76A31">
        <w:rPr>
          <w:rFonts w:ascii="Verdana" w:hAnsi="Verdana"/>
          <w:sz w:val="20"/>
          <w:szCs w:val="20"/>
        </w:rPr>
        <w:t>ML</w:t>
      </w:r>
      <w:r w:rsidR="004C0DED">
        <w:rPr>
          <w:rFonts w:ascii="Verdana" w:hAnsi="Verdana"/>
          <w:sz w:val="20"/>
          <w:szCs w:val="20"/>
        </w:rPr>
        <w:t xml:space="preserve"> </w:t>
      </w:r>
      <w:r w:rsidR="00A76A31">
        <w:rPr>
          <w:rFonts w:ascii="Verdana" w:hAnsi="Verdana"/>
          <w:sz w:val="20"/>
          <w:szCs w:val="20"/>
        </w:rPr>
        <w:t xml:space="preserve">exposure </w:t>
      </w:r>
      <w:r w:rsidRPr="00711948">
        <w:rPr>
          <w:rFonts w:ascii="Verdana" w:hAnsi="Verdana"/>
          <w:sz w:val="20"/>
          <w:szCs w:val="20"/>
        </w:rPr>
        <w:t xml:space="preserve">compared to other </w:t>
      </w:r>
      <w:r w:rsidR="00A76A31">
        <w:rPr>
          <w:rFonts w:ascii="Verdana" w:hAnsi="Verdana"/>
          <w:sz w:val="20"/>
          <w:szCs w:val="20"/>
        </w:rPr>
        <w:t xml:space="preserve">Cayman-based </w:t>
      </w:r>
      <w:r w:rsidRPr="00711948">
        <w:rPr>
          <w:rFonts w:ascii="Verdana" w:hAnsi="Verdana"/>
          <w:sz w:val="20"/>
          <w:szCs w:val="20"/>
        </w:rPr>
        <w:t>insurers</w:t>
      </w:r>
      <w:r>
        <w:rPr>
          <w:rFonts w:ascii="Verdana" w:hAnsi="Verdana"/>
          <w:sz w:val="20"/>
          <w:szCs w:val="20"/>
        </w:rPr>
        <w:t>.</w:t>
      </w:r>
    </w:p>
    <w:p w14:paraId="5FD8E5C7" w14:textId="2F337E69" w:rsidR="00377F16" w:rsidRDefault="00377F16" w:rsidP="00377F16">
      <w:pPr>
        <w:pStyle w:val="ListParagraph"/>
        <w:numPr>
          <w:ilvl w:val="1"/>
          <w:numId w:val="17"/>
        </w:numPr>
        <w:ind w:left="900" w:hanging="450"/>
        <w:jc w:val="both"/>
        <w:rPr>
          <w:rFonts w:ascii="Verdana" w:hAnsi="Verdana"/>
          <w:sz w:val="20"/>
          <w:szCs w:val="20"/>
        </w:rPr>
      </w:pPr>
      <w:r>
        <w:rPr>
          <w:rFonts w:ascii="Verdana" w:hAnsi="Verdana"/>
          <w:sz w:val="20"/>
          <w:szCs w:val="20"/>
        </w:rPr>
        <w:t>I</w:t>
      </w:r>
      <w:r w:rsidRPr="00377F16">
        <w:rPr>
          <w:rFonts w:ascii="Verdana" w:hAnsi="Verdana"/>
          <w:sz w:val="20"/>
          <w:szCs w:val="20"/>
        </w:rPr>
        <w:t xml:space="preserve">ncreased interest by hedge funds and private equity funds to set up and/or sponsor (re)insurance companies. </w:t>
      </w:r>
      <w:r w:rsidR="00A76A31">
        <w:rPr>
          <w:rFonts w:ascii="Verdana" w:hAnsi="Verdana"/>
          <w:sz w:val="20"/>
          <w:szCs w:val="20"/>
        </w:rPr>
        <w:t>C</w:t>
      </w:r>
      <w:r w:rsidRPr="00377F16">
        <w:rPr>
          <w:rFonts w:ascii="Verdana" w:hAnsi="Verdana"/>
          <w:sz w:val="20"/>
          <w:szCs w:val="20"/>
        </w:rPr>
        <w:t xml:space="preserve">omplex </w:t>
      </w:r>
      <w:r w:rsidR="00A76A31">
        <w:rPr>
          <w:rFonts w:ascii="Verdana" w:hAnsi="Verdana"/>
          <w:sz w:val="20"/>
          <w:szCs w:val="20"/>
        </w:rPr>
        <w:t xml:space="preserve">ownership </w:t>
      </w:r>
      <w:r w:rsidRPr="00377F16">
        <w:rPr>
          <w:rFonts w:ascii="Verdana" w:hAnsi="Verdana"/>
          <w:sz w:val="20"/>
          <w:szCs w:val="20"/>
        </w:rPr>
        <w:t>structures of some of the funds and the multitude of unknown individual investors expose</w:t>
      </w:r>
      <w:r w:rsidR="00A76A31">
        <w:rPr>
          <w:rFonts w:ascii="Verdana" w:hAnsi="Verdana"/>
          <w:sz w:val="20"/>
          <w:szCs w:val="20"/>
        </w:rPr>
        <w:t>d</w:t>
      </w:r>
      <w:r w:rsidRPr="00377F16">
        <w:rPr>
          <w:rFonts w:ascii="Verdana" w:hAnsi="Verdana"/>
          <w:sz w:val="20"/>
          <w:szCs w:val="20"/>
        </w:rPr>
        <w:t xml:space="preserve"> </w:t>
      </w:r>
      <w:r w:rsidR="00A76A31">
        <w:rPr>
          <w:rFonts w:ascii="Verdana" w:hAnsi="Verdana"/>
          <w:sz w:val="20"/>
          <w:szCs w:val="20"/>
        </w:rPr>
        <w:t xml:space="preserve">their (re)insurance affiliates to higher </w:t>
      </w:r>
      <w:r w:rsidRPr="00377F16">
        <w:rPr>
          <w:rFonts w:ascii="Verdana" w:hAnsi="Verdana"/>
          <w:sz w:val="20"/>
          <w:szCs w:val="20"/>
        </w:rPr>
        <w:t xml:space="preserve">ML risks, especially when such </w:t>
      </w:r>
      <w:r w:rsidR="00A76A31">
        <w:rPr>
          <w:rFonts w:ascii="Verdana" w:hAnsi="Verdana"/>
          <w:sz w:val="20"/>
          <w:szCs w:val="20"/>
        </w:rPr>
        <w:t xml:space="preserve">funds were unregulated </w:t>
      </w:r>
      <w:r w:rsidRPr="00377F16">
        <w:rPr>
          <w:rFonts w:ascii="Verdana" w:hAnsi="Verdana"/>
          <w:sz w:val="20"/>
          <w:szCs w:val="20"/>
        </w:rPr>
        <w:t>in their home country.</w:t>
      </w:r>
    </w:p>
    <w:p w14:paraId="0C179815" w14:textId="76996FC6" w:rsidR="00377F16" w:rsidRDefault="00A76A31" w:rsidP="00377F16">
      <w:pPr>
        <w:pStyle w:val="ListParagraph"/>
        <w:numPr>
          <w:ilvl w:val="1"/>
          <w:numId w:val="17"/>
        </w:numPr>
        <w:ind w:left="900" w:hanging="450"/>
        <w:jc w:val="both"/>
        <w:rPr>
          <w:rFonts w:ascii="Verdana" w:hAnsi="Verdana"/>
          <w:sz w:val="20"/>
          <w:szCs w:val="20"/>
        </w:rPr>
      </w:pPr>
      <w:r>
        <w:rPr>
          <w:rFonts w:ascii="Verdana" w:hAnsi="Verdana"/>
          <w:sz w:val="20"/>
          <w:szCs w:val="20"/>
        </w:rPr>
        <w:t>T</w:t>
      </w:r>
      <w:r w:rsidRPr="00A76A31">
        <w:rPr>
          <w:rFonts w:ascii="Verdana" w:hAnsi="Verdana"/>
          <w:sz w:val="20"/>
          <w:szCs w:val="20"/>
        </w:rPr>
        <w:t xml:space="preserve">he domestic insurance sector’s </w:t>
      </w:r>
      <w:r w:rsidR="00A660AA">
        <w:rPr>
          <w:rFonts w:ascii="Verdana" w:hAnsi="Verdana"/>
          <w:sz w:val="20"/>
          <w:szCs w:val="20"/>
        </w:rPr>
        <w:t xml:space="preserve">vulnerability </w:t>
      </w:r>
      <w:r>
        <w:rPr>
          <w:rFonts w:ascii="Verdana" w:hAnsi="Verdana"/>
          <w:sz w:val="20"/>
          <w:szCs w:val="20"/>
        </w:rPr>
        <w:t>wa</w:t>
      </w:r>
      <w:r w:rsidRPr="00A76A31">
        <w:rPr>
          <w:rFonts w:ascii="Verdana" w:hAnsi="Verdana"/>
          <w:sz w:val="20"/>
          <w:szCs w:val="20"/>
        </w:rPr>
        <w:t xml:space="preserve">s small scale crime and use of cash for </w:t>
      </w:r>
      <w:r w:rsidR="00A660AA">
        <w:rPr>
          <w:rFonts w:ascii="Verdana" w:hAnsi="Verdana"/>
          <w:sz w:val="20"/>
          <w:szCs w:val="20"/>
        </w:rPr>
        <w:t xml:space="preserve">premium </w:t>
      </w:r>
      <w:r w:rsidRPr="00A76A31">
        <w:rPr>
          <w:rFonts w:ascii="Verdana" w:hAnsi="Verdana"/>
          <w:sz w:val="20"/>
          <w:szCs w:val="20"/>
        </w:rPr>
        <w:t xml:space="preserve">payments. </w:t>
      </w:r>
      <w:r>
        <w:rPr>
          <w:rFonts w:ascii="Verdana" w:hAnsi="Verdana"/>
          <w:sz w:val="20"/>
          <w:szCs w:val="20"/>
        </w:rPr>
        <w:t xml:space="preserve">Domestic insurers </w:t>
      </w:r>
      <w:r w:rsidRPr="00A76A31">
        <w:rPr>
          <w:rFonts w:ascii="Verdana" w:hAnsi="Verdana"/>
          <w:sz w:val="20"/>
          <w:szCs w:val="20"/>
        </w:rPr>
        <w:t xml:space="preserve">offering products such as single premium endowment with high cash values upon surrender and investment-linked products </w:t>
      </w:r>
      <w:r w:rsidR="00A660AA">
        <w:rPr>
          <w:rFonts w:ascii="Verdana" w:hAnsi="Verdana"/>
          <w:sz w:val="20"/>
          <w:szCs w:val="20"/>
        </w:rPr>
        <w:t xml:space="preserve">had a </w:t>
      </w:r>
      <w:r w:rsidRPr="00A76A31">
        <w:rPr>
          <w:rFonts w:ascii="Verdana" w:hAnsi="Verdana"/>
          <w:sz w:val="20"/>
          <w:szCs w:val="20"/>
        </w:rPr>
        <w:t>higher ML risk.</w:t>
      </w:r>
      <w:r w:rsidR="00377F16">
        <w:rPr>
          <w:rFonts w:ascii="Verdana" w:hAnsi="Verdana"/>
          <w:sz w:val="20"/>
          <w:szCs w:val="20"/>
        </w:rPr>
        <w:t xml:space="preserve"> </w:t>
      </w:r>
    </w:p>
    <w:p w14:paraId="6331E3F5" w14:textId="69C6EB42" w:rsidR="00377F16" w:rsidRDefault="004C0DED" w:rsidP="00A660AA">
      <w:pPr>
        <w:pStyle w:val="ListParagraph"/>
        <w:numPr>
          <w:ilvl w:val="0"/>
          <w:numId w:val="17"/>
        </w:numPr>
        <w:ind w:left="450"/>
        <w:jc w:val="both"/>
        <w:rPr>
          <w:rFonts w:ascii="Verdana" w:hAnsi="Verdana"/>
          <w:sz w:val="20"/>
          <w:szCs w:val="20"/>
        </w:rPr>
      </w:pPr>
      <w:r>
        <w:rPr>
          <w:rFonts w:ascii="Verdana" w:hAnsi="Verdana"/>
          <w:sz w:val="20"/>
          <w:szCs w:val="20"/>
        </w:rPr>
        <w:t>In June 2017, the Authority performed a s</w:t>
      </w:r>
      <w:r w:rsidRPr="00D42E64">
        <w:rPr>
          <w:rFonts w:ascii="Verdana" w:hAnsi="Verdana"/>
          <w:sz w:val="20"/>
          <w:szCs w:val="20"/>
        </w:rPr>
        <w:t xml:space="preserve">ector </w:t>
      </w:r>
      <w:r>
        <w:rPr>
          <w:rFonts w:ascii="Verdana" w:hAnsi="Verdana"/>
          <w:sz w:val="20"/>
          <w:szCs w:val="20"/>
        </w:rPr>
        <w:t>s</w:t>
      </w:r>
      <w:r w:rsidRPr="00D42E64">
        <w:rPr>
          <w:rFonts w:ascii="Verdana" w:hAnsi="Verdana"/>
          <w:sz w:val="20"/>
          <w:szCs w:val="20"/>
        </w:rPr>
        <w:t xml:space="preserve">pecific </w:t>
      </w:r>
      <w:r>
        <w:rPr>
          <w:rFonts w:ascii="Verdana" w:hAnsi="Verdana"/>
          <w:sz w:val="20"/>
          <w:szCs w:val="20"/>
        </w:rPr>
        <w:t>r</w:t>
      </w:r>
      <w:r w:rsidRPr="00D42E64">
        <w:rPr>
          <w:rFonts w:ascii="Verdana" w:hAnsi="Verdana"/>
          <w:sz w:val="20"/>
          <w:szCs w:val="20"/>
        </w:rPr>
        <w:t xml:space="preserve">isks </w:t>
      </w:r>
      <w:r>
        <w:rPr>
          <w:rFonts w:ascii="Verdana" w:hAnsi="Verdana"/>
          <w:sz w:val="20"/>
          <w:szCs w:val="20"/>
        </w:rPr>
        <w:t>a</w:t>
      </w:r>
      <w:r w:rsidRPr="00D42E64">
        <w:rPr>
          <w:rFonts w:ascii="Verdana" w:hAnsi="Verdana"/>
          <w:sz w:val="20"/>
          <w:szCs w:val="20"/>
        </w:rPr>
        <w:t>ssessment</w:t>
      </w:r>
      <w:r>
        <w:rPr>
          <w:rFonts w:ascii="Verdana" w:hAnsi="Verdana"/>
          <w:sz w:val="20"/>
          <w:szCs w:val="20"/>
        </w:rPr>
        <w:t xml:space="preserve"> to identify the financial services sector’s inherent ML/TF risk. Each sector, including insurance sector </w:t>
      </w:r>
      <w:r w:rsidRPr="005B2AAB">
        <w:rPr>
          <w:rFonts w:ascii="Verdana" w:hAnsi="Verdana"/>
          <w:sz w:val="20"/>
          <w:szCs w:val="20"/>
        </w:rPr>
        <w:lastRenderedPageBreak/>
        <w:t xml:space="preserve">was rated against the </w:t>
      </w:r>
      <w:r>
        <w:rPr>
          <w:rFonts w:ascii="Verdana" w:hAnsi="Verdana"/>
          <w:sz w:val="20"/>
          <w:szCs w:val="20"/>
        </w:rPr>
        <w:t xml:space="preserve">five </w:t>
      </w:r>
      <w:r w:rsidRPr="005B2AAB">
        <w:rPr>
          <w:rFonts w:ascii="Verdana" w:hAnsi="Verdana"/>
          <w:sz w:val="20"/>
          <w:szCs w:val="20"/>
        </w:rPr>
        <w:t>inherent risk areas recommended in the FATF 40 Recommendations</w:t>
      </w:r>
      <w:r>
        <w:rPr>
          <w:rFonts w:ascii="Verdana" w:hAnsi="Verdana"/>
          <w:sz w:val="20"/>
          <w:szCs w:val="20"/>
        </w:rPr>
        <w:t>. The Authority’s s</w:t>
      </w:r>
      <w:r w:rsidRPr="00D42E64">
        <w:rPr>
          <w:rFonts w:ascii="Verdana" w:hAnsi="Verdana"/>
          <w:sz w:val="20"/>
          <w:szCs w:val="20"/>
        </w:rPr>
        <w:t xml:space="preserve">ector </w:t>
      </w:r>
      <w:r>
        <w:rPr>
          <w:rFonts w:ascii="Verdana" w:hAnsi="Verdana"/>
          <w:sz w:val="20"/>
          <w:szCs w:val="20"/>
        </w:rPr>
        <w:t>s</w:t>
      </w:r>
      <w:r w:rsidRPr="00D42E64">
        <w:rPr>
          <w:rFonts w:ascii="Verdana" w:hAnsi="Verdana"/>
          <w:sz w:val="20"/>
          <w:szCs w:val="20"/>
        </w:rPr>
        <w:t xml:space="preserve">pecific </w:t>
      </w:r>
      <w:r>
        <w:rPr>
          <w:rFonts w:ascii="Verdana" w:hAnsi="Verdana"/>
          <w:sz w:val="20"/>
          <w:szCs w:val="20"/>
        </w:rPr>
        <w:t>r</w:t>
      </w:r>
      <w:r w:rsidRPr="00D42E64">
        <w:rPr>
          <w:rFonts w:ascii="Verdana" w:hAnsi="Verdana"/>
          <w:sz w:val="20"/>
          <w:szCs w:val="20"/>
        </w:rPr>
        <w:t xml:space="preserve">isks </w:t>
      </w:r>
      <w:r>
        <w:rPr>
          <w:rFonts w:ascii="Verdana" w:hAnsi="Verdana"/>
          <w:sz w:val="20"/>
          <w:szCs w:val="20"/>
        </w:rPr>
        <w:t>a</w:t>
      </w:r>
      <w:r w:rsidRPr="00D42E64">
        <w:rPr>
          <w:rFonts w:ascii="Verdana" w:hAnsi="Verdana"/>
          <w:sz w:val="20"/>
          <w:szCs w:val="20"/>
        </w:rPr>
        <w:t xml:space="preserve">ssessments </w:t>
      </w:r>
      <w:r>
        <w:rPr>
          <w:rFonts w:ascii="Verdana" w:hAnsi="Verdana"/>
          <w:sz w:val="20"/>
          <w:szCs w:val="20"/>
        </w:rPr>
        <w:t>attached a “</w:t>
      </w:r>
      <w:r w:rsidRPr="004C0DED">
        <w:rPr>
          <w:rFonts w:ascii="Verdana" w:hAnsi="Verdana"/>
          <w:sz w:val="20"/>
          <w:szCs w:val="20"/>
        </w:rPr>
        <w:t>Medium-Low</w:t>
      </w:r>
      <w:r>
        <w:rPr>
          <w:rFonts w:ascii="Verdana" w:hAnsi="Verdana"/>
          <w:sz w:val="20"/>
          <w:szCs w:val="20"/>
        </w:rPr>
        <w:t xml:space="preserve">” rating to the Insurance sector’s </w:t>
      </w:r>
      <w:r w:rsidRPr="004C0DED">
        <w:rPr>
          <w:rFonts w:ascii="Verdana" w:hAnsi="Verdana"/>
          <w:sz w:val="20"/>
          <w:szCs w:val="20"/>
        </w:rPr>
        <w:t>inherent risk</w:t>
      </w:r>
      <w:r>
        <w:rPr>
          <w:rFonts w:ascii="Verdana" w:hAnsi="Verdana"/>
          <w:sz w:val="20"/>
          <w:szCs w:val="20"/>
        </w:rPr>
        <w:t>.</w:t>
      </w:r>
    </w:p>
    <w:p w14:paraId="11B6FDC1" w14:textId="77777777" w:rsidR="00D95C49" w:rsidRPr="009B3482" w:rsidRDefault="00D95C49" w:rsidP="00D95C49">
      <w:pPr>
        <w:pStyle w:val="NormalWeb"/>
        <w:numPr>
          <w:ilvl w:val="0"/>
          <w:numId w:val="17"/>
        </w:numPr>
        <w:spacing w:before="0" w:beforeAutospacing="0" w:after="0" w:afterAutospacing="0" w:line="276" w:lineRule="auto"/>
        <w:contextualSpacing/>
        <w:jc w:val="both"/>
        <w:rPr>
          <w:rFonts w:ascii="Verdana" w:eastAsiaTheme="minorHAnsi" w:hAnsi="Verdana" w:cstheme="minorBidi"/>
          <w:color w:val="000000" w:themeColor="text1"/>
          <w:sz w:val="20"/>
          <w:szCs w:val="20"/>
          <w:lang w:val="en-GB"/>
        </w:rPr>
      </w:pPr>
      <w:r w:rsidRPr="009B3482">
        <w:rPr>
          <w:rFonts w:ascii="Verdana" w:hAnsi="Verdana"/>
          <w:color w:val="000000" w:themeColor="text1"/>
          <w:sz w:val="20"/>
          <w:szCs w:val="20"/>
        </w:rPr>
        <w:t>The rating scale used to determine inherent risks for the purpose of this exercise is as follows:</w:t>
      </w:r>
    </w:p>
    <w:p w14:paraId="34318EE2" w14:textId="77777777" w:rsidR="00D95C49" w:rsidRPr="00101474" w:rsidRDefault="00D95C49" w:rsidP="00D95C49">
      <w:pPr>
        <w:pStyle w:val="NormalWeb"/>
        <w:spacing w:before="0" w:beforeAutospacing="0" w:after="0" w:afterAutospacing="0" w:line="276" w:lineRule="auto"/>
        <w:ind w:right="-6"/>
        <w:contextualSpacing/>
        <w:jc w:val="both"/>
        <w:rPr>
          <w:rFonts w:ascii="Verdana" w:eastAsiaTheme="minorHAnsi" w:hAnsi="Verdana"/>
          <w:color w:val="000000" w:themeColor="text1"/>
          <w:sz w:val="20"/>
          <w:szCs w:val="20"/>
        </w:rPr>
      </w:pPr>
    </w:p>
    <w:tbl>
      <w:tblPr>
        <w:tblStyle w:val="TableGrid"/>
        <w:tblW w:w="0" w:type="auto"/>
        <w:jc w:val="center"/>
        <w:tblLook w:val="04A0" w:firstRow="1" w:lastRow="0" w:firstColumn="1" w:lastColumn="0" w:noHBand="0" w:noVBand="1"/>
      </w:tblPr>
      <w:tblGrid>
        <w:gridCol w:w="2263"/>
        <w:gridCol w:w="1602"/>
      </w:tblGrid>
      <w:tr w:rsidR="00D95C49" w:rsidRPr="00101474" w14:paraId="4B5A2FA8" w14:textId="77777777" w:rsidTr="00D95C49">
        <w:trPr>
          <w:jc w:val="center"/>
        </w:trPr>
        <w:tc>
          <w:tcPr>
            <w:tcW w:w="2263" w:type="dxa"/>
            <w:shd w:val="clear" w:color="auto" w:fill="00B050"/>
          </w:tcPr>
          <w:p w14:paraId="6C434FA9" w14:textId="77777777" w:rsidR="00D95C49" w:rsidRPr="00101474" w:rsidRDefault="00D95C49" w:rsidP="00D95C49">
            <w:pPr>
              <w:pStyle w:val="NormalWeb"/>
              <w:jc w:val="both"/>
              <w:rPr>
                <w:rFonts w:ascii="Verdana" w:hAnsi="Verdana"/>
                <w:color w:val="191919"/>
                <w:sz w:val="20"/>
                <w:szCs w:val="20"/>
              </w:rPr>
            </w:pPr>
            <w:bookmarkStart w:id="0" w:name="_Hlk30770653"/>
            <w:r>
              <w:rPr>
                <w:rFonts w:ascii="Verdana" w:hAnsi="Verdana"/>
                <w:color w:val="191919"/>
                <w:sz w:val="20"/>
                <w:szCs w:val="20"/>
              </w:rPr>
              <w:t>L</w:t>
            </w:r>
            <w:r w:rsidRPr="00101474">
              <w:rPr>
                <w:rFonts w:ascii="Verdana" w:hAnsi="Verdana"/>
                <w:color w:val="191919"/>
                <w:sz w:val="20"/>
                <w:szCs w:val="20"/>
              </w:rPr>
              <w:t>ow</w:t>
            </w:r>
          </w:p>
        </w:tc>
        <w:tc>
          <w:tcPr>
            <w:tcW w:w="1602" w:type="dxa"/>
          </w:tcPr>
          <w:p w14:paraId="6D54053F" w14:textId="77777777" w:rsidR="00D95C49" w:rsidRPr="00101474" w:rsidRDefault="00D95C49" w:rsidP="00D95C49">
            <w:pPr>
              <w:pStyle w:val="NormalWeb"/>
              <w:jc w:val="both"/>
              <w:rPr>
                <w:rFonts w:ascii="Verdana" w:hAnsi="Verdana"/>
                <w:color w:val="191919"/>
                <w:sz w:val="20"/>
                <w:szCs w:val="20"/>
              </w:rPr>
            </w:pPr>
            <w:r w:rsidRPr="00101474">
              <w:rPr>
                <w:rFonts w:ascii="Verdana" w:hAnsi="Verdana"/>
                <w:color w:val="191919"/>
                <w:sz w:val="20"/>
                <w:szCs w:val="20"/>
              </w:rPr>
              <w:t>0 - 10%</w:t>
            </w:r>
          </w:p>
        </w:tc>
      </w:tr>
      <w:tr w:rsidR="00D95C49" w:rsidRPr="00101474" w14:paraId="2278D610" w14:textId="77777777" w:rsidTr="00D95C49">
        <w:trPr>
          <w:jc w:val="center"/>
        </w:trPr>
        <w:tc>
          <w:tcPr>
            <w:tcW w:w="2263" w:type="dxa"/>
            <w:shd w:val="clear" w:color="auto" w:fill="FFFF00"/>
          </w:tcPr>
          <w:p w14:paraId="5DE31DEA" w14:textId="77777777" w:rsidR="00D95C49" w:rsidRPr="00101474" w:rsidRDefault="00D95C49" w:rsidP="00D95C49">
            <w:pPr>
              <w:pStyle w:val="NormalWeb"/>
              <w:jc w:val="both"/>
              <w:rPr>
                <w:rFonts w:ascii="Verdana" w:hAnsi="Verdana"/>
                <w:color w:val="191919"/>
                <w:sz w:val="20"/>
                <w:szCs w:val="20"/>
              </w:rPr>
            </w:pPr>
            <w:r>
              <w:rPr>
                <w:rFonts w:ascii="Verdana" w:hAnsi="Verdana"/>
                <w:color w:val="191919"/>
                <w:sz w:val="20"/>
                <w:szCs w:val="20"/>
              </w:rPr>
              <w:t>M</w:t>
            </w:r>
            <w:r w:rsidRPr="00101474">
              <w:rPr>
                <w:rFonts w:ascii="Verdana" w:hAnsi="Verdana"/>
                <w:color w:val="191919"/>
                <w:sz w:val="20"/>
                <w:szCs w:val="20"/>
              </w:rPr>
              <w:t>edium-low</w:t>
            </w:r>
          </w:p>
        </w:tc>
        <w:tc>
          <w:tcPr>
            <w:tcW w:w="1602" w:type="dxa"/>
          </w:tcPr>
          <w:p w14:paraId="6CFF8AB3" w14:textId="77777777" w:rsidR="00D95C49" w:rsidRPr="00101474" w:rsidRDefault="00D95C49" w:rsidP="00D95C49">
            <w:pPr>
              <w:pStyle w:val="NormalWeb"/>
              <w:jc w:val="both"/>
              <w:rPr>
                <w:rFonts w:ascii="Verdana" w:hAnsi="Verdana"/>
                <w:color w:val="191919"/>
                <w:sz w:val="20"/>
                <w:szCs w:val="20"/>
              </w:rPr>
            </w:pPr>
            <w:r w:rsidRPr="00101474">
              <w:rPr>
                <w:rFonts w:ascii="Verdana" w:hAnsi="Verdana"/>
                <w:color w:val="191919"/>
                <w:sz w:val="20"/>
                <w:szCs w:val="20"/>
              </w:rPr>
              <w:t>11 - 30%</w:t>
            </w:r>
          </w:p>
        </w:tc>
      </w:tr>
      <w:tr w:rsidR="00D95C49" w:rsidRPr="00101474" w14:paraId="7805334A" w14:textId="77777777" w:rsidTr="00D95C49">
        <w:trPr>
          <w:jc w:val="center"/>
        </w:trPr>
        <w:tc>
          <w:tcPr>
            <w:tcW w:w="2263" w:type="dxa"/>
            <w:shd w:val="clear" w:color="auto" w:fill="FFC000"/>
          </w:tcPr>
          <w:p w14:paraId="10B8DFFC" w14:textId="77777777" w:rsidR="00D95C49" w:rsidRPr="00101474" w:rsidRDefault="00D95C49" w:rsidP="00D95C49">
            <w:pPr>
              <w:pStyle w:val="NormalWeb"/>
              <w:jc w:val="both"/>
              <w:rPr>
                <w:rFonts w:ascii="Verdana" w:hAnsi="Verdana"/>
                <w:color w:val="191919"/>
                <w:sz w:val="20"/>
                <w:szCs w:val="20"/>
              </w:rPr>
            </w:pPr>
            <w:r>
              <w:rPr>
                <w:rFonts w:ascii="Verdana" w:hAnsi="Verdana"/>
                <w:color w:val="191919"/>
                <w:sz w:val="20"/>
                <w:szCs w:val="20"/>
              </w:rPr>
              <w:t>M</w:t>
            </w:r>
            <w:r w:rsidRPr="00101474">
              <w:rPr>
                <w:rFonts w:ascii="Verdana" w:hAnsi="Verdana"/>
                <w:color w:val="191919"/>
                <w:sz w:val="20"/>
                <w:szCs w:val="20"/>
              </w:rPr>
              <w:t>edium-high</w:t>
            </w:r>
          </w:p>
        </w:tc>
        <w:tc>
          <w:tcPr>
            <w:tcW w:w="1602" w:type="dxa"/>
          </w:tcPr>
          <w:p w14:paraId="1F75748E" w14:textId="77777777" w:rsidR="00D95C49" w:rsidRPr="00101474" w:rsidRDefault="00D95C49" w:rsidP="00D95C49">
            <w:pPr>
              <w:pStyle w:val="NormalWeb"/>
              <w:jc w:val="both"/>
              <w:rPr>
                <w:rFonts w:ascii="Verdana" w:hAnsi="Verdana"/>
                <w:color w:val="191919"/>
                <w:sz w:val="20"/>
                <w:szCs w:val="20"/>
              </w:rPr>
            </w:pPr>
            <w:r w:rsidRPr="00101474">
              <w:rPr>
                <w:rFonts w:ascii="Verdana" w:hAnsi="Verdana"/>
                <w:color w:val="191919"/>
                <w:sz w:val="20"/>
                <w:szCs w:val="20"/>
              </w:rPr>
              <w:t>31 - 60%</w:t>
            </w:r>
          </w:p>
        </w:tc>
      </w:tr>
      <w:tr w:rsidR="00D95C49" w:rsidRPr="00101474" w14:paraId="0337EDBD" w14:textId="77777777" w:rsidTr="00D95C49">
        <w:trPr>
          <w:jc w:val="center"/>
        </w:trPr>
        <w:tc>
          <w:tcPr>
            <w:tcW w:w="2263" w:type="dxa"/>
            <w:shd w:val="clear" w:color="auto" w:fill="FF0000"/>
          </w:tcPr>
          <w:p w14:paraId="7A8D9790" w14:textId="77777777" w:rsidR="00D95C49" w:rsidRPr="00101474" w:rsidRDefault="00D95C49" w:rsidP="00D95C49">
            <w:pPr>
              <w:pStyle w:val="NormalWeb"/>
              <w:jc w:val="both"/>
              <w:rPr>
                <w:rFonts w:ascii="Verdana" w:hAnsi="Verdana"/>
                <w:color w:val="191919"/>
                <w:sz w:val="20"/>
                <w:szCs w:val="20"/>
              </w:rPr>
            </w:pPr>
            <w:r>
              <w:rPr>
                <w:rFonts w:ascii="Verdana" w:hAnsi="Verdana"/>
                <w:color w:val="191919"/>
                <w:sz w:val="20"/>
                <w:szCs w:val="20"/>
              </w:rPr>
              <w:t>H</w:t>
            </w:r>
            <w:r w:rsidRPr="00101474">
              <w:rPr>
                <w:rFonts w:ascii="Verdana" w:hAnsi="Verdana"/>
                <w:color w:val="191919"/>
                <w:sz w:val="20"/>
                <w:szCs w:val="20"/>
              </w:rPr>
              <w:t>igh</w:t>
            </w:r>
          </w:p>
        </w:tc>
        <w:tc>
          <w:tcPr>
            <w:tcW w:w="1602" w:type="dxa"/>
          </w:tcPr>
          <w:p w14:paraId="24FC6EEB" w14:textId="77777777" w:rsidR="00D95C49" w:rsidRPr="00101474" w:rsidRDefault="00D95C49" w:rsidP="00D95C49">
            <w:pPr>
              <w:pStyle w:val="NormalWeb"/>
              <w:jc w:val="both"/>
              <w:rPr>
                <w:rFonts w:ascii="Verdana" w:hAnsi="Verdana"/>
                <w:color w:val="191919"/>
                <w:sz w:val="20"/>
                <w:szCs w:val="20"/>
              </w:rPr>
            </w:pPr>
            <w:r w:rsidRPr="00101474">
              <w:rPr>
                <w:rFonts w:ascii="Verdana" w:hAnsi="Verdana"/>
                <w:color w:val="191919"/>
                <w:sz w:val="20"/>
                <w:szCs w:val="20"/>
              </w:rPr>
              <w:t>61% or more</w:t>
            </w:r>
          </w:p>
        </w:tc>
      </w:tr>
      <w:bookmarkEnd w:id="0"/>
    </w:tbl>
    <w:p w14:paraId="0F3C2729" w14:textId="77777777" w:rsidR="00D95C49" w:rsidRDefault="00D95C49" w:rsidP="00C65B87">
      <w:pPr>
        <w:pStyle w:val="ListParagraph"/>
        <w:ind w:left="450"/>
        <w:jc w:val="both"/>
        <w:rPr>
          <w:rFonts w:ascii="Verdana" w:hAnsi="Verdana"/>
          <w:sz w:val="20"/>
          <w:szCs w:val="20"/>
        </w:rPr>
      </w:pPr>
    </w:p>
    <w:p w14:paraId="63F54CC0" w14:textId="7751CE13" w:rsidR="0081037F" w:rsidRDefault="00127054" w:rsidP="00127054">
      <w:pPr>
        <w:pStyle w:val="ListParagraph"/>
        <w:ind w:left="450"/>
        <w:jc w:val="both"/>
        <w:rPr>
          <w:rFonts w:ascii="Verdana" w:hAnsi="Verdana"/>
          <w:sz w:val="20"/>
          <w:szCs w:val="20"/>
        </w:rPr>
      </w:pPr>
      <w:r>
        <w:rPr>
          <w:rFonts w:ascii="Verdana" w:hAnsi="Verdana"/>
          <w:sz w:val="20"/>
          <w:szCs w:val="20"/>
        </w:rPr>
        <w:t xml:space="preserve"> </w:t>
      </w:r>
    </w:p>
    <w:p w14:paraId="185B964E" w14:textId="79D59BD0" w:rsidR="00127054" w:rsidRPr="00A660AA" w:rsidRDefault="00127054" w:rsidP="00A660AA">
      <w:pPr>
        <w:pStyle w:val="ListParagraph"/>
        <w:numPr>
          <w:ilvl w:val="0"/>
          <w:numId w:val="17"/>
        </w:numPr>
        <w:ind w:left="450"/>
        <w:jc w:val="both"/>
        <w:rPr>
          <w:rFonts w:ascii="Verdana" w:hAnsi="Verdana"/>
          <w:sz w:val="20"/>
          <w:szCs w:val="20"/>
        </w:rPr>
      </w:pPr>
      <w:r>
        <w:rPr>
          <w:rFonts w:ascii="Verdana" w:hAnsi="Verdana"/>
          <w:sz w:val="20"/>
          <w:szCs w:val="20"/>
        </w:rPr>
        <w:t xml:space="preserve">Inherent risks in the Cayman Islands insurance industry and </w:t>
      </w:r>
      <w:r w:rsidR="009F3826">
        <w:rPr>
          <w:rFonts w:ascii="Verdana" w:hAnsi="Verdana"/>
          <w:sz w:val="20"/>
          <w:szCs w:val="20"/>
        </w:rPr>
        <w:t>factors decreasing this risk:</w:t>
      </w:r>
    </w:p>
    <w:tbl>
      <w:tblPr>
        <w:tblStyle w:val="TableGrid"/>
        <w:tblW w:w="8910" w:type="dxa"/>
        <w:tblInd w:w="445" w:type="dxa"/>
        <w:tblLook w:val="04A0" w:firstRow="1" w:lastRow="0" w:firstColumn="1" w:lastColumn="0" w:noHBand="0" w:noVBand="1"/>
      </w:tblPr>
      <w:tblGrid>
        <w:gridCol w:w="3150"/>
        <w:gridCol w:w="5760"/>
      </w:tblGrid>
      <w:tr w:rsidR="00127054" w:rsidRPr="00FF543F" w14:paraId="36491537" w14:textId="77777777" w:rsidTr="00796487">
        <w:tc>
          <w:tcPr>
            <w:tcW w:w="3150" w:type="dxa"/>
            <w:shd w:val="clear" w:color="auto" w:fill="DBE5F1" w:themeFill="accent1" w:themeFillTint="33"/>
          </w:tcPr>
          <w:p w14:paraId="48915359" w14:textId="2F9EEC97" w:rsidR="00127054" w:rsidRPr="006A4559" w:rsidRDefault="00127054" w:rsidP="002A1CDA">
            <w:pPr>
              <w:jc w:val="both"/>
              <w:rPr>
                <w:rFonts w:ascii="Verdana" w:hAnsi="Verdana"/>
                <w:b/>
                <w:bCs/>
                <w:sz w:val="20"/>
                <w:szCs w:val="20"/>
              </w:rPr>
            </w:pPr>
            <w:r w:rsidRPr="006A4559">
              <w:rPr>
                <w:rFonts w:ascii="Verdana" w:hAnsi="Verdana"/>
                <w:b/>
                <w:bCs/>
                <w:sz w:val="20"/>
                <w:szCs w:val="20"/>
              </w:rPr>
              <w:t>Inherent Risk</w:t>
            </w:r>
          </w:p>
        </w:tc>
        <w:tc>
          <w:tcPr>
            <w:tcW w:w="5760" w:type="dxa"/>
            <w:shd w:val="clear" w:color="auto" w:fill="DBE5F1" w:themeFill="accent1" w:themeFillTint="33"/>
          </w:tcPr>
          <w:p w14:paraId="0A374E68" w14:textId="1AAE0E8A" w:rsidR="00127054" w:rsidRPr="006A4559" w:rsidRDefault="00AA625A" w:rsidP="002A1CDA">
            <w:pPr>
              <w:jc w:val="center"/>
              <w:rPr>
                <w:rFonts w:ascii="Verdana" w:hAnsi="Verdana"/>
                <w:b/>
                <w:bCs/>
                <w:sz w:val="20"/>
                <w:szCs w:val="20"/>
              </w:rPr>
            </w:pPr>
            <w:r w:rsidRPr="006A4559">
              <w:rPr>
                <w:rFonts w:ascii="Verdana" w:hAnsi="Verdana"/>
                <w:b/>
                <w:bCs/>
                <w:sz w:val="20"/>
                <w:szCs w:val="20"/>
              </w:rPr>
              <w:t>Factors decreasing the Inherent Risk</w:t>
            </w:r>
          </w:p>
        </w:tc>
      </w:tr>
      <w:tr w:rsidR="00127054" w:rsidRPr="00961C28" w14:paraId="3B6E7979" w14:textId="77777777" w:rsidTr="00796487">
        <w:tc>
          <w:tcPr>
            <w:tcW w:w="3150" w:type="dxa"/>
          </w:tcPr>
          <w:p w14:paraId="2CBFA7BD" w14:textId="794EEECE" w:rsidR="00127054" w:rsidRPr="006A4559" w:rsidRDefault="00961C28" w:rsidP="002A1CDA">
            <w:pPr>
              <w:jc w:val="both"/>
              <w:rPr>
                <w:rFonts w:ascii="Verdana" w:hAnsi="Verdana"/>
                <w:sz w:val="20"/>
                <w:szCs w:val="20"/>
              </w:rPr>
            </w:pPr>
            <w:r w:rsidRPr="006A4559">
              <w:rPr>
                <w:rFonts w:ascii="Verdana" w:hAnsi="Verdana"/>
                <w:sz w:val="20"/>
                <w:szCs w:val="20"/>
              </w:rPr>
              <w:t>High-level of cross-border activities due to the Cayman Islands’ large international insurance sector.</w:t>
            </w:r>
          </w:p>
        </w:tc>
        <w:tc>
          <w:tcPr>
            <w:tcW w:w="5760" w:type="dxa"/>
          </w:tcPr>
          <w:p w14:paraId="377E5E6B" w14:textId="0B497B5A" w:rsidR="000C0839" w:rsidRPr="006A4559" w:rsidRDefault="00EB0CC0" w:rsidP="00961C28">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 xml:space="preserve">All (re)insurers are licensed by the Authority and </w:t>
            </w:r>
            <w:r w:rsidR="000C0839" w:rsidRPr="006A4559">
              <w:rPr>
                <w:rFonts w:ascii="Verdana" w:hAnsi="Verdana"/>
                <w:sz w:val="20"/>
                <w:szCs w:val="20"/>
              </w:rPr>
              <w:t>subject to risk-based offsite and onsite supervision</w:t>
            </w:r>
            <w:r w:rsidR="00FF1BE3" w:rsidRPr="006A4559">
              <w:rPr>
                <w:rFonts w:ascii="Verdana" w:hAnsi="Verdana"/>
                <w:sz w:val="20"/>
                <w:szCs w:val="20"/>
              </w:rPr>
              <w:t>.</w:t>
            </w:r>
          </w:p>
          <w:p w14:paraId="794CAA2A" w14:textId="1D0DD356" w:rsidR="000C0839" w:rsidRPr="006A4559" w:rsidRDefault="000C0839" w:rsidP="00961C28">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71% of the international insurers operate as captive insurance companies providing property and casualty coverage to their parent companies and affiliates</w:t>
            </w:r>
            <w:r w:rsidR="00FF1BE3" w:rsidRPr="006A4559">
              <w:rPr>
                <w:rFonts w:ascii="Verdana" w:hAnsi="Verdana"/>
                <w:sz w:val="20"/>
                <w:szCs w:val="20"/>
              </w:rPr>
              <w:t>.</w:t>
            </w:r>
          </w:p>
          <w:p w14:paraId="4F92BF72" w14:textId="36714117" w:rsidR="00127054" w:rsidRPr="006A4559" w:rsidRDefault="007F6991" w:rsidP="00961C28">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91% of the risks (re)insured by the Cayman based international insurers originates from the United States of America, a country with robust AML/CFT controls</w:t>
            </w:r>
            <w:r w:rsidR="00FF1BE3" w:rsidRPr="006A4559">
              <w:rPr>
                <w:rFonts w:ascii="Verdana" w:hAnsi="Verdana"/>
                <w:sz w:val="20"/>
                <w:szCs w:val="20"/>
              </w:rPr>
              <w:t>.</w:t>
            </w:r>
          </w:p>
        </w:tc>
      </w:tr>
      <w:tr w:rsidR="00961C28" w:rsidRPr="00961C28" w14:paraId="63ED2327" w14:textId="77777777" w:rsidTr="00796487">
        <w:tc>
          <w:tcPr>
            <w:tcW w:w="3150" w:type="dxa"/>
          </w:tcPr>
          <w:p w14:paraId="1507D4A0" w14:textId="417E6C3F" w:rsidR="00961C28" w:rsidRPr="006A4559" w:rsidRDefault="00961C28" w:rsidP="002A1CDA">
            <w:pPr>
              <w:jc w:val="both"/>
              <w:rPr>
                <w:rFonts w:ascii="Verdana" w:hAnsi="Verdana"/>
                <w:sz w:val="20"/>
                <w:szCs w:val="20"/>
              </w:rPr>
            </w:pPr>
            <w:r w:rsidRPr="006A4559">
              <w:rPr>
                <w:rFonts w:ascii="Verdana" w:hAnsi="Verdana"/>
                <w:sz w:val="20"/>
                <w:szCs w:val="20"/>
              </w:rPr>
              <w:t>International insurers with no physical presence in the Cayman Islands.</w:t>
            </w:r>
          </w:p>
        </w:tc>
        <w:tc>
          <w:tcPr>
            <w:tcW w:w="5760" w:type="dxa"/>
          </w:tcPr>
          <w:p w14:paraId="4FB364D7" w14:textId="793AAA27" w:rsidR="00FF1BE3" w:rsidRPr="006A4559" w:rsidRDefault="00FF1BE3" w:rsidP="00961C28">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 xml:space="preserve">All international insurers with no physical presence </w:t>
            </w:r>
            <w:r w:rsidR="00090649" w:rsidRPr="006A4559">
              <w:rPr>
                <w:rFonts w:ascii="Verdana" w:hAnsi="Verdana"/>
                <w:sz w:val="20"/>
                <w:szCs w:val="20"/>
              </w:rPr>
              <w:t xml:space="preserve">are </w:t>
            </w:r>
            <w:r w:rsidRPr="006A4559">
              <w:rPr>
                <w:rFonts w:ascii="Verdana" w:hAnsi="Verdana"/>
                <w:sz w:val="20"/>
                <w:szCs w:val="20"/>
              </w:rPr>
              <w:t xml:space="preserve">required by law to appoint an </w:t>
            </w:r>
            <w:r w:rsidR="00D34AF8" w:rsidRPr="006A4559">
              <w:rPr>
                <w:rFonts w:ascii="Verdana" w:hAnsi="Verdana"/>
                <w:sz w:val="20"/>
                <w:szCs w:val="20"/>
              </w:rPr>
              <w:t>I</w:t>
            </w:r>
            <w:r w:rsidRPr="006A4559">
              <w:rPr>
                <w:rFonts w:ascii="Verdana" w:hAnsi="Verdana"/>
                <w:sz w:val="20"/>
                <w:szCs w:val="20"/>
              </w:rPr>
              <w:t xml:space="preserve">nsurance </w:t>
            </w:r>
            <w:r w:rsidR="00D34AF8" w:rsidRPr="006A4559">
              <w:rPr>
                <w:rFonts w:ascii="Verdana" w:hAnsi="Verdana"/>
                <w:sz w:val="20"/>
                <w:szCs w:val="20"/>
              </w:rPr>
              <w:t>M</w:t>
            </w:r>
            <w:r w:rsidRPr="006A4559">
              <w:rPr>
                <w:rFonts w:ascii="Verdana" w:hAnsi="Verdana"/>
                <w:sz w:val="20"/>
                <w:szCs w:val="20"/>
              </w:rPr>
              <w:t xml:space="preserve">anager </w:t>
            </w:r>
            <w:r w:rsidR="00A035F1" w:rsidRPr="006A4559">
              <w:rPr>
                <w:rFonts w:ascii="Verdana" w:hAnsi="Verdana"/>
                <w:sz w:val="20"/>
                <w:szCs w:val="20"/>
              </w:rPr>
              <w:t xml:space="preserve">to manage the business </w:t>
            </w:r>
            <w:r w:rsidRPr="006A4559">
              <w:rPr>
                <w:rFonts w:ascii="Verdana" w:hAnsi="Verdana"/>
                <w:sz w:val="20"/>
                <w:szCs w:val="20"/>
              </w:rPr>
              <w:t>and maintain their books and records in the Cayman Islands.</w:t>
            </w:r>
          </w:p>
          <w:p w14:paraId="6874CD19" w14:textId="51BDD348" w:rsidR="00A035F1" w:rsidRPr="006A4559" w:rsidRDefault="00FF1BE3" w:rsidP="00796487">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 xml:space="preserve">Insurance Managers are licensed by the Authority and </w:t>
            </w:r>
            <w:r w:rsidR="004B0BBA" w:rsidRPr="006A4559">
              <w:rPr>
                <w:rFonts w:ascii="Verdana" w:hAnsi="Verdana"/>
                <w:sz w:val="20"/>
                <w:szCs w:val="20"/>
              </w:rPr>
              <w:t>are required by AMLRs to implement the most appropriate AML/CFT controls and mitigation measures.</w:t>
            </w:r>
          </w:p>
        </w:tc>
      </w:tr>
      <w:tr w:rsidR="00236997" w:rsidRPr="00961C28" w14:paraId="60BD222A" w14:textId="77777777" w:rsidTr="00796487">
        <w:tc>
          <w:tcPr>
            <w:tcW w:w="3150" w:type="dxa"/>
          </w:tcPr>
          <w:p w14:paraId="1836E004" w14:textId="43571A5F" w:rsidR="00236997" w:rsidRPr="006A4559" w:rsidRDefault="00236997" w:rsidP="00236997">
            <w:pPr>
              <w:jc w:val="both"/>
              <w:rPr>
                <w:rFonts w:ascii="Verdana" w:hAnsi="Verdana"/>
                <w:sz w:val="20"/>
                <w:szCs w:val="20"/>
              </w:rPr>
            </w:pPr>
            <w:r w:rsidRPr="006A4559">
              <w:rPr>
                <w:rFonts w:ascii="Verdana" w:hAnsi="Verdana"/>
                <w:sz w:val="20"/>
                <w:szCs w:val="20"/>
              </w:rPr>
              <w:t>International insurers operating as commercial insurance companies engaged in life insurance business with no business relationships established on a face-to-face basis.</w:t>
            </w:r>
          </w:p>
        </w:tc>
        <w:tc>
          <w:tcPr>
            <w:tcW w:w="5760" w:type="dxa"/>
          </w:tcPr>
          <w:p w14:paraId="1A4610A2" w14:textId="2D1B957B" w:rsidR="00236997" w:rsidRPr="006A4559" w:rsidRDefault="00236997" w:rsidP="00236997">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Only 4% of the international insurers are engaged in life and other investment-related insurance business.</w:t>
            </w:r>
          </w:p>
          <w:p w14:paraId="0C3CB0C1" w14:textId="067494EC" w:rsidR="00236997" w:rsidRPr="006A4559" w:rsidRDefault="00236997" w:rsidP="00236997">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 xml:space="preserve">Only 4% of the total premium of US$18 billion were written by the insurers engaged in life and other investment-related insurance business. </w:t>
            </w:r>
          </w:p>
        </w:tc>
      </w:tr>
      <w:tr w:rsidR="008416D6" w:rsidRPr="00961C28" w14:paraId="2F09935E" w14:textId="77777777" w:rsidTr="00796487">
        <w:tc>
          <w:tcPr>
            <w:tcW w:w="3150" w:type="dxa"/>
          </w:tcPr>
          <w:p w14:paraId="52D48697" w14:textId="6AC29DBE" w:rsidR="008416D6" w:rsidRPr="006A4559" w:rsidRDefault="008416D6" w:rsidP="008416D6">
            <w:pPr>
              <w:jc w:val="both"/>
              <w:rPr>
                <w:rFonts w:ascii="Verdana" w:hAnsi="Verdana"/>
                <w:sz w:val="20"/>
                <w:szCs w:val="20"/>
              </w:rPr>
            </w:pPr>
            <w:r w:rsidRPr="006A4559">
              <w:rPr>
                <w:rFonts w:ascii="Verdana" w:hAnsi="Verdana"/>
                <w:sz w:val="20"/>
                <w:szCs w:val="20"/>
              </w:rPr>
              <w:t>Institutional fund (</w:t>
            </w:r>
            <w:r w:rsidR="0091209D" w:rsidRPr="006A4559">
              <w:rPr>
                <w:rFonts w:ascii="Verdana" w:hAnsi="Verdana"/>
                <w:sz w:val="20"/>
                <w:szCs w:val="20"/>
              </w:rPr>
              <w:t xml:space="preserve">Mutual funds, </w:t>
            </w:r>
            <w:r w:rsidRPr="006A4559">
              <w:rPr>
                <w:rFonts w:ascii="Verdana" w:hAnsi="Verdana"/>
                <w:sz w:val="20"/>
                <w:szCs w:val="20"/>
              </w:rPr>
              <w:t>Hedge funds and Private Equity funds) investments in (re)insurance</w:t>
            </w:r>
          </w:p>
        </w:tc>
        <w:tc>
          <w:tcPr>
            <w:tcW w:w="5760" w:type="dxa"/>
          </w:tcPr>
          <w:p w14:paraId="2B91AA7E" w14:textId="312FFBBA" w:rsidR="008416D6" w:rsidRPr="006A4559" w:rsidRDefault="008C5E0D" w:rsidP="008E6AB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 xml:space="preserve">Investments by regulated funds or funds managed by regulated </w:t>
            </w:r>
            <w:r w:rsidR="00D34AF8" w:rsidRPr="006A4559">
              <w:rPr>
                <w:rFonts w:ascii="Verdana" w:hAnsi="Verdana"/>
                <w:sz w:val="20"/>
                <w:szCs w:val="20"/>
              </w:rPr>
              <w:t>I</w:t>
            </w:r>
            <w:r w:rsidRPr="006A4559">
              <w:rPr>
                <w:rFonts w:ascii="Verdana" w:hAnsi="Verdana"/>
                <w:sz w:val="20"/>
                <w:szCs w:val="20"/>
              </w:rPr>
              <w:t xml:space="preserve">nvestment </w:t>
            </w:r>
            <w:r w:rsidR="00D34AF8" w:rsidRPr="006A4559">
              <w:rPr>
                <w:rFonts w:ascii="Verdana" w:hAnsi="Verdana"/>
                <w:sz w:val="20"/>
                <w:szCs w:val="20"/>
              </w:rPr>
              <w:t>M</w:t>
            </w:r>
            <w:r w:rsidRPr="006A4559">
              <w:rPr>
                <w:rFonts w:ascii="Verdana" w:hAnsi="Verdana"/>
                <w:sz w:val="20"/>
                <w:szCs w:val="20"/>
              </w:rPr>
              <w:t>anagers.</w:t>
            </w:r>
          </w:p>
          <w:p w14:paraId="3E3C26D2" w14:textId="7C2AFCFE" w:rsidR="00832750" w:rsidRPr="006A4559" w:rsidRDefault="00C160B5" w:rsidP="008E6AB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Cayman’s expertise and experience in the fund industry.</w:t>
            </w:r>
          </w:p>
        </w:tc>
      </w:tr>
    </w:tbl>
    <w:p w14:paraId="56A92C14" w14:textId="330CEF8E" w:rsidR="00127054" w:rsidRDefault="00127054" w:rsidP="00127054">
      <w:pPr>
        <w:pStyle w:val="ListParagraph"/>
        <w:ind w:left="0"/>
        <w:jc w:val="both"/>
        <w:rPr>
          <w:rFonts w:ascii="Verdana" w:hAnsi="Verdana"/>
          <w:sz w:val="20"/>
          <w:szCs w:val="20"/>
        </w:rPr>
      </w:pPr>
    </w:p>
    <w:p w14:paraId="26C40D3B" w14:textId="72586A9D" w:rsidR="005A1462" w:rsidRDefault="005A1462" w:rsidP="005A1462">
      <w:pPr>
        <w:pStyle w:val="ListParagraph"/>
        <w:numPr>
          <w:ilvl w:val="0"/>
          <w:numId w:val="17"/>
        </w:numPr>
        <w:ind w:left="450"/>
        <w:jc w:val="both"/>
        <w:rPr>
          <w:rFonts w:ascii="Verdana" w:hAnsi="Verdana"/>
          <w:sz w:val="20"/>
          <w:szCs w:val="20"/>
        </w:rPr>
      </w:pPr>
      <w:r>
        <w:rPr>
          <w:rFonts w:ascii="Verdana" w:hAnsi="Verdana"/>
          <w:sz w:val="20"/>
          <w:szCs w:val="20"/>
        </w:rPr>
        <w:t xml:space="preserve">Inherent risks in the Cayman Islands insurance industry and </w:t>
      </w:r>
      <w:r w:rsidR="00EC231E">
        <w:rPr>
          <w:rFonts w:ascii="Verdana" w:hAnsi="Verdana"/>
          <w:sz w:val="20"/>
          <w:szCs w:val="20"/>
        </w:rPr>
        <w:t xml:space="preserve">the steps the </w:t>
      </w:r>
      <w:r w:rsidR="00D65D56">
        <w:rPr>
          <w:rFonts w:ascii="Verdana" w:hAnsi="Verdana"/>
          <w:sz w:val="20"/>
          <w:szCs w:val="20"/>
        </w:rPr>
        <w:t>Authority</w:t>
      </w:r>
      <w:r w:rsidR="00EC231E">
        <w:rPr>
          <w:rFonts w:ascii="Verdana" w:hAnsi="Verdana"/>
          <w:sz w:val="20"/>
          <w:szCs w:val="20"/>
        </w:rPr>
        <w:t xml:space="preserve"> has taken to reduce the inherent risk</w:t>
      </w:r>
      <w:r>
        <w:rPr>
          <w:rFonts w:ascii="Verdana" w:hAnsi="Verdana"/>
          <w:sz w:val="20"/>
          <w:szCs w:val="20"/>
        </w:rPr>
        <w:t>:</w:t>
      </w:r>
    </w:p>
    <w:tbl>
      <w:tblPr>
        <w:tblStyle w:val="TableGrid"/>
        <w:tblW w:w="8910" w:type="dxa"/>
        <w:tblInd w:w="445" w:type="dxa"/>
        <w:tblLook w:val="04A0" w:firstRow="1" w:lastRow="0" w:firstColumn="1" w:lastColumn="0" w:noHBand="0" w:noVBand="1"/>
      </w:tblPr>
      <w:tblGrid>
        <w:gridCol w:w="3150"/>
        <w:gridCol w:w="5760"/>
      </w:tblGrid>
      <w:tr w:rsidR="00D65D56" w:rsidRPr="00FF543F" w14:paraId="350AA2B6" w14:textId="77777777" w:rsidTr="002A1CDA">
        <w:tc>
          <w:tcPr>
            <w:tcW w:w="3150" w:type="dxa"/>
            <w:shd w:val="clear" w:color="auto" w:fill="DBE5F1" w:themeFill="accent1" w:themeFillTint="33"/>
          </w:tcPr>
          <w:p w14:paraId="11439601" w14:textId="77777777" w:rsidR="00D65D56" w:rsidRPr="006A4559" w:rsidRDefault="00D65D56" w:rsidP="002A1CDA">
            <w:pPr>
              <w:jc w:val="both"/>
              <w:rPr>
                <w:rFonts w:ascii="Verdana" w:hAnsi="Verdana"/>
                <w:b/>
                <w:bCs/>
                <w:sz w:val="20"/>
                <w:szCs w:val="20"/>
              </w:rPr>
            </w:pPr>
            <w:r w:rsidRPr="006A4559">
              <w:rPr>
                <w:rFonts w:ascii="Verdana" w:hAnsi="Verdana"/>
                <w:b/>
                <w:bCs/>
                <w:sz w:val="20"/>
                <w:szCs w:val="20"/>
              </w:rPr>
              <w:t>Inherent Risk</w:t>
            </w:r>
          </w:p>
        </w:tc>
        <w:tc>
          <w:tcPr>
            <w:tcW w:w="5760" w:type="dxa"/>
            <w:shd w:val="clear" w:color="auto" w:fill="DBE5F1" w:themeFill="accent1" w:themeFillTint="33"/>
          </w:tcPr>
          <w:p w14:paraId="68DE5909" w14:textId="0AAE57D4" w:rsidR="00D65D56" w:rsidRPr="006A4559" w:rsidRDefault="00796487" w:rsidP="00D65D56">
            <w:pPr>
              <w:jc w:val="both"/>
              <w:rPr>
                <w:rFonts w:ascii="Verdana" w:hAnsi="Verdana"/>
                <w:b/>
                <w:bCs/>
                <w:sz w:val="20"/>
                <w:szCs w:val="20"/>
              </w:rPr>
            </w:pPr>
            <w:r w:rsidRPr="006A4559">
              <w:rPr>
                <w:rFonts w:ascii="Verdana" w:hAnsi="Verdana"/>
                <w:b/>
                <w:bCs/>
                <w:sz w:val="20"/>
                <w:szCs w:val="20"/>
              </w:rPr>
              <w:t>Specific s</w:t>
            </w:r>
            <w:r w:rsidR="00D65D56" w:rsidRPr="006A4559">
              <w:rPr>
                <w:rFonts w:ascii="Verdana" w:hAnsi="Verdana"/>
                <w:b/>
                <w:bCs/>
                <w:sz w:val="20"/>
                <w:szCs w:val="20"/>
              </w:rPr>
              <w:t>teps the Authority has taken to reduce the inherent risk</w:t>
            </w:r>
          </w:p>
        </w:tc>
      </w:tr>
      <w:tr w:rsidR="00D65D56" w:rsidRPr="00961C28" w14:paraId="38E74EB7" w14:textId="77777777" w:rsidTr="002A1CDA">
        <w:tc>
          <w:tcPr>
            <w:tcW w:w="3150" w:type="dxa"/>
          </w:tcPr>
          <w:p w14:paraId="7410DDEE" w14:textId="77777777" w:rsidR="00D65D56" w:rsidRPr="006A4559" w:rsidRDefault="00D65D56" w:rsidP="002A1CDA">
            <w:pPr>
              <w:jc w:val="both"/>
              <w:rPr>
                <w:rFonts w:ascii="Verdana" w:hAnsi="Verdana"/>
                <w:sz w:val="20"/>
                <w:szCs w:val="20"/>
              </w:rPr>
            </w:pPr>
            <w:r w:rsidRPr="006A4559">
              <w:rPr>
                <w:rFonts w:ascii="Verdana" w:hAnsi="Verdana"/>
                <w:sz w:val="20"/>
                <w:szCs w:val="20"/>
              </w:rPr>
              <w:lastRenderedPageBreak/>
              <w:t>High-level of cross-border activities due to the Cayman Islands’ large international insurance sector.</w:t>
            </w:r>
          </w:p>
        </w:tc>
        <w:tc>
          <w:tcPr>
            <w:tcW w:w="5760" w:type="dxa"/>
          </w:tcPr>
          <w:p w14:paraId="1F4FD5AB" w14:textId="05FD11B3" w:rsidR="00D65D56" w:rsidRPr="006A4559" w:rsidRDefault="00796487"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Regulator-to-regulator checks on the overseas regulated entities.</w:t>
            </w:r>
          </w:p>
          <w:p w14:paraId="589CAD5C" w14:textId="3C94086B" w:rsidR="004F0604" w:rsidRPr="006A4559" w:rsidRDefault="004F0604"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Participation on Supervisory Colleges for Group affiliated regulated entities.</w:t>
            </w:r>
          </w:p>
          <w:p w14:paraId="32834764" w14:textId="650EDC38" w:rsidR="00796487" w:rsidRPr="006A4559" w:rsidRDefault="00796487"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Approval of every material business transaction</w:t>
            </w:r>
            <w:r w:rsidR="003E045D" w:rsidRPr="006A4559">
              <w:rPr>
                <w:rFonts w:ascii="Verdana" w:hAnsi="Verdana"/>
                <w:sz w:val="20"/>
                <w:szCs w:val="20"/>
              </w:rPr>
              <w:t>.</w:t>
            </w:r>
          </w:p>
          <w:p w14:paraId="0623411D" w14:textId="1A2FC840" w:rsidR="00E91B38" w:rsidRPr="006A4559" w:rsidRDefault="00E91B38"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 xml:space="preserve">Review of the insurers’ annual audited financial statements and management letter. </w:t>
            </w:r>
          </w:p>
          <w:p w14:paraId="5D5422B9" w14:textId="18D8D2FC" w:rsidR="00796487" w:rsidRPr="006A4559" w:rsidRDefault="00796487"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 xml:space="preserve">Whistle-blower obligations placed on </w:t>
            </w:r>
            <w:r w:rsidR="00D34AF8" w:rsidRPr="006A4559">
              <w:rPr>
                <w:rFonts w:ascii="Verdana" w:hAnsi="Verdana"/>
                <w:sz w:val="20"/>
                <w:szCs w:val="20"/>
              </w:rPr>
              <w:t>A</w:t>
            </w:r>
            <w:r w:rsidRPr="006A4559">
              <w:rPr>
                <w:rFonts w:ascii="Verdana" w:hAnsi="Verdana"/>
                <w:sz w:val="20"/>
                <w:szCs w:val="20"/>
              </w:rPr>
              <w:t>uditors</w:t>
            </w:r>
            <w:r w:rsidR="003E045D" w:rsidRPr="006A4559">
              <w:rPr>
                <w:rFonts w:ascii="Verdana" w:hAnsi="Verdana"/>
                <w:sz w:val="20"/>
                <w:szCs w:val="20"/>
              </w:rPr>
              <w:t>.</w:t>
            </w:r>
          </w:p>
          <w:p w14:paraId="0D3B598E" w14:textId="10EDF719" w:rsidR="0024760A" w:rsidRPr="006A4559" w:rsidRDefault="0024760A"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Risk rating of all insurers and risk-based offsite and onsite supervision</w:t>
            </w:r>
            <w:r w:rsidR="003E045D" w:rsidRPr="006A4559">
              <w:rPr>
                <w:rFonts w:ascii="Verdana" w:hAnsi="Verdana"/>
                <w:sz w:val="20"/>
                <w:szCs w:val="20"/>
              </w:rPr>
              <w:t>.</w:t>
            </w:r>
          </w:p>
        </w:tc>
      </w:tr>
      <w:tr w:rsidR="00D65D56" w:rsidRPr="00961C28" w14:paraId="4DFC1F80" w14:textId="77777777" w:rsidTr="002A1CDA">
        <w:tc>
          <w:tcPr>
            <w:tcW w:w="3150" w:type="dxa"/>
          </w:tcPr>
          <w:p w14:paraId="1CC389D1" w14:textId="77777777" w:rsidR="00D65D56" w:rsidRPr="006A4559" w:rsidRDefault="00D65D56" w:rsidP="002A1CDA">
            <w:pPr>
              <w:jc w:val="both"/>
              <w:rPr>
                <w:rFonts w:ascii="Verdana" w:hAnsi="Verdana"/>
                <w:sz w:val="20"/>
                <w:szCs w:val="20"/>
              </w:rPr>
            </w:pPr>
            <w:r w:rsidRPr="006A4559">
              <w:rPr>
                <w:rFonts w:ascii="Verdana" w:hAnsi="Verdana"/>
                <w:sz w:val="20"/>
                <w:szCs w:val="20"/>
              </w:rPr>
              <w:t>International insurers with no physical presence in the Cayman Islands.</w:t>
            </w:r>
          </w:p>
        </w:tc>
        <w:tc>
          <w:tcPr>
            <w:tcW w:w="5760" w:type="dxa"/>
          </w:tcPr>
          <w:p w14:paraId="1045C25F" w14:textId="5122BACE" w:rsidR="003011E4" w:rsidRPr="006A4559" w:rsidRDefault="003011E4"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Maintaining the Cayman’s supervisory framework in line with the I</w:t>
            </w:r>
            <w:r w:rsidR="004F0604" w:rsidRPr="006A4559">
              <w:rPr>
                <w:rFonts w:ascii="Verdana" w:hAnsi="Verdana"/>
                <w:sz w:val="20"/>
                <w:szCs w:val="20"/>
              </w:rPr>
              <w:t>nternational Association of Insurance Supervisors</w:t>
            </w:r>
            <w:r w:rsidR="004E3061" w:rsidRPr="006A4559">
              <w:rPr>
                <w:rFonts w:ascii="Verdana" w:hAnsi="Verdana"/>
                <w:sz w:val="20"/>
                <w:szCs w:val="20"/>
              </w:rPr>
              <w:t>’ (“IAIS”)</w:t>
            </w:r>
            <w:r w:rsidRPr="006A4559">
              <w:rPr>
                <w:rFonts w:ascii="Verdana" w:hAnsi="Verdana"/>
                <w:sz w:val="20"/>
                <w:szCs w:val="20"/>
              </w:rPr>
              <w:t>’ international standards pertaining to insurers with no physical presence in the jurisdiction.</w:t>
            </w:r>
          </w:p>
          <w:p w14:paraId="34E3E946" w14:textId="3C653F96" w:rsidR="00D65D56" w:rsidRPr="006A4559" w:rsidRDefault="00796487"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Board of directors are approved by the Authority and held responsible and accountable for the</w:t>
            </w:r>
            <w:r w:rsidR="004E3061" w:rsidRPr="006A4559">
              <w:rPr>
                <w:rFonts w:ascii="Verdana" w:hAnsi="Verdana"/>
                <w:sz w:val="20"/>
                <w:szCs w:val="20"/>
              </w:rPr>
              <w:t xml:space="preserve"> regulated entities</w:t>
            </w:r>
            <w:r w:rsidRPr="006A4559">
              <w:rPr>
                <w:rFonts w:ascii="Verdana" w:hAnsi="Verdana"/>
                <w:sz w:val="20"/>
                <w:szCs w:val="20"/>
              </w:rPr>
              <w:t xml:space="preserve"> business activities.</w:t>
            </w:r>
          </w:p>
          <w:p w14:paraId="3913F71F" w14:textId="142D2518" w:rsidR="00796487" w:rsidRPr="006A4559" w:rsidRDefault="00796487"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Whistle-blower obligations placed on Insurance Managers</w:t>
            </w:r>
            <w:r w:rsidR="003E045D" w:rsidRPr="006A4559">
              <w:rPr>
                <w:rFonts w:ascii="Verdana" w:hAnsi="Verdana"/>
                <w:sz w:val="20"/>
                <w:szCs w:val="20"/>
              </w:rPr>
              <w:t>.</w:t>
            </w:r>
          </w:p>
        </w:tc>
      </w:tr>
      <w:tr w:rsidR="00D65D56" w:rsidRPr="00236997" w14:paraId="55D58BEE" w14:textId="77777777" w:rsidTr="002A1CDA">
        <w:tc>
          <w:tcPr>
            <w:tcW w:w="3150" w:type="dxa"/>
          </w:tcPr>
          <w:p w14:paraId="5C515707" w14:textId="77777777" w:rsidR="00D65D56" w:rsidRPr="006A4559" w:rsidRDefault="00D65D56" w:rsidP="002A1CDA">
            <w:pPr>
              <w:jc w:val="both"/>
              <w:rPr>
                <w:rFonts w:ascii="Verdana" w:hAnsi="Verdana"/>
                <w:sz w:val="20"/>
                <w:szCs w:val="20"/>
              </w:rPr>
            </w:pPr>
            <w:r w:rsidRPr="006A4559">
              <w:rPr>
                <w:rFonts w:ascii="Verdana" w:hAnsi="Verdana"/>
                <w:sz w:val="20"/>
                <w:szCs w:val="20"/>
              </w:rPr>
              <w:t>International insurers operating as commercial insurance companies engaged in life insurance business with no business relationships established on a face-to-face basis.</w:t>
            </w:r>
          </w:p>
        </w:tc>
        <w:tc>
          <w:tcPr>
            <w:tcW w:w="5760" w:type="dxa"/>
          </w:tcPr>
          <w:p w14:paraId="238C2782" w14:textId="77777777" w:rsidR="00D65D56" w:rsidRPr="006A4559" w:rsidRDefault="003E045D" w:rsidP="002A1CDA">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A separate ML/TF risk rating and a risk-based AML/CFT supervisory framework.</w:t>
            </w:r>
            <w:r w:rsidR="00D65D56" w:rsidRPr="006A4559">
              <w:rPr>
                <w:rFonts w:ascii="Verdana" w:hAnsi="Verdana"/>
                <w:sz w:val="20"/>
                <w:szCs w:val="20"/>
              </w:rPr>
              <w:t xml:space="preserve"> </w:t>
            </w:r>
          </w:p>
          <w:p w14:paraId="72197620" w14:textId="134533AA" w:rsidR="00F121A6" w:rsidRPr="006A4559" w:rsidRDefault="00F121A6" w:rsidP="00F121A6">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Requirement to engage only regulated intermediaries</w:t>
            </w:r>
            <w:r w:rsidR="00832750" w:rsidRPr="006A4559">
              <w:rPr>
                <w:rFonts w:ascii="Verdana" w:hAnsi="Verdana"/>
                <w:sz w:val="20"/>
                <w:szCs w:val="20"/>
              </w:rPr>
              <w:t>.</w:t>
            </w:r>
          </w:p>
        </w:tc>
      </w:tr>
      <w:tr w:rsidR="00D65D56" w:rsidRPr="008C5E0D" w14:paraId="5AEE545D" w14:textId="77777777" w:rsidTr="002A1CDA">
        <w:tc>
          <w:tcPr>
            <w:tcW w:w="3150" w:type="dxa"/>
          </w:tcPr>
          <w:p w14:paraId="7C660F49" w14:textId="77777777" w:rsidR="00D65D56" w:rsidRPr="006A4559" w:rsidRDefault="00D65D56" w:rsidP="002A1CDA">
            <w:pPr>
              <w:jc w:val="both"/>
              <w:rPr>
                <w:rFonts w:ascii="Verdana" w:hAnsi="Verdana"/>
                <w:sz w:val="20"/>
                <w:szCs w:val="20"/>
              </w:rPr>
            </w:pPr>
            <w:r w:rsidRPr="006A4559">
              <w:rPr>
                <w:rFonts w:ascii="Verdana" w:hAnsi="Verdana"/>
                <w:sz w:val="20"/>
                <w:szCs w:val="20"/>
              </w:rPr>
              <w:t>Institutional fund (Mutual funds, Hedge funds and Private Equity funds) investments in (re)insurance</w:t>
            </w:r>
          </w:p>
        </w:tc>
        <w:tc>
          <w:tcPr>
            <w:tcW w:w="5760" w:type="dxa"/>
          </w:tcPr>
          <w:p w14:paraId="35D22BFD" w14:textId="7335090C" w:rsidR="008E6ABA" w:rsidRPr="006A4559" w:rsidRDefault="008E6ABA" w:rsidP="00A05941">
            <w:pPr>
              <w:pStyle w:val="ListParagraph"/>
              <w:numPr>
                <w:ilvl w:val="0"/>
                <w:numId w:val="18"/>
              </w:numPr>
              <w:ind w:left="166" w:right="105" w:hanging="166"/>
              <w:jc w:val="both"/>
              <w:rPr>
                <w:rFonts w:ascii="Verdana" w:hAnsi="Verdana"/>
                <w:sz w:val="20"/>
                <w:szCs w:val="20"/>
              </w:rPr>
            </w:pPr>
            <w:r w:rsidRPr="006A4559">
              <w:rPr>
                <w:rFonts w:ascii="Verdana" w:hAnsi="Verdana"/>
                <w:sz w:val="20"/>
                <w:szCs w:val="20"/>
              </w:rPr>
              <w:t>Approval of the immediate and ultimate shareholders and UBOs of insurance and intermediaries.</w:t>
            </w:r>
          </w:p>
        </w:tc>
      </w:tr>
    </w:tbl>
    <w:p w14:paraId="104E46CC" w14:textId="63348F4E" w:rsidR="00377F16" w:rsidRDefault="00377F16" w:rsidP="00771AEA">
      <w:pPr>
        <w:jc w:val="both"/>
        <w:rPr>
          <w:rFonts w:ascii="Verdana" w:hAnsi="Verdana"/>
          <w:b/>
          <w:color w:val="0070C0"/>
          <w:sz w:val="24"/>
          <w:szCs w:val="24"/>
        </w:rPr>
      </w:pPr>
    </w:p>
    <w:p w14:paraId="46C5C251" w14:textId="04E51C30" w:rsidR="00771AEA" w:rsidRDefault="007B2DD5" w:rsidP="00771AEA">
      <w:pPr>
        <w:pStyle w:val="ListParagraph"/>
        <w:numPr>
          <w:ilvl w:val="0"/>
          <w:numId w:val="17"/>
        </w:numPr>
        <w:ind w:left="450"/>
        <w:jc w:val="both"/>
        <w:rPr>
          <w:rFonts w:ascii="Verdana" w:hAnsi="Verdana"/>
          <w:sz w:val="20"/>
          <w:szCs w:val="20"/>
        </w:rPr>
      </w:pPr>
      <w:r>
        <w:rPr>
          <w:rFonts w:ascii="Verdana" w:hAnsi="Verdana"/>
          <w:sz w:val="20"/>
          <w:szCs w:val="20"/>
        </w:rPr>
        <w:t>A survey was conducted in December 2019 to reassess the ML/TF exposure of the insurance sector in the Cayman Islands</w:t>
      </w:r>
      <w:r w:rsidR="00BC6326">
        <w:rPr>
          <w:rFonts w:ascii="Verdana" w:hAnsi="Verdana"/>
          <w:sz w:val="20"/>
          <w:szCs w:val="20"/>
        </w:rPr>
        <w:t xml:space="preserve">, </w:t>
      </w:r>
      <w:r w:rsidR="00E501F8">
        <w:rPr>
          <w:rFonts w:ascii="Verdana" w:hAnsi="Verdana"/>
          <w:sz w:val="20"/>
          <w:szCs w:val="20"/>
        </w:rPr>
        <w:t>excluding I</w:t>
      </w:r>
      <w:r w:rsidR="00BC6326">
        <w:rPr>
          <w:rFonts w:ascii="Verdana" w:hAnsi="Verdana"/>
          <w:sz w:val="20"/>
          <w:szCs w:val="20"/>
        </w:rPr>
        <w:t xml:space="preserve">nsurance Agents, as </w:t>
      </w:r>
      <w:r w:rsidR="00E501F8">
        <w:rPr>
          <w:rFonts w:ascii="Verdana" w:hAnsi="Verdana"/>
          <w:sz w:val="20"/>
          <w:szCs w:val="20"/>
        </w:rPr>
        <w:t>representatives</w:t>
      </w:r>
      <w:r w:rsidR="00BC6326">
        <w:rPr>
          <w:rFonts w:ascii="Verdana" w:hAnsi="Verdana"/>
          <w:sz w:val="20"/>
          <w:szCs w:val="20"/>
        </w:rPr>
        <w:t xml:space="preserve"> of the Domestic</w:t>
      </w:r>
      <w:r w:rsidR="00E501F8">
        <w:rPr>
          <w:rFonts w:ascii="Verdana" w:hAnsi="Verdana"/>
          <w:sz w:val="20"/>
          <w:szCs w:val="20"/>
        </w:rPr>
        <w:t xml:space="preserve"> insurance sector – predominately Class A insurer’s, </w:t>
      </w:r>
      <w:r w:rsidR="002C5359">
        <w:rPr>
          <w:rFonts w:ascii="Verdana" w:hAnsi="Verdana"/>
          <w:sz w:val="20"/>
          <w:szCs w:val="20"/>
        </w:rPr>
        <w:t>this information was gathered directly from the Domestic insurance sector</w:t>
      </w:r>
      <w:r>
        <w:rPr>
          <w:rFonts w:ascii="Verdana" w:hAnsi="Verdana"/>
          <w:sz w:val="20"/>
          <w:szCs w:val="20"/>
        </w:rPr>
        <w:t>.</w:t>
      </w:r>
      <w:r w:rsidR="003B0850">
        <w:rPr>
          <w:rFonts w:ascii="Verdana" w:hAnsi="Verdana"/>
          <w:sz w:val="20"/>
          <w:szCs w:val="20"/>
        </w:rPr>
        <w:t xml:space="preserve"> Over 90% of the targeted licensees</w:t>
      </w:r>
      <w:r w:rsidR="002C5359">
        <w:rPr>
          <w:rFonts w:ascii="Verdana" w:hAnsi="Verdana"/>
          <w:sz w:val="20"/>
          <w:szCs w:val="20"/>
        </w:rPr>
        <w:t xml:space="preserve"> </w:t>
      </w:r>
      <w:r w:rsidR="003B0850">
        <w:rPr>
          <w:rFonts w:ascii="Verdana" w:hAnsi="Verdana"/>
          <w:sz w:val="20"/>
          <w:szCs w:val="20"/>
        </w:rPr>
        <w:t xml:space="preserve">responded to the survey with their data for the period 1 October 2018 and 30 September 2019. </w:t>
      </w:r>
      <w:r w:rsidR="00E41694">
        <w:rPr>
          <w:rFonts w:ascii="Verdana" w:hAnsi="Verdana"/>
          <w:sz w:val="20"/>
          <w:szCs w:val="20"/>
        </w:rPr>
        <w:t xml:space="preserve">The survey results reconfirmed the </w:t>
      </w:r>
      <w:r w:rsidR="00257540">
        <w:rPr>
          <w:rFonts w:ascii="Verdana" w:hAnsi="Verdana"/>
          <w:sz w:val="20"/>
          <w:szCs w:val="20"/>
        </w:rPr>
        <w:t xml:space="preserve">insurance sector’s </w:t>
      </w:r>
      <w:r w:rsidR="009B4CA1">
        <w:rPr>
          <w:rFonts w:ascii="Verdana" w:hAnsi="Verdana"/>
          <w:sz w:val="20"/>
          <w:szCs w:val="20"/>
        </w:rPr>
        <w:t xml:space="preserve">already known ML/TF </w:t>
      </w:r>
      <w:r w:rsidR="00257540">
        <w:rPr>
          <w:rFonts w:ascii="Verdana" w:hAnsi="Verdana"/>
          <w:sz w:val="20"/>
          <w:szCs w:val="20"/>
        </w:rPr>
        <w:t xml:space="preserve">inherent </w:t>
      </w:r>
      <w:r w:rsidR="009B4CA1">
        <w:rPr>
          <w:rFonts w:ascii="Verdana" w:hAnsi="Verdana"/>
          <w:sz w:val="20"/>
          <w:szCs w:val="20"/>
        </w:rPr>
        <w:t xml:space="preserve">risks. </w:t>
      </w:r>
    </w:p>
    <w:p w14:paraId="726AA0C3" w14:textId="7FA65B96" w:rsidR="00771AEA" w:rsidRDefault="00771AEA" w:rsidP="00771AEA">
      <w:pPr>
        <w:jc w:val="both"/>
        <w:rPr>
          <w:rFonts w:ascii="Verdana" w:hAnsi="Verdana"/>
          <w:b/>
          <w:color w:val="0070C0"/>
          <w:sz w:val="24"/>
          <w:szCs w:val="24"/>
        </w:rPr>
      </w:pPr>
    </w:p>
    <w:p w14:paraId="2C148859" w14:textId="77777777" w:rsidR="00771AEA" w:rsidRPr="00771AEA" w:rsidRDefault="00771AEA" w:rsidP="00771AEA">
      <w:pPr>
        <w:jc w:val="both"/>
        <w:rPr>
          <w:rFonts w:ascii="Verdana" w:hAnsi="Verdana"/>
          <w:b/>
          <w:color w:val="0070C0"/>
          <w:sz w:val="24"/>
          <w:szCs w:val="24"/>
        </w:rPr>
      </w:pPr>
    </w:p>
    <w:p w14:paraId="107A8179" w14:textId="77777777" w:rsidR="00771AEA" w:rsidRDefault="00771AEA">
      <w:pPr>
        <w:rPr>
          <w:rFonts w:ascii="Verdana" w:hAnsi="Verdana"/>
          <w:b/>
          <w:color w:val="0070C0"/>
          <w:sz w:val="24"/>
          <w:szCs w:val="24"/>
        </w:rPr>
      </w:pPr>
      <w:r>
        <w:rPr>
          <w:rFonts w:ascii="Verdana" w:hAnsi="Verdana"/>
          <w:b/>
          <w:color w:val="0070C0"/>
          <w:sz w:val="24"/>
          <w:szCs w:val="24"/>
        </w:rPr>
        <w:br w:type="page"/>
      </w:r>
    </w:p>
    <w:p w14:paraId="19E36CC5" w14:textId="2ABF85BE" w:rsidR="008426E4" w:rsidRPr="0081219F" w:rsidRDefault="001E040B" w:rsidP="0081219F">
      <w:pPr>
        <w:jc w:val="both"/>
        <w:rPr>
          <w:rFonts w:ascii="Verdana" w:hAnsi="Verdana"/>
          <w:b/>
          <w:color w:val="0070C0"/>
          <w:sz w:val="24"/>
          <w:szCs w:val="24"/>
        </w:rPr>
      </w:pPr>
      <w:r>
        <w:rPr>
          <w:rFonts w:ascii="Verdana" w:hAnsi="Verdana"/>
          <w:b/>
          <w:color w:val="0070C0"/>
          <w:sz w:val="24"/>
          <w:szCs w:val="24"/>
        </w:rPr>
        <w:lastRenderedPageBreak/>
        <w:t xml:space="preserve">2. </w:t>
      </w:r>
      <w:r w:rsidR="00E27EA4" w:rsidRPr="0081219F">
        <w:rPr>
          <w:rFonts w:ascii="Verdana" w:hAnsi="Verdana"/>
          <w:b/>
          <w:color w:val="0070C0"/>
          <w:sz w:val="24"/>
          <w:szCs w:val="24"/>
        </w:rPr>
        <w:t>INTRODUCTION</w:t>
      </w:r>
    </w:p>
    <w:p w14:paraId="44D079C3" w14:textId="3428C914" w:rsidR="00B2226D" w:rsidRPr="00D4370B" w:rsidRDefault="001E040B" w:rsidP="008426E4">
      <w:pPr>
        <w:jc w:val="both"/>
        <w:rPr>
          <w:rFonts w:ascii="Verdana" w:hAnsi="Verdana"/>
          <w:b/>
          <w:sz w:val="24"/>
          <w:szCs w:val="24"/>
        </w:rPr>
      </w:pPr>
      <w:r>
        <w:rPr>
          <w:rFonts w:ascii="Verdana" w:hAnsi="Verdana"/>
          <w:b/>
          <w:sz w:val="24"/>
          <w:szCs w:val="24"/>
        </w:rPr>
        <w:t xml:space="preserve">2.1 </w:t>
      </w:r>
      <w:r w:rsidR="00F32621" w:rsidRPr="00D4370B">
        <w:rPr>
          <w:rFonts w:ascii="Verdana" w:hAnsi="Verdana"/>
          <w:b/>
          <w:sz w:val="24"/>
          <w:szCs w:val="24"/>
        </w:rPr>
        <w:t xml:space="preserve">Description of the Insurance </w:t>
      </w:r>
      <w:r w:rsidR="00B2226D" w:rsidRPr="00D4370B">
        <w:rPr>
          <w:rFonts w:ascii="Verdana" w:hAnsi="Verdana"/>
          <w:b/>
          <w:sz w:val="24"/>
          <w:szCs w:val="24"/>
        </w:rPr>
        <w:t>Sector</w:t>
      </w:r>
      <w:r w:rsidR="00497BC6" w:rsidRPr="00D4370B">
        <w:rPr>
          <w:rFonts w:ascii="Verdana" w:hAnsi="Verdana"/>
          <w:b/>
          <w:sz w:val="24"/>
          <w:szCs w:val="24"/>
        </w:rPr>
        <w:t xml:space="preserve"> Licensees</w:t>
      </w:r>
      <w:r w:rsidR="00B2226D" w:rsidRPr="00D4370B">
        <w:rPr>
          <w:rFonts w:ascii="Verdana" w:hAnsi="Verdana"/>
          <w:b/>
          <w:sz w:val="24"/>
          <w:szCs w:val="24"/>
        </w:rPr>
        <w:t xml:space="preserve"> </w:t>
      </w:r>
    </w:p>
    <w:p w14:paraId="3F8B79DE" w14:textId="66F77AF8" w:rsidR="0032040A" w:rsidRPr="00D4370B" w:rsidRDefault="008426E4" w:rsidP="008426E4">
      <w:pPr>
        <w:jc w:val="both"/>
        <w:rPr>
          <w:rFonts w:ascii="Verdana" w:hAnsi="Verdana"/>
          <w:sz w:val="20"/>
          <w:szCs w:val="20"/>
        </w:rPr>
      </w:pPr>
      <w:r w:rsidRPr="00D4370B">
        <w:rPr>
          <w:rFonts w:ascii="Verdana" w:hAnsi="Verdana"/>
          <w:sz w:val="20"/>
          <w:szCs w:val="20"/>
        </w:rPr>
        <w:t xml:space="preserve">The Cayman Islands insurance sector has two distinct parts – domestic insurance </w:t>
      </w:r>
      <w:r w:rsidR="00F32621" w:rsidRPr="00D4370B">
        <w:rPr>
          <w:rFonts w:ascii="Verdana" w:hAnsi="Verdana"/>
          <w:sz w:val="20"/>
          <w:szCs w:val="20"/>
        </w:rPr>
        <w:t xml:space="preserve">sector </w:t>
      </w:r>
      <w:r w:rsidRPr="00D4370B">
        <w:rPr>
          <w:rFonts w:ascii="Verdana" w:hAnsi="Verdana"/>
          <w:sz w:val="20"/>
          <w:szCs w:val="20"/>
        </w:rPr>
        <w:t>and international insurance. The domestic insurance sector comprises of 2</w:t>
      </w:r>
      <w:r w:rsidR="007A158B" w:rsidRPr="00D4370B">
        <w:rPr>
          <w:rFonts w:ascii="Verdana" w:hAnsi="Verdana"/>
          <w:sz w:val="20"/>
          <w:szCs w:val="20"/>
        </w:rPr>
        <w:t>6</w:t>
      </w:r>
      <w:r w:rsidRPr="00D4370B">
        <w:rPr>
          <w:rFonts w:ascii="Verdana" w:hAnsi="Verdana"/>
          <w:sz w:val="20"/>
          <w:szCs w:val="20"/>
        </w:rPr>
        <w:t xml:space="preserve"> insurance companies offering life, general and health insurance to Cayman residents and businesses</w:t>
      </w:r>
      <w:r w:rsidR="00086998" w:rsidRPr="00D4370B">
        <w:rPr>
          <w:rFonts w:ascii="Verdana" w:hAnsi="Verdana"/>
          <w:sz w:val="20"/>
          <w:szCs w:val="20"/>
        </w:rPr>
        <w:t xml:space="preserve"> (categorized as class A insurers)</w:t>
      </w:r>
      <w:r w:rsidRPr="00D4370B">
        <w:rPr>
          <w:rFonts w:ascii="Verdana" w:hAnsi="Verdana"/>
          <w:sz w:val="20"/>
          <w:szCs w:val="20"/>
        </w:rPr>
        <w:t xml:space="preserve">. This sector is supported by </w:t>
      </w:r>
      <w:r w:rsidR="0032040A" w:rsidRPr="00D4370B">
        <w:rPr>
          <w:rFonts w:ascii="Verdana" w:hAnsi="Verdana"/>
          <w:sz w:val="20"/>
          <w:szCs w:val="20"/>
        </w:rPr>
        <w:t>23</w:t>
      </w:r>
      <w:r w:rsidRPr="00D4370B">
        <w:rPr>
          <w:rFonts w:ascii="Verdana" w:hAnsi="Verdana"/>
          <w:sz w:val="20"/>
          <w:szCs w:val="20"/>
        </w:rPr>
        <w:t xml:space="preserve"> </w:t>
      </w:r>
      <w:r w:rsidR="00260FE7" w:rsidRPr="00D4370B">
        <w:rPr>
          <w:rFonts w:ascii="Verdana" w:hAnsi="Verdana"/>
          <w:sz w:val="20"/>
          <w:szCs w:val="20"/>
        </w:rPr>
        <w:t xml:space="preserve">licensed </w:t>
      </w:r>
      <w:r w:rsidRPr="00D4370B">
        <w:rPr>
          <w:rFonts w:ascii="Verdana" w:hAnsi="Verdana"/>
          <w:sz w:val="20"/>
          <w:szCs w:val="20"/>
        </w:rPr>
        <w:t xml:space="preserve">Insurance Brokers, ranging from brokers offering </w:t>
      </w:r>
      <w:r w:rsidR="004C1E54" w:rsidRPr="00D4370B">
        <w:rPr>
          <w:rFonts w:ascii="Verdana" w:hAnsi="Verdana"/>
          <w:sz w:val="20"/>
          <w:szCs w:val="20"/>
        </w:rPr>
        <w:t xml:space="preserve">products to </w:t>
      </w:r>
      <w:r w:rsidRPr="00D4370B">
        <w:rPr>
          <w:rFonts w:ascii="Verdana" w:hAnsi="Verdana"/>
          <w:sz w:val="20"/>
          <w:szCs w:val="20"/>
        </w:rPr>
        <w:t xml:space="preserve">retail </w:t>
      </w:r>
      <w:r w:rsidR="004C1E54" w:rsidRPr="00D4370B">
        <w:rPr>
          <w:rFonts w:ascii="Verdana" w:hAnsi="Verdana"/>
          <w:sz w:val="20"/>
          <w:szCs w:val="20"/>
        </w:rPr>
        <w:t xml:space="preserve">customers </w:t>
      </w:r>
      <w:r w:rsidRPr="00D4370B">
        <w:rPr>
          <w:rFonts w:ascii="Verdana" w:hAnsi="Verdana"/>
          <w:sz w:val="20"/>
          <w:szCs w:val="20"/>
        </w:rPr>
        <w:t xml:space="preserve">to </w:t>
      </w:r>
      <w:r w:rsidR="004C1E54" w:rsidRPr="00D4370B">
        <w:rPr>
          <w:rFonts w:ascii="Verdana" w:hAnsi="Verdana"/>
          <w:sz w:val="20"/>
          <w:szCs w:val="20"/>
        </w:rPr>
        <w:t xml:space="preserve">those </w:t>
      </w:r>
      <w:r w:rsidR="0032040A" w:rsidRPr="00D4370B">
        <w:rPr>
          <w:rFonts w:ascii="Verdana" w:hAnsi="Verdana"/>
          <w:sz w:val="20"/>
          <w:szCs w:val="20"/>
        </w:rPr>
        <w:t xml:space="preserve">offering risk management and insurance solutions to </w:t>
      </w:r>
      <w:r w:rsidRPr="00D4370B">
        <w:rPr>
          <w:rFonts w:ascii="Verdana" w:hAnsi="Verdana"/>
          <w:sz w:val="20"/>
          <w:szCs w:val="20"/>
        </w:rPr>
        <w:t xml:space="preserve">large and sophisticated </w:t>
      </w:r>
      <w:r w:rsidR="0032040A" w:rsidRPr="00D4370B">
        <w:rPr>
          <w:rFonts w:ascii="Verdana" w:hAnsi="Verdana"/>
          <w:sz w:val="20"/>
          <w:szCs w:val="20"/>
        </w:rPr>
        <w:t>clients</w:t>
      </w:r>
      <w:r w:rsidRPr="00D4370B">
        <w:rPr>
          <w:rFonts w:ascii="Verdana" w:hAnsi="Verdana"/>
          <w:sz w:val="20"/>
          <w:szCs w:val="20"/>
        </w:rPr>
        <w:t>.</w:t>
      </w:r>
      <w:r w:rsidR="0032040A" w:rsidRPr="00D4370B">
        <w:rPr>
          <w:rFonts w:ascii="Verdana" w:hAnsi="Verdana"/>
          <w:sz w:val="20"/>
          <w:szCs w:val="20"/>
        </w:rPr>
        <w:t xml:space="preserve"> I</w:t>
      </w:r>
      <w:r w:rsidRPr="00D4370B">
        <w:rPr>
          <w:rFonts w:ascii="Verdana" w:hAnsi="Verdana"/>
          <w:sz w:val="20"/>
          <w:szCs w:val="20"/>
        </w:rPr>
        <w:t>n addition, 4</w:t>
      </w:r>
      <w:r w:rsidR="0032040A" w:rsidRPr="00D4370B">
        <w:rPr>
          <w:rFonts w:ascii="Verdana" w:hAnsi="Verdana"/>
          <w:sz w:val="20"/>
          <w:szCs w:val="20"/>
        </w:rPr>
        <w:t>4</w:t>
      </w:r>
      <w:r w:rsidRPr="00D4370B">
        <w:rPr>
          <w:rFonts w:ascii="Verdana" w:hAnsi="Verdana"/>
          <w:sz w:val="20"/>
          <w:szCs w:val="20"/>
        </w:rPr>
        <w:t xml:space="preserve"> </w:t>
      </w:r>
      <w:r w:rsidR="00260FE7" w:rsidRPr="00D4370B">
        <w:rPr>
          <w:rFonts w:ascii="Verdana" w:hAnsi="Verdana"/>
          <w:sz w:val="20"/>
          <w:szCs w:val="20"/>
        </w:rPr>
        <w:t xml:space="preserve">licensed </w:t>
      </w:r>
      <w:r w:rsidRPr="00D4370B">
        <w:rPr>
          <w:rFonts w:ascii="Verdana" w:hAnsi="Verdana"/>
          <w:sz w:val="20"/>
          <w:szCs w:val="20"/>
        </w:rPr>
        <w:t xml:space="preserve">Insurance Agents </w:t>
      </w:r>
      <w:r w:rsidR="002D5077" w:rsidRPr="00D4370B">
        <w:rPr>
          <w:rFonts w:ascii="Verdana" w:hAnsi="Verdana"/>
          <w:sz w:val="20"/>
          <w:szCs w:val="20"/>
        </w:rPr>
        <w:t xml:space="preserve">solicit insurance </w:t>
      </w:r>
      <w:r w:rsidRPr="00D4370B">
        <w:rPr>
          <w:rFonts w:ascii="Verdana" w:hAnsi="Verdana"/>
          <w:sz w:val="20"/>
          <w:szCs w:val="20"/>
        </w:rPr>
        <w:t xml:space="preserve">products </w:t>
      </w:r>
      <w:r w:rsidR="002D5077" w:rsidRPr="00D4370B">
        <w:rPr>
          <w:rFonts w:ascii="Verdana" w:hAnsi="Verdana"/>
          <w:sz w:val="20"/>
          <w:szCs w:val="20"/>
        </w:rPr>
        <w:t xml:space="preserve">in the </w:t>
      </w:r>
      <w:r w:rsidR="0032040A" w:rsidRPr="00D4370B">
        <w:rPr>
          <w:rFonts w:ascii="Verdana" w:hAnsi="Verdana"/>
          <w:sz w:val="20"/>
          <w:szCs w:val="20"/>
        </w:rPr>
        <w:t xml:space="preserve">domestic </w:t>
      </w:r>
      <w:r w:rsidR="002D5077" w:rsidRPr="00D4370B">
        <w:rPr>
          <w:rFonts w:ascii="Verdana" w:hAnsi="Verdana"/>
          <w:sz w:val="20"/>
          <w:szCs w:val="20"/>
        </w:rPr>
        <w:t xml:space="preserve">market. </w:t>
      </w:r>
      <w:r w:rsidR="0032040A" w:rsidRPr="00D4370B">
        <w:rPr>
          <w:rFonts w:ascii="Verdana" w:hAnsi="Verdana"/>
          <w:sz w:val="20"/>
          <w:szCs w:val="20"/>
        </w:rPr>
        <w:t>Out of the 2</w:t>
      </w:r>
      <w:r w:rsidR="007A158B" w:rsidRPr="00D4370B">
        <w:rPr>
          <w:rFonts w:ascii="Verdana" w:hAnsi="Verdana"/>
          <w:sz w:val="20"/>
          <w:szCs w:val="20"/>
        </w:rPr>
        <w:t>6</w:t>
      </w:r>
      <w:r w:rsidR="0032040A" w:rsidRPr="00D4370B">
        <w:rPr>
          <w:rFonts w:ascii="Verdana" w:hAnsi="Verdana"/>
          <w:sz w:val="20"/>
          <w:szCs w:val="20"/>
        </w:rPr>
        <w:t xml:space="preserve"> </w:t>
      </w:r>
      <w:r w:rsidR="00A6162B" w:rsidRPr="00D4370B">
        <w:rPr>
          <w:rFonts w:ascii="Verdana" w:hAnsi="Verdana"/>
          <w:sz w:val="20"/>
          <w:szCs w:val="20"/>
        </w:rPr>
        <w:t>insurers, 2</w:t>
      </w:r>
      <w:r w:rsidR="0032040A" w:rsidRPr="00D4370B">
        <w:rPr>
          <w:rFonts w:ascii="Verdana" w:hAnsi="Verdana"/>
          <w:sz w:val="20"/>
          <w:szCs w:val="20"/>
        </w:rPr>
        <w:t>1</w:t>
      </w:r>
      <w:r w:rsidR="00A6162B" w:rsidRPr="00D4370B">
        <w:rPr>
          <w:rFonts w:ascii="Verdana" w:hAnsi="Verdana"/>
          <w:sz w:val="20"/>
          <w:szCs w:val="20"/>
        </w:rPr>
        <w:t xml:space="preserve"> companies actively engage</w:t>
      </w:r>
      <w:r w:rsidR="0032040A" w:rsidRPr="00D4370B">
        <w:rPr>
          <w:rFonts w:ascii="Verdana" w:hAnsi="Verdana"/>
          <w:sz w:val="20"/>
          <w:szCs w:val="20"/>
        </w:rPr>
        <w:t>d</w:t>
      </w:r>
      <w:r w:rsidR="00A6162B" w:rsidRPr="00D4370B">
        <w:rPr>
          <w:rFonts w:ascii="Verdana" w:hAnsi="Verdana"/>
          <w:sz w:val="20"/>
          <w:szCs w:val="20"/>
        </w:rPr>
        <w:t xml:space="preserve"> in insurance business</w:t>
      </w:r>
      <w:r w:rsidR="007A158B" w:rsidRPr="00D4370B">
        <w:rPr>
          <w:rFonts w:ascii="Verdana" w:hAnsi="Verdana"/>
          <w:sz w:val="20"/>
          <w:szCs w:val="20"/>
        </w:rPr>
        <w:t xml:space="preserve"> and </w:t>
      </w:r>
      <w:r w:rsidR="004E3061">
        <w:rPr>
          <w:rFonts w:ascii="Verdana" w:hAnsi="Verdana"/>
          <w:sz w:val="20"/>
          <w:szCs w:val="20"/>
        </w:rPr>
        <w:t>5</w:t>
      </w:r>
      <w:r w:rsidR="0032040A" w:rsidRPr="00D4370B">
        <w:rPr>
          <w:rFonts w:ascii="Verdana" w:hAnsi="Verdana"/>
          <w:sz w:val="20"/>
          <w:szCs w:val="20"/>
        </w:rPr>
        <w:t xml:space="preserve"> </w:t>
      </w:r>
      <w:r w:rsidR="007A158B" w:rsidRPr="00D4370B">
        <w:rPr>
          <w:rFonts w:ascii="Verdana" w:hAnsi="Verdana"/>
          <w:sz w:val="20"/>
          <w:szCs w:val="20"/>
        </w:rPr>
        <w:t xml:space="preserve">companies </w:t>
      </w:r>
      <w:r w:rsidR="0032040A" w:rsidRPr="00D4370B">
        <w:rPr>
          <w:rFonts w:ascii="Verdana" w:hAnsi="Verdana"/>
          <w:sz w:val="20"/>
          <w:szCs w:val="20"/>
        </w:rPr>
        <w:t xml:space="preserve">running off their liabilities </w:t>
      </w:r>
      <w:r w:rsidR="007A158B" w:rsidRPr="00D4370B">
        <w:rPr>
          <w:rFonts w:ascii="Verdana" w:hAnsi="Verdana"/>
          <w:sz w:val="20"/>
          <w:szCs w:val="20"/>
        </w:rPr>
        <w:t>with no new business written</w:t>
      </w:r>
      <w:r w:rsidR="0032040A" w:rsidRPr="00D4370B">
        <w:rPr>
          <w:rFonts w:ascii="Verdana" w:hAnsi="Verdana"/>
          <w:sz w:val="20"/>
          <w:szCs w:val="20"/>
        </w:rPr>
        <w:t>.</w:t>
      </w:r>
      <w:r w:rsidR="004E3061">
        <w:rPr>
          <w:rFonts w:ascii="Verdana" w:hAnsi="Verdana"/>
          <w:sz w:val="20"/>
          <w:szCs w:val="20"/>
        </w:rPr>
        <w:t xml:space="preserve"> 9</w:t>
      </w:r>
      <w:r w:rsidR="0032040A" w:rsidRPr="00D4370B">
        <w:rPr>
          <w:rFonts w:ascii="Verdana" w:hAnsi="Verdana"/>
          <w:sz w:val="20"/>
          <w:szCs w:val="20"/>
        </w:rPr>
        <w:t xml:space="preserve"> of the 2</w:t>
      </w:r>
      <w:r w:rsidR="007A158B" w:rsidRPr="00D4370B">
        <w:rPr>
          <w:rFonts w:ascii="Verdana" w:hAnsi="Verdana"/>
          <w:sz w:val="20"/>
          <w:szCs w:val="20"/>
        </w:rPr>
        <w:t>6</w:t>
      </w:r>
      <w:r w:rsidR="0032040A" w:rsidRPr="00D4370B">
        <w:rPr>
          <w:rFonts w:ascii="Verdana" w:hAnsi="Verdana"/>
          <w:sz w:val="20"/>
          <w:szCs w:val="20"/>
        </w:rPr>
        <w:t xml:space="preserve"> insurers were incorporated in the Cayman Islands while 1</w:t>
      </w:r>
      <w:r w:rsidR="007A158B" w:rsidRPr="00D4370B">
        <w:rPr>
          <w:rFonts w:ascii="Verdana" w:hAnsi="Verdana"/>
          <w:sz w:val="20"/>
          <w:szCs w:val="20"/>
        </w:rPr>
        <w:t>7</w:t>
      </w:r>
      <w:r w:rsidR="0032040A" w:rsidRPr="00D4370B">
        <w:rPr>
          <w:rFonts w:ascii="Verdana" w:hAnsi="Verdana"/>
          <w:sz w:val="20"/>
          <w:szCs w:val="20"/>
        </w:rPr>
        <w:t xml:space="preserve"> were registered as branches of foreign insurers regulated by their home supervisor.</w:t>
      </w:r>
    </w:p>
    <w:p w14:paraId="7172A09F" w14:textId="5E45CC47" w:rsidR="00AA025F" w:rsidRPr="00D4370B" w:rsidRDefault="00A8042C" w:rsidP="008426E4">
      <w:pPr>
        <w:jc w:val="both"/>
        <w:rPr>
          <w:rFonts w:ascii="Verdana" w:hAnsi="Verdana"/>
          <w:sz w:val="20"/>
          <w:szCs w:val="20"/>
        </w:rPr>
      </w:pPr>
      <w:r w:rsidRPr="00D4370B">
        <w:rPr>
          <w:rFonts w:ascii="Verdana" w:hAnsi="Verdana"/>
          <w:sz w:val="20"/>
          <w:szCs w:val="20"/>
        </w:rPr>
        <w:t>The i</w:t>
      </w:r>
      <w:r w:rsidR="00AA025F" w:rsidRPr="00D4370B">
        <w:rPr>
          <w:rFonts w:ascii="Verdana" w:hAnsi="Verdana"/>
          <w:sz w:val="20"/>
          <w:szCs w:val="20"/>
        </w:rPr>
        <w:t xml:space="preserve">nternational sector consists of </w:t>
      </w:r>
      <w:r w:rsidR="007E6920" w:rsidRPr="00D4370B">
        <w:rPr>
          <w:rFonts w:ascii="Verdana" w:hAnsi="Verdana"/>
          <w:sz w:val="20"/>
          <w:szCs w:val="20"/>
        </w:rPr>
        <w:t>6</w:t>
      </w:r>
      <w:r w:rsidR="007A158B" w:rsidRPr="00D4370B">
        <w:rPr>
          <w:rFonts w:ascii="Verdana" w:hAnsi="Verdana"/>
          <w:sz w:val="20"/>
          <w:szCs w:val="20"/>
        </w:rPr>
        <w:t>46</w:t>
      </w:r>
      <w:r w:rsidR="00AA025F" w:rsidRPr="00D4370B">
        <w:rPr>
          <w:rFonts w:ascii="Verdana" w:hAnsi="Verdana"/>
          <w:sz w:val="20"/>
          <w:szCs w:val="20"/>
        </w:rPr>
        <w:t xml:space="preserve"> insurance companies </w:t>
      </w:r>
      <w:r w:rsidR="007E6920" w:rsidRPr="00D4370B">
        <w:rPr>
          <w:rFonts w:ascii="Verdana" w:hAnsi="Verdana"/>
          <w:sz w:val="20"/>
          <w:szCs w:val="20"/>
        </w:rPr>
        <w:t>and 24</w:t>
      </w:r>
      <w:r w:rsidR="00AA025F" w:rsidRPr="00D4370B">
        <w:rPr>
          <w:rFonts w:ascii="Verdana" w:hAnsi="Verdana"/>
          <w:sz w:val="20"/>
          <w:szCs w:val="20"/>
        </w:rPr>
        <w:t xml:space="preserve"> </w:t>
      </w:r>
      <w:r w:rsidR="00260FE7" w:rsidRPr="00D4370B">
        <w:rPr>
          <w:rFonts w:ascii="Verdana" w:hAnsi="Verdana"/>
          <w:sz w:val="20"/>
          <w:szCs w:val="20"/>
        </w:rPr>
        <w:t xml:space="preserve">licensed </w:t>
      </w:r>
      <w:r w:rsidR="00AA025F" w:rsidRPr="00D4370B">
        <w:rPr>
          <w:rFonts w:ascii="Verdana" w:hAnsi="Verdana"/>
          <w:sz w:val="20"/>
          <w:szCs w:val="20"/>
        </w:rPr>
        <w:t xml:space="preserve">Insurance Managers. Insurance companies in this sector is made-up of approx. </w:t>
      </w:r>
      <w:r w:rsidR="007E6920" w:rsidRPr="00D4370B">
        <w:rPr>
          <w:rFonts w:ascii="Verdana" w:hAnsi="Verdana"/>
          <w:sz w:val="20"/>
          <w:szCs w:val="20"/>
        </w:rPr>
        <w:t>4</w:t>
      </w:r>
      <w:r w:rsidR="007A158B" w:rsidRPr="00D4370B">
        <w:rPr>
          <w:rFonts w:ascii="Verdana" w:hAnsi="Verdana"/>
          <w:sz w:val="20"/>
          <w:szCs w:val="20"/>
        </w:rPr>
        <w:t>7</w:t>
      </w:r>
      <w:r w:rsidR="00951684" w:rsidRPr="00D4370B">
        <w:rPr>
          <w:rFonts w:ascii="Verdana" w:hAnsi="Verdana"/>
          <w:sz w:val="20"/>
          <w:szCs w:val="20"/>
        </w:rPr>
        <w:t>5</w:t>
      </w:r>
      <w:r w:rsidR="00AA025F" w:rsidRPr="00D4370B">
        <w:rPr>
          <w:rFonts w:ascii="Verdana" w:hAnsi="Verdana"/>
          <w:sz w:val="20"/>
          <w:szCs w:val="20"/>
        </w:rPr>
        <w:t xml:space="preserve"> captive insurers </w:t>
      </w:r>
      <w:r w:rsidR="00282D07" w:rsidRPr="00D4370B">
        <w:rPr>
          <w:rFonts w:ascii="Verdana" w:hAnsi="Verdana"/>
          <w:sz w:val="20"/>
          <w:szCs w:val="20"/>
        </w:rPr>
        <w:t>(</w:t>
      </w:r>
      <w:r w:rsidR="007E6920" w:rsidRPr="00D4370B">
        <w:rPr>
          <w:rFonts w:ascii="Verdana" w:hAnsi="Verdana"/>
          <w:sz w:val="20"/>
          <w:szCs w:val="20"/>
        </w:rPr>
        <w:t xml:space="preserve">categorized as </w:t>
      </w:r>
      <w:r w:rsidR="00282D07" w:rsidRPr="00D4370B">
        <w:rPr>
          <w:rFonts w:ascii="Verdana" w:hAnsi="Verdana"/>
          <w:sz w:val="20"/>
          <w:szCs w:val="20"/>
        </w:rPr>
        <w:t>class B(</w:t>
      </w:r>
      <w:proofErr w:type="spellStart"/>
      <w:r w:rsidR="00282D07" w:rsidRPr="00D4370B">
        <w:rPr>
          <w:rFonts w:ascii="Verdana" w:hAnsi="Verdana"/>
          <w:sz w:val="20"/>
          <w:szCs w:val="20"/>
        </w:rPr>
        <w:t>i</w:t>
      </w:r>
      <w:proofErr w:type="spellEnd"/>
      <w:r w:rsidR="00282D07" w:rsidRPr="00D4370B">
        <w:rPr>
          <w:rFonts w:ascii="Verdana" w:hAnsi="Verdana"/>
          <w:sz w:val="20"/>
          <w:szCs w:val="20"/>
        </w:rPr>
        <w:t>) and B(ii)</w:t>
      </w:r>
      <w:r w:rsidR="007E6920" w:rsidRPr="00D4370B">
        <w:rPr>
          <w:rFonts w:ascii="Verdana" w:hAnsi="Verdana"/>
          <w:sz w:val="20"/>
          <w:szCs w:val="20"/>
        </w:rPr>
        <w:t xml:space="preserve"> insurers</w:t>
      </w:r>
      <w:r w:rsidR="00282D07" w:rsidRPr="00D4370B">
        <w:rPr>
          <w:rFonts w:ascii="Verdana" w:hAnsi="Verdana"/>
          <w:sz w:val="20"/>
          <w:szCs w:val="20"/>
        </w:rPr>
        <w:t xml:space="preserve">) </w:t>
      </w:r>
      <w:r w:rsidR="00AA025F" w:rsidRPr="00D4370B">
        <w:rPr>
          <w:rFonts w:ascii="Verdana" w:hAnsi="Verdana"/>
          <w:sz w:val="20"/>
          <w:szCs w:val="20"/>
        </w:rPr>
        <w:t>providing coverage to its shareholders’ and affiliates’ risks, approx. 1</w:t>
      </w:r>
      <w:r w:rsidR="007A158B" w:rsidRPr="00D4370B">
        <w:rPr>
          <w:rFonts w:ascii="Verdana" w:hAnsi="Verdana"/>
          <w:sz w:val="20"/>
          <w:szCs w:val="20"/>
        </w:rPr>
        <w:t>4</w:t>
      </w:r>
      <w:r w:rsidR="00951684" w:rsidRPr="00D4370B">
        <w:rPr>
          <w:rFonts w:ascii="Verdana" w:hAnsi="Verdana"/>
          <w:sz w:val="20"/>
          <w:szCs w:val="20"/>
        </w:rPr>
        <w:t>3</w:t>
      </w:r>
      <w:r w:rsidR="00AA025F" w:rsidRPr="00D4370B">
        <w:rPr>
          <w:rFonts w:ascii="Verdana" w:hAnsi="Verdana"/>
          <w:sz w:val="20"/>
          <w:szCs w:val="20"/>
        </w:rPr>
        <w:t xml:space="preserve"> insurers </w:t>
      </w:r>
      <w:r w:rsidR="00282D07" w:rsidRPr="00D4370B">
        <w:rPr>
          <w:rFonts w:ascii="Verdana" w:hAnsi="Verdana"/>
          <w:sz w:val="20"/>
          <w:szCs w:val="20"/>
        </w:rPr>
        <w:t>(</w:t>
      </w:r>
      <w:r w:rsidR="007E6920" w:rsidRPr="00D4370B">
        <w:rPr>
          <w:rFonts w:ascii="Verdana" w:hAnsi="Verdana"/>
          <w:sz w:val="20"/>
          <w:szCs w:val="20"/>
        </w:rPr>
        <w:t xml:space="preserve">categorized as </w:t>
      </w:r>
      <w:r w:rsidR="00282D07" w:rsidRPr="00D4370B">
        <w:rPr>
          <w:rFonts w:ascii="Verdana" w:hAnsi="Verdana"/>
          <w:sz w:val="20"/>
          <w:szCs w:val="20"/>
        </w:rPr>
        <w:t>class B(iii)</w:t>
      </w:r>
      <w:r w:rsidR="007E6920" w:rsidRPr="00D4370B">
        <w:rPr>
          <w:rFonts w:ascii="Verdana" w:hAnsi="Verdana"/>
          <w:sz w:val="20"/>
          <w:szCs w:val="20"/>
        </w:rPr>
        <w:t xml:space="preserve"> insurers</w:t>
      </w:r>
      <w:r w:rsidR="00282D07" w:rsidRPr="00D4370B">
        <w:rPr>
          <w:rFonts w:ascii="Verdana" w:hAnsi="Verdana"/>
          <w:sz w:val="20"/>
          <w:szCs w:val="20"/>
        </w:rPr>
        <w:t xml:space="preserve">) </w:t>
      </w:r>
      <w:r w:rsidR="00AA025F" w:rsidRPr="00D4370B">
        <w:rPr>
          <w:rFonts w:ascii="Verdana" w:hAnsi="Verdana"/>
          <w:sz w:val="20"/>
          <w:szCs w:val="20"/>
        </w:rPr>
        <w:t>providing coverage to non-affiliated insureds, 2</w:t>
      </w:r>
      <w:r w:rsidR="007E6920" w:rsidRPr="00D4370B">
        <w:rPr>
          <w:rFonts w:ascii="Verdana" w:hAnsi="Verdana"/>
          <w:sz w:val="20"/>
          <w:szCs w:val="20"/>
        </w:rPr>
        <w:t>3</w:t>
      </w:r>
      <w:r w:rsidR="00AA025F" w:rsidRPr="00D4370B">
        <w:rPr>
          <w:rFonts w:ascii="Verdana" w:hAnsi="Verdana"/>
          <w:sz w:val="20"/>
          <w:szCs w:val="20"/>
        </w:rPr>
        <w:t xml:space="preserve"> </w:t>
      </w:r>
      <w:r w:rsidR="00086998" w:rsidRPr="00D4370B">
        <w:rPr>
          <w:rFonts w:ascii="Verdana" w:hAnsi="Verdana"/>
          <w:sz w:val="20"/>
          <w:szCs w:val="20"/>
        </w:rPr>
        <w:t xml:space="preserve">reinsurers </w:t>
      </w:r>
      <w:r w:rsidR="00AA025F" w:rsidRPr="00D4370B">
        <w:rPr>
          <w:rFonts w:ascii="Verdana" w:hAnsi="Verdana"/>
          <w:sz w:val="20"/>
          <w:szCs w:val="20"/>
        </w:rPr>
        <w:t>engaged in insurance linked securities (ILS) business, largely catastrophe bonds</w:t>
      </w:r>
      <w:r w:rsidR="00086998" w:rsidRPr="00D4370B">
        <w:rPr>
          <w:rFonts w:ascii="Verdana" w:hAnsi="Verdana"/>
          <w:sz w:val="20"/>
          <w:szCs w:val="20"/>
        </w:rPr>
        <w:t xml:space="preserve"> (categorized as class C insurers)</w:t>
      </w:r>
      <w:r w:rsidR="00AA025F" w:rsidRPr="00D4370B">
        <w:rPr>
          <w:rFonts w:ascii="Verdana" w:hAnsi="Verdana"/>
          <w:sz w:val="20"/>
          <w:szCs w:val="20"/>
        </w:rPr>
        <w:t xml:space="preserve">, and </w:t>
      </w:r>
      <w:r w:rsidR="000C1F8F">
        <w:rPr>
          <w:rFonts w:ascii="Verdana" w:hAnsi="Verdana"/>
          <w:sz w:val="20"/>
          <w:szCs w:val="20"/>
        </w:rPr>
        <w:t>5</w:t>
      </w:r>
      <w:r w:rsidR="00086998" w:rsidRPr="00D4370B">
        <w:rPr>
          <w:rFonts w:ascii="Verdana" w:hAnsi="Verdana"/>
          <w:sz w:val="20"/>
          <w:szCs w:val="20"/>
        </w:rPr>
        <w:t xml:space="preserve"> reinsurers </w:t>
      </w:r>
      <w:r w:rsidR="00AA025F" w:rsidRPr="00D4370B">
        <w:rPr>
          <w:rFonts w:ascii="Verdana" w:hAnsi="Verdana"/>
          <w:sz w:val="20"/>
          <w:szCs w:val="20"/>
        </w:rPr>
        <w:t>engage</w:t>
      </w:r>
      <w:r w:rsidR="007A158B" w:rsidRPr="00D4370B">
        <w:rPr>
          <w:rFonts w:ascii="Verdana" w:hAnsi="Verdana"/>
          <w:sz w:val="20"/>
          <w:szCs w:val="20"/>
        </w:rPr>
        <w:t>d</w:t>
      </w:r>
      <w:r w:rsidR="00AA025F" w:rsidRPr="00D4370B">
        <w:rPr>
          <w:rFonts w:ascii="Verdana" w:hAnsi="Verdana"/>
          <w:sz w:val="20"/>
          <w:szCs w:val="20"/>
        </w:rPr>
        <w:t xml:space="preserve"> in open-market reinsurance business</w:t>
      </w:r>
      <w:r w:rsidR="007A158B" w:rsidRPr="00D4370B">
        <w:rPr>
          <w:rFonts w:ascii="Verdana" w:hAnsi="Verdana"/>
          <w:sz w:val="20"/>
          <w:szCs w:val="20"/>
        </w:rPr>
        <w:t xml:space="preserve"> with a class D insurer </w:t>
      </w:r>
      <w:proofErr w:type="spellStart"/>
      <w:r w:rsidR="007A158B" w:rsidRPr="00D4370B">
        <w:rPr>
          <w:rFonts w:ascii="Verdana" w:hAnsi="Verdana"/>
          <w:sz w:val="20"/>
          <w:szCs w:val="20"/>
        </w:rPr>
        <w:t>licence</w:t>
      </w:r>
      <w:proofErr w:type="spellEnd"/>
      <w:r w:rsidR="00C95D91" w:rsidRPr="00D4370B">
        <w:rPr>
          <w:rFonts w:ascii="Verdana" w:hAnsi="Verdana"/>
          <w:sz w:val="20"/>
          <w:szCs w:val="20"/>
        </w:rPr>
        <w:t xml:space="preserve">. Insurance management companies are those incorporated and </w:t>
      </w:r>
      <w:r w:rsidR="007A158B" w:rsidRPr="00D4370B">
        <w:rPr>
          <w:rFonts w:ascii="Verdana" w:hAnsi="Verdana"/>
          <w:sz w:val="20"/>
          <w:szCs w:val="20"/>
        </w:rPr>
        <w:t xml:space="preserve">physically </w:t>
      </w:r>
      <w:r w:rsidR="00C95D91" w:rsidRPr="00D4370B">
        <w:rPr>
          <w:rFonts w:ascii="Verdana" w:hAnsi="Verdana"/>
          <w:sz w:val="20"/>
          <w:szCs w:val="20"/>
        </w:rPr>
        <w:t xml:space="preserve">based in the Cayman Islands providing management services to international insurers </w:t>
      </w:r>
      <w:r w:rsidR="007F4D88" w:rsidRPr="00D4370B">
        <w:rPr>
          <w:rFonts w:ascii="Verdana" w:hAnsi="Verdana"/>
          <w:sz w:val="20"/>
          <w:szCs w:val="20"/>
        </w:rPr>
        <w:t xml:space="preserve">with no </w:t>
      </w:r>
      <w:r w:rsidR="00C95D91" w:rsidRPr="00D4370B">
        <w:rPr>
          <w:rFonts w:ascii="Verdana" w:hAnsi="Verdana"/>
          <w:sz w:val="20"/>
          <w:szCs w:val="20"/>
        </w:rPr>
        <w:t xml:space="preserve">physical presence. Over 95% of the international sector </w:t>
      </w:r>
      <w:r w:rsidR="007A158B" w:rsidRPr="00D4370B">
        <w:rPr>
          <w:rFonts w:ascii="Verdana" w:hAnsi="Verdana"/>
          <w:sz w:val="20"/>
          <w:szCs w:val="20"/>
        </w:rPr>
        <w:t xml:space="preserve">insurers </w:t>
      </w:r>
      <w:r w:rsidR="00C95D91" w:rsidRPr="00D4370B">
        <w:rPr>
          <w:rFonts w:ascii="Verdana" w:hAnsi="Verdana"/>
          <w:sz w:val="20"/>
          <w:szCs w:val="20"/>
        </w:rPr>
        <w:t xml:space="preserve">are managed by an </w:t>
      </w:r>
      <w:r w:rsidR="000C1F8F">
        <w:rPr>
          <w:rFonts w:ascii="Verdana" w:hAnsi="Verdana"/>
          <w:sz w:val="20"/>
          <w:szCs w:val="20"/>
        </w:rPr>
        <w:t>I</w:t>
      </w:r>
      <w:r w:rsidR="00C95D91" w:rsidRPr="00D4370B">
        <w:rPr>
          <w:rFonts w:ascii="Verdana" w:hAnsi="Verdana"/>
          <w:sz w:val="20"/>
          <w:szCs w:val="20"/>
        </w:rPr>
        <w:t xml:space="preserve">nsurance </w:t>
      </w:r>
      <w:r w:rsidR="000C1F8F">
        <w:rPr>
          <w:rFonts w:ascii="Verdana" w:hAnsi="Verdana"/>
          <w:sz w:val="20"/>
          <w:szCs w:val="20"/>
        </w:rPr>
        <w:t>M</w:t>
      </w:r>
      <w:r w:rsidR="00C95D91" w:rsidRPr="00D4370B">
        <w:rPr>
          <w:rFonts w:ascii="Verdana" w:hAnsi="Verdana"/>
          <w:sz w:val="20"/>
          <w:szCs w:val="20"/>
        </w:rPr>
        <w:t>anager.</w:t>
      </w:r>
      <w:r w:rsidRPr="00D4370B">
        <w:rPr>
          <w:rFonts w:ascii="Verdana" w:hAnsi="Verdana"/>
          <w:sz w:val="20"/>
          <w:szCs w:val="20"/>
        </w:rPr>
        <w:t xml:space="preserve"> Management services include providing administrative support and advice on areas such as financial reporting, risk management, compliance etc. together with being the </w:t>
      </w:r>
      <w:r w:rsidR="004953B7" w:rsidRPr="00D4370B">
        <w:rPr>
          <w:rFonts w:ascii="Verdana" w:hAnsi="Verdana"/>
          <w:sz w:val="20"/>
          <w:szCs w:val="20"/>
        </w:rPr>
        <w:t xml:space="preserve">front facing </w:t>
      </w:r>
      <w:r w:rsidRPr="00D4370B">
        <w:rPr>
          <w:rFonts w:ascii="Verdana" w:hAnsi="Verdana"/>
          <w:sz w:val="20"/>
          <w:szCs w:val="20"/>
        </w:rPr>
        <w:t xml:space="preserve">representative between the insurance company and the Authority. </w:t>
      </w:r>
    </w:p>
    <w:p w14:paraId="5588D997" w14:textId="4B5E77BD" w:rsidR="008426E4" w:rsidRDefault="00994638" w:rsidP="008426E4">
      <w:pPr>
        <w:jc w:val="both"/>
        <w:rPr>
          <w:rFonts w:ascii="Verdana" w:hAnsi="Verdana"/>
          <w:sz w:val="20"/>
          <w:szCs w:val="20"/>
        </w:rPr>
      </w:pPr>
      <w:r w:rsidRPr="00D4370B">
        <w:rPr>
          <w:rFonts w:ascii="Verdana" w:hAnsi="Verdana"/>
          <w:sz w:val="20"/>
          <w:szCs w:val="20"/>
        </w:rPr>
        <w:t xml:space="preserve">It is an offence under the </w:t>
      </w:r>
      <w:r w:rsidR="00A3704F" w:rsidRPr="00D4370B">
        <w:rPr>
          <w:rFonts w:ascii="Verdana" w:hAnsi="Verdana"/>
          <w:sz w:val="20"/>
          <w:szCs w:val="20"/>
        </w:rPr>
        <w:t xml:space="preserve">laws in the Cayman Islands to </w:t>
      </w:r>
      <w:r w:rsidRPr="00D4370B">
        <w:rPr>
          <w:rFonts w:ascii="Verdana" w:hAnsi="Verdana"/>
          <w:sz w:val="20"/>
          <w:szCs w:val="20"/>
        </w:rPr>
        <w:t xml:space="preserve">carry on insurance business either as an insurer or </w:t>
      </w:r>
      <w:r w:rsidR="007F4D88" w:rsidRPr="00D4370B">
        <w:rPr>
          <w:rFonts w:ascii="Verdana" w:hAnsi="Verdana"/>
          <w:sz w:val="20"/>
          <w:szCs w:val="20"/>
        </w:rPr>
        <w:t xml:space="preserve">insurance </w:t>
      </w:r>
      <w:r w:rsidRPr="00D4370B">
        <w:rPr>
          <w:rFonts w:ascii="Verdana" w:hAnsi="Verdana"/>
          <w:sz w:val="20"/>
          <w:szCs w:val="20"/>
        </w:rPr>
        <w:t xml:space="preserve">intermediary </w:t>
      </w:r>
      <w:r w:rsidR="00A3704F" w:rsidRPr="00D4370B">
        <w:rPr>
          <w:rFonts w:ascii="Verdana" w:hAnsi="Verdana"/>
          <w:sz w:val="20"/>
          <w:szCs w:val="20"/>
        </w:rPr>
        <w:t xml:space="preserve">without </w:t>
      </w:r>
      <w:r w:rsidRPr="00D4370B">
        <w:rPr>
          <w:rFonts w:ascii="Verdana" w:hAnsi="Verdana"/>
          <w:sz w:val="20"/>
          <w:szCs w:val="20"/>
        </w:rPr>
        <w:t xml:space="preserve">a valid </w:t>
      </w:r>
      <w:proofErr w:type="spellStart"/>
      <w:r w:rsidRPr="00D4370B">
        <w:rPr>
          <w:rFonts w:ascii="Verdana" w:hAnsi="Verdana"/>
          <w:sz w:val="20"/>
          <w:szCs w:val="20"/>
        </w:rPr>
        <w:t>licence</w:t>
      </w:r>
      <w:proofErr w:type="spellEnd"/>
      <w:r w:rsidRPr="00D4370B">
        <w:rPr>
          <w:rFonts w:ascii="Verdana" w:hAnsi="Verdana"/>
          <w:sz w:val="20"/>
          <w:szCs w:val="20"/>
        </w:rPr>
        <w:t xml:space="preserve"> issued for that purpose by </w:t>
      </w:r>
      <w:r w:rsidR="00A3704F" w:rsidRPr="00D4370B">
        <w:rPr>
          <w:rFonts w:ascii="Verdana" w:hAnsi="Verdana"/>
          <w:sz w:val="20"/>
          <w:szCs w:val="20"/>
        </w:rPr>
        <w:t>the Authority</w:t>
      </w:r>
      <w:r w:rsidRPr="00D4370B">
        <w:rPr>
          <w:rFonts w:ascii="Verdana" w:hAnsi="Verdana"/>
          <w:sz w:val="20"/>
          <w:szCs w:val="20"/>
        </w:rPr>
        <w:t xml:space="preserve">. </w:t>
      </w:r>
    </w:p>
    <w:p w14:paraId="02247285" w14:textId="2468C3EF" w:rsidR="006B3682" w:rsidRDefault="006B3682" w:rsidP="008426E4">
      <w:pPr>
        <w:jc w:val="both"/>
        <w:rPr>
          <w:rFonts w:ascii="Verdana" w:hAnsi="Verdana"/>
          <w:sz w:val="20"/>
          <w:szCs w:val="20"/>
        </w:rPr>
      </w:pPr>
      <w:r w:rsidRPr="00E27EA4">
        <w:rPr>
          <w:rFonts w:ascii="Verdana" w:hAnsi="Verdana"/>
          <w:sz w:val="20"/>
          <w:szCs w:val="20"/>
        </w:rPr>
        <w:t xml:space="preserve">All </w:t>
      </w:r>
      <w:r>
        <w:rPr>
          <w:rFonts w:ascii="Verdana" w:hAnsi="Verdana"/>
          <w:sz w:val="20"/>
          <w:szCs w:val="20"/>
        </w:rPr>
        <w:t xml:space="preserve">domestic </w:t>
      </w:r>
      <w:r w:rsidRPr="00E27EA4">
        <w:rPr>
          <w:rFonts w:ascii="Verdana" w:hAnsi="Verdana"/>
          <w:sz w:val="20"/>
          <w:szCs w:val="20"/>
        </w:rPr>
        <w:t>insur</w:t>
      </w:r>
      <w:r>
        <w:rPr>
          <w:rFonts w:ascii="Verdana" w:hAnsi="Verdana"/>
          <w:sz w:val="20"/>
          <w:szCs w:val="20"/>
        </w:rPr>
        <w:t xml:space="preserve">er </w:t>
      </w:r>
      <w:r w:rsidRPr="00E27EA4">
        <w:rPr>
          <w:rFonts w:ascii="Verdana" w:hAnsi="Verdana"/>
          <w:sz w:val="20"/>
          <w:szCs w:val="20"/>
        </w:rPr>
        <w:t>licensees not physically located in the Cayman Islands must appoint an</w:t>
      </w:r>
      <w:r>
        <w:rPr>
          <w:rFonts w:ascii="Verdana" w:hAnsi="Verdana"/>
          <w:sz w:val="20"/>
          <w:szCs w:val="20"/>
        </w:rPr>
        <w:t xml:space="preserve"> </w:t>
      </w:r>
      <w:r w:rsidR="000C1F8F">
        <w:rPr>
          <w:rFonts w:ascii="Verdana" w:hAnsi="Verdana"/>
          <w:sz w:val="20"/>
          <w:szCs w:val="20"/>
        </w:rPr>
        <w:t>I</w:t>
      </w:r>
      <w:r>
        <w:rPr>
          <w:rFonts w:ascii="Verdana" w:hAnsi="Verdana"/>
          <w:sz w:val="20"/>
          <w:szCs w:val="20"/>
        </w:rPr>
        <w:t xml:space="preserve">nsurance </w:t>
      </w:r>
      <w:r w:rsidR="000C1F8F">
        <w:rPr>
          <w:rFonts w:ascii="Verdana" w:hAnsi="Verdana"/>
          <w:sz w:val="20"/>
          <w:szCs w:val="20"/>
        </w:rPr>
        <w:t>B</w:t>
      </w:r>
      <w:r>
        <w:rPr>
          <w:rFonts w:ascii="Verdana" w:hAnsi="Verdana"/>
          <w:sz w:val="20"/>
          <w:szCs w:val="20"/>
        </w:rPr>
        <w:t xml:space="preserve">roker or an agency to represent them and maintain their books and records in the Cayman Islands. Similarly, all international insurers with no physical presence on Island must appoint an </w:t>
      </w:r>
      <w:r w:rsidR="000C1F8F">
        <w:rPr>
          <w:rFonts w:ascii="Verdana" w:hAnsi="Verdana"/>
          <w:sz w:val="20"/>
          <w:szCs w:val="20"/>
        </w:rPr>
        <w:t>I</w:t>
      </w:r>
      <w:r>
        <w:rPr>
          <w:rFonts w:ascii="Verdana" w:hAnsi="Verdana"/>
          <w:sz w:val="20"/>
          <w:szCs w:val="20"/>
        </w:rPr>
        <w:t xml:space="preserve">nsurance </w:t>
      </w:r>
      <w:r w:rsidR="000C1F8F">
        <w:rPr>
          <w:rFonts w:ascii="Verdana" w:hAnsi="Verdana"/>
          <w:sz w:val="20"/>
          <w:szCs w:val="20"/>
        </w:rPr>
        <w:t>M</w:t>
      </w:r>
      <w:r>
        <w:rPr>
          <w:rFonts w:ascii="Verdana" w:hAnsi="Verdana"/>
          <w:sz w:val="20"/>
          <w:szCs w:val="20"/>
        </w:rPr>
        <w:t xml:space="preserve">anager to manage them and maintain their books and records. </w:t>
      </w:r>
      <w:r w:rsidRPr="00E27EA4">
        <w:rPr>
          <w:rFonts w:ascii="Verdana" w:hAnsi="Verdana"/>
          <w:sz w:val="20"/>
          <w:szCs w:val="20"/>
        </w:rPr>
        <w:t xml:space="preserve">Insurance </w:t>
      </w:r>
      <w:r>
        <w:rPr>
          <w:rFonts w:ascii="Verdana" w:hAnsi="Verdana"/>
          <w:sz w:val="20"/>
          <w:szCs w:val="20"/>
        </w:rPr>
        <w:t xml:space="preserve">Brokers, Insurance Agencies and Insurance </w:t>
      </w:r>
      <w:r w:rsidRPr="00E27EA4">
        <w:rPr>
          <w:rFonts w:ascii="Verdana" w:hAnsi="Verdana"/>
          <w:sz w:val="20"/>
          <w:szCs w:val="20"/>
        </w:rPr>
        <w:t>Managers are domiciled and physically located in the Cayman Islands</w:t>
      </w:r>
      <w:r>
        <w:rPr>
          <w:rFonts w:ascii="Verdana" w:hAnsi="Verdana"/>
          <w:sz w:val="20"/>
          <w:szCs w:val="20"/>
        </w:rPr>
        <w:t>. They are also licensed and are required to be in compliant with the Insurance Law and other relevant laws and regulations</w:t>
      </w:r>
      <w:r w:rsidRPr="00E27EA4">
        <w:rPr>
          <w:rFonts w:ascii="Verdana" w:hAnsi="Verdana"/>
          <w:sz w:val="20"/>
          <w:szCs w:val="20"/>
        </w:rPr>
        <w:t xml:space="preserve">, including the </w:t>
      </w:r>
      <w:r>
        <w:rPr>
          <w:rFonts w:ascii="Verdana" w:hAnsi="Verdana"/>
          <w:sz w:val="20"/>
          <w:szCs w:val="20"/>
        </w:rPr>
        <w:t>Anti</w:t>
      </w:r>
      <w:r w:rsidR="00B44641">
        <w:rPr>
          <w:rFonts w:ascii="Verdana" w:hAnsi="Verdana"/>
          <w:sz w:val="20"/>
          <w:szCs w:val="20"/>
        </w:rPr>
        <w:t>-</w:t>
      </w:r>
      <w:r>
        <w:rPr>
          <w:rFonts w:ascii="Verdana" w:hAnsi="Verdana"/>
          <w:sz w:val="20"/>
          <w:szCs w:val="20"/>
        </w:rPr>
        <w:t>Money Laundering Regulations</w:t>
      </w:r>
      <w:r w:rsidRPr="00E27EA4">
        <w:rPr>
          <w:rFonts w:ascii="Verdana" w:hAnsi="Verdana"/>
          <w:sz w:val="20"/>
          <w:szCs w:val="20"/>
        </w:rPr>
        <w:t>.</w:t>
      </w:r>
    </w:p>
    <w:p w14:paraId="6FC21E4D" w14:textId="77777777" w:rsidR="006B3682" w:rsidRPr="00D4370B" w:rsidRDefault="006B3682" w:rsidP="008426E4">
      <w:pPr>
        <w:jc w:val="both"/>
        <w:rPr>
          <w:rFonts w:ascii="Verdana" w:hAnsi="Verdana"/>
          <w:sz w:val="20"/>
          <w:szCs w:val="20"/>
        </w:rPr>
      </w:pPr>
    </w:p>
    <w:p w14:paraId="3E43D27C" w14:textId="77777777" w:rsidR="00B44641" w:rsidRDefault="00B44641" w:rsidP="00C70336">
      <w:pPr>
        <w:jc w:val="both"/>
        <w:rPr>
          <w:rFonts w:ascii="Verdana" w:hAnsi="Verdana"/>
          <w:b/>
          <w:bCs/>
          <w:sz w:val="16"/>
          <w:szCs w:val="16"/>
        </w:rPr>
      </w:pPr>
    </w:p>
    <w:p w14:paraId="42A234DD" w14:textId="77777777" w:rsidR="00B44641" w:rsidRDefault="00B44641" w:rsidP="00C70336">
      <w:pPr>
        <w:jc w:val="both"/>
        <w:rPr>
          <w:rFonts w:ascii="Verdana" w:hAnsi="Verdana"/>
          <w:b/>
          <w:bCs/>
          <w:sz w:val="16"/>
          <w:szCs w:val="16"/>
        </w:rPr>
      </w:pPr>
    </w:p>
    <w:p w14:paraId="28E0E57E" w14:textId="77777777" w:rsidR="00B44641" w:rsidRDefault="00B44641" w:rsidP="00C70336">
      <w:pPr>
        <w:jc w:val="both"/>
        <w:rPr>
          <w:rFonts w:ascii="Verdana" w:hAnsi="Verdana"/>
          <w:b/>
          <w:bCs/>
          <w:sz w:val="16"/>
          <w:szCs w:val="16"/>
        </w:rPr>
      </w:pPr>
    </w:p>
    <w:p w14:paraId="24A83C06" w14:textId="77777777" w:rsidR="00B44641" w:rsidRDefault="00B44641" w:rsidP="00C70336">
      <w:pPr>
        <w:jc w:val="both"/>
        <w:rPr>
          <w:rFonts w:ascii="Verdana" w:hAnsi="Verdana"/>
          <w:b/>
          <w:bCs/>
          <w:sz w:val="16"/>
          <w:szCs w:val="16"/>
        </w:rPr>
      </w:pPr>
    </w:p>
    <w:p w14:paraId="3DCC8128" w14:textId="56D0D5D5" w:rsidR="00C70336" w:rsidRPr="000E250C" w:rsidRDefault="00C70336" w:rsidP="00C70336">
      <w:pPr>
        <w:jc w:val="both"/>
        <w:rPr>
          <w:b/>
          <w:bCs/>
          <w:sz w:val="16"/>
          <w:szCs w:val="16"/>
        </w:rPr>
      </w:pPr>
      <w:r w:rsidRPr="000E250C">
        <w:rPr>
          <w:rFonts w:ascii="Verdana" w:hAnsi="Verdana"/>
          <w:b/>
          <w:bCs/>
          <w:sz w:val="16"/>
          <w:szCs w:val="16"/>
        </w:rPr>
        <w:t>Table 1: Total Number of Insurance Related Licensees</w:t>
      </w:r>
      <w:r w:rsidR="00242731" w:rsidRPr="000E250C">
        <w:rPr>
          <w:rFonts w:ascii="Verdana" w:hAnsi="Verdana"/>
          <w:b/>
          <w:bCs/>
          <w:sz w:val="16"/>
          <w:szCs w:val="16"/>
        </w:rPr>
        <w:t xml:space="preserve"> (at 31 December 2019)</w:t>
      </w:r>
      <w:r w:rsidRPr="000E250C">
        <w:rPr>
          <w:rFonts w:ascii="Verdana" w:hAnsi="Verdana"/>
          <w:b/>
          <w:bCs/>
          <w:sz w:val="16"/>
          <w:szCs w:val="16"/>
        </w:rPr>
        <w:t xml:space="preserve"> </w:t>
      </w:r>
    </w:p>
    <w:tbl>
      <w:tblPr>
        <w:tblStyle w:val="TableGrid"/>
        <w:tblW w:w="9355" w:type="dxa"/>
        <w:tblLook w:val="04A0" w:firstRow="1" w:lastRow="0" w:firstColumn="1" w:lastColumn="0" w:noHBand="0" w:noVBand="1"/>
      </w:tblPr>
      <w:tblGrid>
        <w:gridCol w:w="2155"/>
        <w:gridCol w:w="6088"/>
        <w:gridCol w:w="1112"/>
      </w:tblGrid>
      <w:tr w:rsidR="00C70336" w14:paraId="37A5D140" w14:textId="77777777" w:rsidTr="006A4559">
        <w:tc>
          <w:tcPr>
            <w:tcW w:w="2155" w:type="dxa"/>
            <w:shd w:val="clear" w:color="auto" w:fill="DBE5F1" w:themeFill="accent1" w:themeFillTint="33"/>
          </w:tcPr>
          <w:p w14:paraId="6983C10F" w14:textId="1F419C16" w:rsidR="00C70336" w:rsidRPr="006A4559" w:rsidRDefault="00C70336" w:rsidP="00D4370B">
            <w:pPr>
              <w:jc w:val="both"/>
              <w:rPr>
                <w:rFonts w:ascii="Verdana" w:hAnsi="Verdana"/>
                <w:b/>
                <w:bCs/>
                <w:sz w:val="20"/>
                <w:szCs w:val="20"/>
              </w:rPr>
            </w:pPr>
            <w:proofErr w:type="spellStart"/>
            <w:r w:rsidRPr="006A4559">
              <w:rPr>
                <w:rFonts w:ascii="Verdana" w:hAnsi="Verdana"/>
                <w:b/>
                <w:bCs/>
                <w:sz w:val="20"/>
                <w:szCs w:val="20"/>
              </w:rPr>
              <w:t>Licence</w:t>
            </w:r>
            <w:proofErr w:type="spellEnd"/>
            <w:r w:rsidRPr="006A4559">
              <w:rPr>
                <w:rFonts w:ascii="Verdana" w:hAnsi="Verdana"/>
                <w:b/>
                <w:bCs/>
                <w:sz w:val="20"/>
                <w:szCs w:val="20"/>
              </w:rPr>
              <w:t xml:space="preserve"> Category</w:t>
            </w:r>
          </w:p>
        </w:tc>
        <w:tc>
          <w:tcPr>
            <w:tcW w:w="6088" w:type="dxa"/>
            <w:shd w:val="clear" w:color="auto" w:fill="DBE5F1" w:themeFill="accent1" w:themeFillTint="33"/>
          </w:tcPr>
          <w:p w14:paraId="7E923B01" w14:textId="57EF6FC9" w:rsidR="00C70336" w:rsidRPr="006A4559" w:rsidRDefault="00951684" w:rsidP="00951684">
            <w:pPr>
              <w:jc w:val="center"/>
              <w:rPr>
                <w:rFonts w:ascii="Verdana" w:hAnsi="Verdana"/>
                <w:b/>
                <w:bCs/>
                <w:sz w:val="20"/>
                <w:szCs w:val="20"/>
              </w:rPr>
            </w:pPr>
            <w:r w:rsidRPr="006A4559">
              <w:rPr>
                <w:rFonts w:ascii="Verdana" w:hAnsi="Verdana"/>
                <w:b/>
                <w:bCs/>
                <w:sz w:val="20"/>
                <w:szCs w:val="20"/>
              </w:rPr>
              <w:t>Description</w:t>
            </w:r>
          </w:p>
        </w:tc>
        <w:tc>
          <w:tcPr>
            <w:tcW w:w="1112" w:type="dxa"/>
            <w:shd w:val="clear" w:color="auto" w:fill="DBE5F1" w:themeFill="accent1" w:themeFillTint="33"/>
          </w:tcPr>
          <w:p w14:paraId="4AEE9E68" w14:textId="1B023CB7" w:rsidR="00C70336" w:rsidRPr="006A4559" w:rsidRDefault="00C70336" w:rsidP="00C70336">
            <w:pPr>
              <w:jc w:val="right"/>
              <w:rPr>
                <w:rFonts w:ascii="Verdana" w:hAnsi="Verdana"/>
                <w:b/>
                <w:bCs/>
                <w:sz w:val="20"/>
                <w:szCs w:val="20"/>
              </w:rPr>
            </w:pPr>
            <w:r w:rsidRPr="006A4559">
              <w:rPr>
                <w:rFonts w:ascii="Verdana" w:hAnsi="Verdana"/>
                <w:b/>
                <w:bCs/>
                <w:sz w:val="20"/>
                <w:szCs w:val="20"/>
              </w:rPr>
              <w:t>Number</w:t>
            </w:r>
          </w:p>
        </w:tc>
      </w:tr>
      <w:tr w:rsidR="00C70336" w14:paraId="735FEA93" w14:textId="77777777" w:rsidTr="006A4559">
        <w:tc>
          <w:tcPr>
            <w:tcW w:w="2155" w:type="dxa"/>
          </w:tcPr>
          <w:p w14:paraId="6F5956D2" w14:textId="7FDDEEDD" w:rsidR="00C70336" w:rsidRPr="006A4559" w:rsidRDefault="00C70336" w:rsidP="006A4559">
            <w:pPr>
              <w:rPr>
                <w:rFonts w:ascii="Verdana" w:hAnsi="Verdana"/>
                <w:sz w:val="20"/>
                <w:szCs w:val="20"/>
              </w:rPr>
            </w:pPr>
            <w:r w:rsidRPr="006A4559">
              <w:rPr>
                <w:rFonts w:ascii="Verdana" w:hAnsi="Verdana"/>
                <w:sz w:val="20"/>
                <w:szCs w:val="20"/>
              </w:rPr>
              <w:t>Class ‘A’ insurer</w:t>
            </w:r>
          </w:p>
        </w:tc>
        <w:tc>
          <w:tcPr>
            <w:tcW w:w="6088" w:type="dxa"/>
          </w:tcPr>
          <w:p w14:paraId="51649692" w14:textId="326E4BA0" w:rsidR="00C70336" w:rsidRPr="006A4559" w:rsidRDefault="00951684" w:rsidP="00C70336">
            <w:pPr>
              <w:ind w:right="105"/>
              <w:jc w:val="both"/>
              <w:rPr>
                <w:rFonts w:ascii="Verdana" w:hAnsi="Verdana"/>
                <w:sz w:val="20"/>
                <w:szCs w:val="20"/>
              </w:rPr>
            </w:pPr>
            <w:r w:rsidRPr="006A4559">
              <w:rPr>
                <w:rFonts w:ascii="Verdana" w:hAnsi="Verdana"/>
                <w:sz w:val="20"/>
                <w:szCs w:val="20"/>
              </w:rPr>
              <w:t>Insurer Cayman residents and businesses</w:t>
            </w:r>
          </w:p>
        </w:tc>
        <w:tc>
          <w:tcPr>
            <w:tcW w:w="1112" w:type="dxa"/>
          </w:tcPr>
          <w:p w14:paraId="1AF1489E" w14:textId="74D529C4" w:rsidR="00C70336" w:rsidRPr="006A4559" w:rsidRDefault="00951684" w:rsidP="00D4370B">
            <w:pPr>
              <w:ind w:right="105"/>
              <w:jc w:val="right"/>
              <w:rPr>
                <w:rFonts w:ascii="Verdana" w:hAnsi="Verdana"/>
                <w:sz w:val="20"/>
                <w:szCs w:val="20"/>
              </w:rPr>
            </w:pPr>
            <w:r w:rsidRPr="006A4559">
              <w:rPr>
                <w:rFonts w:ascii="Verdana" w:hAnsi="Verdana"/>
                <w:sz w:val="20"/>
                <w:szCs w:val="20"/>
              </w:rPr>
              <w:t>26</w:t>
            </w:r>
          </w:p>
        </w:tc>
      </w:tr>
      <w:tr w:rsidR="00C70336" w14:paraId="340645E5" w14:textId="77777777" w:rsidTr="006A4559">
        <w:tc>
          <w:tcPr>
            <w:tcW w:w="2155" w:type="dxa"/>
          </w:tcPr>
          <w:p w14:paraId="41B6F0E1" w14:textId="5F39C11A" w:rsidR="00C70336" w:rsidRPr="006A4559" w:rsidRDefault="00C70336" w:rsidP="006A4559">
            <w:pPr>
              <w:rPr>
                <w:rFonts w:ascii="Verdana" w:hAnsi="Verdana"/>
                <w:sz w:val="20"/>
                <w:szCs w:val="20"/>
              </w:rPr>
            </w:pPr>
            <w:r w:rsidRPr="006A4559">
              <w:rPr>
                <w:rFonts w:ascii="Verdana" w:hAnsi="Verdana"/>
                <w:sz w:val="20"/>
                <w:szCs w:val="20"/>
              </w:rPr>
              <w:t>Class B(</w:t>
            </w:r>
            <w:proofErr w:type="spellStart"/>
            <w:r w:rsidRPr="006A4559">
              <w:rPr>
                <w:rFonts w:ascii="Verdana" w:hAnsi="Verdana"/>
                <w:sz w:val="20"/>
                <w:szCs w:val="20"/>
              </w:rPr>
              <w:t>i</w:t>
            </w:r>
            <w:proofErr w:type="spellEnd"/>
            <w:r w:rsidRPr="006A4559">
              <w:rPr>
                <w:rFonts w:ascii="Verdana" w:hAnsi="Verdana"/>
                <w:sz w:val="20"/>
                <w:szCs w:val="20"/>
              </w:rPr>
              <w:t>) insurer</w:t>
            </w:r>
          </w:p>
        </w:tc>
        <w:tc>
          <w:tcPr>
            <w:tcW w:w="6088" w:type="dxa"/>
          </w:tcPr>
          <w:p w14:paraId="2243BBBC" w14:textId="02851373" w:rsidR="00C70336" w:rsidRPr="006A4559" w:rsidRDefault="00951684" w:rsidP="00C70336">
            <w:pPr>
              <w:ind w:right="105"/>
              <w:jc w:val="both"/>
              <w:rPr>
                <w:rFonts w:ascii="Verdana" w:hAnsi="Verdana"/>
                <w:sz w:val="20"/>
                <w:szCs w:val="20"/>
              </w:rPr>
            </w:pPr>
            <w:r w:rsidRPr="006A4559">
              <w:rPr>
                <w:rFonts w:ascii="Verdana" w:hAnsi="Verdana"/>
                <w:sz w:val="20"/>
                <w:szCs w:val="20"/>
              </w:rPr>
              <w:t>Captive insurers with over 95% related business insured</w:t>
            </w:r>
          </w:p>
        </w:tc>
        <w:tc>
          <w:tcPr>
            <w:tcW w:w="1112" w:type="dxa"/>
          </w:tcPr>
          <w:p w14:paraId="1B85E687" w14:textId="0BDAB43F" w:rsidR="00C70336" w:rsidRPr="006A4559" w:rsidRDefault="00951684" w:rsidP="00D4370B">
            <w:pPr>
              <w:ind w:right="105"/>
              <w:jc w:val="right"/>
              <w:rPr>
                <w:rFonts w:ascii="Verdana" w:hAnsi="Verdana"/>
                <w:sz w:val="20"/>
                <w:szCs w:val="20"/>
              </w:rPr>
            </w:pPr>
            <w:r w:rsidRPr="006A4559">
              <w:rPr>
                <w:rFonts w:ascii="Verdana" w:hAnsi="Verdana"/>
                <w:sz w:val="20"/>
                <w:szCs w:val="20"/>
              </w:rPr>
              <w:t>457</w:t>
            </w:r>
          </w:p>
        </w:tc>
      </w:tr>
      <w:tr w:rsidR="00C70336" w14:paraId="38D6DB93" w14:textId="77777777" w:rsidTr="006A4559">
        <w:tc>
          <w:tcPr>
            <w:tcW w:w="2155" w:type="dxa"/>
          </w:tcPr>
          <w:p w14:paraId="6FB43822" w14:textId="464A5938" w:rsidR="00C70336" w:rsidRPr="006A4559" w:rsidRDefault="00C70336" w:rsidP="006A4559">
            <w:pPr>
              <w:rPr>
                <w:rFonts w:ascii="Verdana" w:hAnsi="Verdana"/>
                <w:sz w:val="20"/>
                <w:szCs w:val="20"/>
              </w:rPr>
            </w:pPr>
            <w:r w:rsidRPr="006A4559">
              <w:rPr>
                <w:rFonts w:ascii="Verdana" w:hAnsi="Verdana"/>
                <w:sz w:val="20"/>
                <w:szCs w:val="20"/>
              </w:rPr>
              <w:t>Class B(ii) insurer</w:t>
            </w:r>
          </w:p>
        </w:tc>
        <w:tc>
          <w:tcPr>
            <w:tcW w:w="6088" w:type="dxa"/>
          </w:tcPr>
          <w:p w14:paraId="6FDA574D" w14:textId="0DBBB4B3" w:rsidR="00C70336" w:rsidRPr="006A4559" w:rsidRDefault="00951684" w:rsidP="00C70336">
            <w:pPr>
              <w:ind w:right="105"/>
              <w:jc w:val="both"/>
              <w:rPr>
                <w:rFonts w:ascii="Verdana" w:hAnsi="Verdana"/>
                <w:sz w:val="20"/>
                <w:szCs w:val="20"/>
              </w:rPr>
            </w:pPr>
            <w:r w:rsidRPr="006A4559">
              <w:rPr>
                <w:rFonts w:ascii="Verdana" w:hAnsi="Verdana"/>
                <w:sz w:val="20"/>
                <w:szCs w:val="20"/>
              </w:rPr>
              <w:t>Captive insurers with over 50% related business insured and some unrelated business</w:t>
            </w:r>
          </w:p>
        </w:tc>
        <w:tc>
          <w:tcPr>
            <w:tcW w:w="1112" w:type="dxa"/>
          </w:tcPr>
          <w:p w14:paraId="265414FE" w14:textId="4EAB975A" w:rsidR="00C70336" w:rsidRPr="006A4559" w:rsidRDefault="00951684" w:rsidP="00C70336">
            <w:pPr>
              <w:ind w:right="105"/>
              <w:jc w:val="right"/>
              <w:rPr>
                <w:rFonts w:ascii="Verdana" w:hAnsi="Verdana"/>
                <w:sz w:val="20"/>
                <w:szCs w:val="20"/>
              </w:rPr>
            </w:pPr>
            <w:r w:rsidRPr="006A4559">
              <w:rPr>
                <w:rFonts w:ascii="Verdana" w:hAnsi="Verdana"/>
                <w:sz w:val="20"/>
                <w:szCs w:val="20"/>
              </w:rPr>
              <w:t>18</w:t>
            </w:r>
          </w:p>
        </w:tc>
      </w:tr>
      <w:tr w:rsidR="00C70336" w14:paraId="0480CF0A" w14:textId="77777777" w:rsidTr="006A4559">
        <w:tc>
          <w:tcPr>
            <w:tcW w:w="2155" w:type="dxa"/>
          </w:tcPr>
          <w:p w14:paraId="25B272F1" w14:textId="156D343B" w:rsidR="00C70336" w:rsidRPr="006A4559" w:rsidRDefault="00C70336" w:rsidP="006A4559">
            <w:pPr>
              <w:rPr>
                <w:rFonts w:ascii="Verdana" w:hAnsi="Verdana"/>
                <w:sz w:val="20"/>
                <w:szCs w:val="20"/>
              </w:rPr>
            </w:pPr>
            <w:r w:rsidRPr="006A4559">
              <w:rPr>
                <w:rFonts w:ascii="Verdana" w:hAnsi="Verdana"/>
                <w:sz w:val="20"/>
                <w:szCs w:val="20"/>
              </w:rPr>
              <w:t>Class B(iii) insurer</w:t>
            </w:r>
          </w:p>
        </w:tc>
        <w:tc>
          <w:tcPr>
            <w:tcW w:w="6088" w:type="dxa"/>
          </w:tcPr>
          <w:p w14:paraId="49F0478A" w14:textId="0C83DB21" w:rsidR="00C70336" w:rsidRPr="006A4559" w:rsidRDefault="00951684" w:rsidP="00C70336">
            <w:pPr>
              <w:ind w:right="105"/>
              <w:jc w:val="both"/>
              <w:rPr>
                <w:rFonts w:ascii="Verdana" w:hAnsi="Verdana"/>
                <w:sz w:val="20"/>
                <w:szCs w:val="20"/>
              </w:rPr>
            </w:pPr>
            <w:r w:rsidRPr="006A4559">
              <w:rPr>
                <w:rFonts w:ascii="Verdana" w:hAnsi="Verdana"/>
                <w:sz w:val="20"/>
                <w:szCs w:val="20"/>
              </w:rPr>
              <w:t>(Re)insurers offering insurance and reinsurance to unrelated parties</w:t>
            </w:r>
          </w:p>
        </w:tc>
        <w:tc>
          <w:tcPr>
            <w:tcW w:w="1112" w:type="dxa"/>
          </w:tcPr>
          <w:p w14:paraId="21F5579F" w14:textId="25C7D549" w:rsidR="00C70336" w:rsidRPr="006A4559" w:rsidRDefault="00951684" w:rsidP="00C70336">
            <w:pPr>
              <w:ind w:right="105"/>
              <w:jc w:val="right"/>
              <w:rPr>
                <w:rFonts w:ascii="Verdana" w:hAnsi="Verdana"/>
                <w:sz w:val="20"/>
                <w:szCs w:val="20"/>
              </w:rPr>
            </w:pPr>
            <w:r w:rsidRPr="006A4559">
              <w:rPr>
                <w:rFonts w:ascii="Verdana" w:hAnsi="Verdana"/>
                <w:sz w:val="20"/>
                <w:szCs w:val="20"/>
              </w:rPr>
              <w:t>143</w:t>
            </w:r>
          </w:p>
        </w:tc>
      </w:tr>
      <w:tr w:rsidR="00C70336" w14:paraId="57DA35BB" w14:textId="77777777" w:rsidTr="006A4559">
        <w:tc>
          <w:tcPr>
            <w:tcW w:w="2155" w:type="dxa"/>
          </w:tcPr>
          <w:p w14:paraId="5C9363DC" w14:textId="3D21AA5F" w:rsidR="00C70336" w:rsidRPr="006A4559" w:rsidRDefault="00C70336" w:rsidP="006A4559">
            <w:pPr>
              <w:rPr>
                <w:rFonts w:ascii="Verdana" w:hAnsi="Verdana"/>
                <w:sz w:val="20"/>
                <w:szCs w:val="20"/>
              </w:rPr>
            </w:pPr>
            <w:r w:rsidRPr="006A4559">
              <w:rPr>
                <w:rFonts w:ascii="Verdana" w:hAnsi="Verdana"/>
                <w:sz w:val="20"/>
                <w:szCs w:val="20"/>
              </w:rPr>
              <w:t>Class C insurer</w:t>
            </w:r>
          </w:p>
        </w:tc>
        <w:tc>
          <w:tcPr>
            <w:tcW w:w="6088" w:type="dxa"/>
          </w:tcPr>
          <w:p w14:paraId="1D6AD5BA" w14:textId="13BC1051" w:rsidR="00C70336" w:rsidRPr="006A4559" w:rsidRDefault="00951684" w:rsidP="00C70336">
            <w:pPr>
              <w:ind w:right="105"/>
              <w:jc w:val="both"/>
              <w:rPr>
                <w:rFonts w:ascii="Verdana" w:hAnsi="Verdana"/>
                <w:sz w:val="20"/>
                <w:szCs w:val="20"/>
              </w:rPr>
            </w:pPr>
            <w:r w:rsidRPr="006A4559">
              <w:rPr>
                <w:rFonts w:ascii="Verdana" w:hAnsi="Verdana"/>
                <w:sz w:val="20"/>
                <w:szCs w:val="20"/>
              </w:rPr>
              <w:t>Reinsurers offering fully collateralized insurance linked securities products</w:t>
            </w:r>
          </w:p>
        </w:tc>
        <w:tc>
          <w:tcPr>
            <w:tcW w:w="1112" w:type="dxa"/>
          </w:tcPr>
          <w:p w14:paraId="2695FC24" w14:textId="14B1DED3" w:rsidR="00C70336" w:rsidRPr="006A4559" w:rsidRDefault="00951684" w:rsidP="00C70336">
            <w:pPr>
              <w:ind w:right="105"/>
              <w:jc w:val="right"/>
              <w:rPr>
                <w:rFonts w:ascii="Verdana" w:hAnsi="Verdana"/>
                <w:sz w:val="20"/>
                <w:szCs w:val="20"/>
              </w:rPr>
            </w:pPr>
            <w:r w:rsidRPr="006A4559">
              <w:rPr>
                <w:rFonts w:ascii="Verdana" w:hAnsi="Verdana"/>
                <w:sz w:val="20"/>
                <w:szCs w:val="20"/>
              </w:rPr>
              <w:t>23</w:t>
            </w:r>
          </w:p>
        </w:tc>
      </w:tr>
      <w:tr w:rsidR="00C70336" w14:paraId="607BE1E1" w14:textId="77777777" w:rsidTr="006A4559">
        <w:tc>
          <w:tcPr>
            <w:tcW w:w="2155" w:type="dxa"/>
          </w:tcPr>
          <w:p w14:paraId="694C3C58" w14:textId="0CF4C438" w:rsidR="00C70336" w:rsidRPr="006A4559" w:rsidRDefault="00C70336" w:rsidP="006A4559">
            <w:pPr>
              <w:rPr>
                <w:rFonts w:ascii="Verdana" w:hAnsi="Verdana"/>
                <w:sz w:val="20"/>
                <w:szCs w:val="20"/>
              </w:rPr>
            </w:pPr>
            <w:r w:rsidRPr="006A4559">
              <w:rPr>
                <w:rFonts w:ascii="Verdana" w:hAnsi="Verdana"/>
                <w:sz w:val="20"/>
                <w:szCs w:val="20"/>
              </w:rPr>
              <w:t>Class D insurer</w:t>
            </w:r>
          </w:p>
        </w:tc>
        <w:tc>
          <w:tcPr>
            <w:tcW w:w="6088" w:type="dxa"/>
          </w:tcPr>
          <w:p w14:paraId="2CB3EE03" w14:textId="7045E250" w:rsidR="00C70336" w:rsidRPr="006A4559" w:rsidRDefault="00951684" w:rsidP="00C70336">
            <w:pPr>
              <w:ind w:right="105"/>
              <w:jc w:val="both"/>
              <w:rPr>
                <w:rFonts w:ascii="Verdana" w:hAnsi="Verdana"/>
                <w:sz w:val="20"/>
                <w:szCs w:val="20"/>
              </w:rPr>
            </w:pPr>
            <w:r w:rsidRPr="006A4559">
              <w:rPr>
                <w:rFonts w:ascii="Verdana" w:hAnsi="Verdana"/>
                <w:sz w:val="20"/>
                <w:szCs w:val="20"/>
              </w:rPr>
              <w:t xml:space="preserve">Open-market reinsurers </w:t>
            </w:r>
            <w:r w:rsidR="00D4370B" w:rsidRPr="006A4559">
              <w:rPr>
                <w:rFonts w:ascii="Verdana" w:hAnsi="Verdana"/>
                <w:sz w:val="20"/>
                <w:szCs w:val="20"/>
              </w:rPr>
              <w:t>with physical presence in the Cayman Islands</w:t>
            </w:r>
          </w:p>
        </w:tc>
        <w:tc>
          <w:tcPr>
            <w:tcW w:w="1112" w:type="dxa"/>
          </w:tcPr>
          <w:p w14:paraId="0DBEAE1A" w14:textId="06BE0B50" w:rsidR="00C70336" w:rsidRPr="006A4559" w:rsidRDefault="00951684" w:rsidP="00C70336">
            <w:pPr>
              <w:ind w:right="105"/>
              <w:jc w:val="right"/>
              <w:rPr>
                <w:rFonts w:ascii="Verdana" w:hAnsi="Verdana"/>
                <w:sz w:val="20"/>
                <w:szCs w:val="20"/>
              </w:rPr>
            </w:pPr>
            <w:r w:rsidRPr="006A4559">
              <w:rPr>
                <w:rFonts w:ascii="Verdana" w:hAnsi="Verdana"/>
                <w:sz w:val="20"/>
                <w:szCs w:val="20"/>
              </w:rPr>
              <w:t>5</w:t>
            </w:r>
          </w:p>
        </w:tc>
      </w:tr>
      <w:tr w:rsidR="00C70336" w14:paraId="3651309D" w14:textId="77777777" w:rsidTr="006A4559">
        <w:tc>
          <w:tcPr>
            <w:tcW w:w="2155" w:type="dxa"/>
          </w:tcPr>
          <w:p w14:paraId="0B95546D" w14:textId="32FC3B76" w:rsidR="00C70336" w:rsidRPr="006A4559" w:rsidRDefault="00C70336" w:rsidP="006A4559">
            <w:pPr>
              <w:rPr>
                <w:rFonts w:ascii="Verdana" w:hAnsi="Verdana"/>
                <w:sz w:val="20"/>
                <w:szCs w:val="20"/>
              </w:rPr>
            </w:pPr>
            <w:r w:rsidRPr="006A4559">
              <w:rPr>
                <w:rFonts w:ascii="Verdana" w:hAnsi="Verdana"/>
                <w:sz w:val="20"/>
                <w:szCs w:val="20"/>
              </w:rPr>
              <w:t>Insurance Broker</w:t>
            </w:r>
          </w:p>
        </w:tc>
        <w:tc>
          <w:tcPr>
            <w:tcW w:w="6088" w:type="dxa"/>
          </w:tcPr>
          <w:p w14:paraId="7AD48B59" w14:textId="76933014" w:rsidR="00C70336" w:rsidRPr="006A4559" w:rsidRDefault="00D4370B" w:rsidP="00C70336">
            <w:pPr>
              <w:ind w:right="105"/>
              <w:jc w:val="both"/>
              <w:rPr>
                <w:rFonts w:ascii="Verdana" w:hAnsi="Verdana"/>
                <w:sz w:val="20"/>
                <w:szCs w:val="20"/>
              </w:rPr>
            </w:pPr>
            <w:r w:rsidRPr="006A4559">
              <w:rPr>
                <w:rFonts w:ascii="Verdana" w:hAnsi="Verdana"/>
                <w:sz w:val="20"/>
                <w:szCs w:val="20"/>
              </w:rPr>
              <w:t>Offer insurance products of class ‘A’ insures in the Cayman Islands. Have physical presence in the Cayman Islands</w:t>
            </w:r>
          </w:p>
        </w:tc>
        <w:tc>
          <w:tcPr>
            <w:tcW w:w="1112" w:type="dxa"/>
          </w:tcPr>
          <w:p w14:paraId="46F2C68C" w14:textId="6D359FCB" w:rsidR="00C70336" w:rsidRPr="006A4559" w:rsidRDefault="00951684" w:rsidP="00D4370B">
            <w:pPr>
              <w:ind w:right="105"/>
              <w:jc w:val="right"/>
              <w:rPr>
                <w:rFonts w:ascii="Verdana" w:hAnsi="Verdana"/>
                <w:sz w:val="20"/>
                <w:szCs w:val="20"/>
              </w:rPr>
            </w:pPr>
            <w:r w:rsidRPr="006A4559">
              <w:rPr>
                <w:rFonts w:ascii="Verdana" w:hAnsi="Verdana"/>
                <w:sz w:val="20"/>
                <w:szCs w:val="20"/>
              </w:rPr>
              <w:t>23</w:t>
            </w:r>
          </w:p>
        </w:tc>
      </w:tr>
      <w:tr w:rsidR="00C70336" w14:paraId="6AC21749" w14:textId="77777777" w:rsidTr="006A4559">
        <w:tc>
          <w:tcPr>
            <w:tcW w:w="2155" w:type="dxa"/>
          </w:tcPr>
          <w:p w14:paraId="63C2D0F2" w14:textId="410A66F7" w:rsidR="00C70336" w:rsidRPr="006A4559" w:rsidRDefault="00C70336" w:rsidP="006A4559">
            <w:pPr>
              <w:rPr>
                <w:rFonts w:ascii="Verdana" w:hAnsi="Verdana"/>
                <w:sz w:val="20"/>
                <w:szCs w:val="20"/>
              </w:rPr>
            </w:pPr>
            <w:r w:rsidRPr="006A4559">
              <w:rPr>
                <w:rFonts w:ascii="Verdana" w:hAnsi="Verdana"/>
                <w:sz w:val="20"/>
                <w:szCs w:val="20"/>
              </w:rPr>
              <w:t>Insurance Agent</w:t>
            </w:r>
          </w:p>
        </w:tc>
        <w:tc>
          <w:tcPr>
            <w:tcW w:w="6088" w:type="dxa"/>
          </w:tcPr>
          <w:p w14:paraId="43D6D2EB" w14:textId="06BDA5F1" w:rsidR="00C70336" w:rsidRPr="006A4559" w:rsidRDefault="00D4370B" w:rsidP="00C70336">
            <w:pPr>
              <w:ind w:right="105"/>
              <w:jc w:val="both"/>
              <w:rPr>
                <w:rFonts w:ascii="Verdana" w:hAnsi="Verdana"/>
                <w:sz w:val="20"/>
                <w:szCs w:val="20"/>
              </w:rPr>
            </w:pPr>
            <w:r w:rsidRPr="006A4559">
              <w:rPr>
                <w:rFonts w:ascii="Verdana" w:hAnsi="Verdana"/>
                <w:sz w:val="20"/>
                <w:szCs w:val="20"/>
              </w:rPr>
              <w:t>Individual agents or corporate agencies offering insurance products of class ‘A’ insurer</w:t>
            </w:r>
          </w:p>
        </w:tc>
        <w:tc>
          <w:tcPr>
            <w:tcW w:w="1112" w:type="dxa"/>
          </w:tcPr>
          <w:p w14:paraId="236656A4" w14:textId="5DB8871A" w:rsidR="00C70336" w:rsidRPr="006A4559" w:rsidRDefault="00951684" w:rsidP="00D4370B">
            <w:pPr>
              <w:ind w:right="105"/>
              <w:jc w:val="right"/>
              <w:rPr>
                <w:rFonts w:ascii="Verdana" w:hAnsi="Verdana"/>
                <w:sz w:val="20"/>
                <w:szCs w:val="20"/>
              </w:rPr>
            </w:pPr>
            <w:r w:rsidRPr="006A4559">
              <w:rPr>
                <w:rFonts w:ascii="Verdana" w:hAnsi="Verdana"/>
                <w:sz w:val="20"/>
                <w:szCs w:val="20"/>
              </w:rPr>
              <w:t>45</w:t>
            </w:r>
          </w:p>
        </w:tc>
      </w:tr>
      <w:tr w:rsidR="00C70336" w:rsidRPr="00C70336" w14:paraId="0BB3350C" w14:textId="77777777" w:rsidTr="006A4559">
        <w:tc>
          <w:tcPr>
            <w:tcW w:w="2155" w:type="dxa"/>
          </w:tcPr>
          <w:p w14:paraId="33042E47" w14:textId="4A74CD91" w:rsidR="00C70336" w:rsidRPr="006A4559" w:rsidRDefault="00C70336" w:rsidP="006A4559">
            <w:pPr>
              <w:rPr>
                <w:rFonts w:ascii="Verdana" w:hAnsi="Verdana"/>
                <w:sz w:val="20"/>
                <w:szCs w:val="20"/>
              </w:rPr>
            </w:pPr>
            <w:r w:rsidRPr="006A4559">
              <w:rPr>
                <w:rFonts w:ascii="Verdana" w:hAnsi="Verdana"/>
                <w:sz w:val="20"/>
                <w:szCs w:val="20"/>
              </w:rPr>
              <w:t>Insurance Manager</w:t>
            </w:r>
          </w:p>
        </w:tc>
        <w:tc>
          <w:tcPr>
            <w:tcW w:w="6088" w:type="dxa"/>
          </w:tcPr>
          <w:p w14:paraId="42701CB4" w14:textId="4317A658" w:rsidR="00C70336" w:rsidRPr="006A4559" w:rsidRDefault="00D4370B" w:rsidP="00D4370B">
            <w:pPr>
              <w:ind w:right="105"/>
              <w:rPr>
                <w:rFonts w:ascii="Verdana" w:hAnsi="Verdana"/>
                <w:sz w:val="20"/>
                <w:szCs w:val="20"/>
              </w:rPr>
            </w:pPr>
            <w:r w:rsidRPr="006A4559">
              <w:rPr>
                <w:rFonts w:ascii="Verdana" w:hAnsi="Verdana"/>
                <w:sz w:val="20"/>
                <w:szCs w:val="20"/>
              </w:rPr>
              <w:t>Manage Class B and C insurers. Have physical presence in the Cayman Islands</w:t>
            </w:r>
          </w:p>
        </w:tc>
        <w:tc>
          <w:tcPr>
            <w:tcW w:w="1112" w:type="dxa"/>
          </w:tcPr>
          <w:p w14:paraId="620A0718" w14:textId="77E03B02" w:rsidR="00C70336" w:rsidRPr="006A4559" w:rsidRDefault="00951684" w:rsidP="00D4370B">
            <w:pPr>
              <w:ind w:right="105"/>
              <w:jc w:val="right"/>
              <w:rPr>
                <w:rFonts w:ascii="Verdana" w:hAnsi="Verdana"/>
                <w:sz w:val="20"/>
                <w:szCs w:val="20"/>
              </w:rPr>
            </w:pPr>
            <w:r w:rsidRPr="006A4559">
              <w:rPr>
                <w:rFonts w:ascii="Verdana" w:hAnsi="Verdana"/>
                <w:sz w:val="20"/>
                <w:szCs w:val="20"/>
              </w:rPr>
              <w:t>24</w:t>
            </w:r>
          </w:p>
        </w:tc>
      </w:tr>
    </w:tbl>
    <w:p w14:paraId="4B20E676" w14:textId="77777777" w:rsidR="00005AA4" w:rsidRDefault="00005AA4" w:rsidP="008426E4">
      <w:pPr>
        <w:jc w:val="both"/>
        <w:rPr>
          <w:rFonts w:ascii="Verdana" w:hAnsi="Verdana"/>
          <w:sz w:val="20"/>
          <w:szCs w:val="20"/>
        </w:rPr>
      </w:pPr>
    </w:p>
    <w:p w14:paraId="7235384F" w14:textId="4011D50F" w:rsidR="004C1E54" w:rsidRPr="00FF543F" w:rsidRDefault="001E040B" w:rsidP="008426E4">
      <w:pPr>
        <w:jc w:val="both"/>
        <w:rPr>
          <w:rFonts w:ascii="Verdana" w:hAnsi="Verdana"/>
          <w:b/>
          <w:sz w:val="24"/>
          <w:szCs w:val="24"/>
        </w:rPr>
      </w:pPr>
      <w:r>
        <w:rPr>
          <w:rFonts w:ascii="Verdana" w:hAnsi="Verdana"/>
          <w:b/>
          <w:sz w:val="24"/>
          <w:szCs w:val="24"/>
        </w:rPr>
        <w:t xml:space="preserve">2.2 </w:t>
      </w:r>
      <w:r w:rsidR="00497BC6" w:rsidRPr="00FF543F">
        <w:rPr>
          <w:rFonts w:ascii="Verdana" w:hAnsi="Verdana"/>
          <w:b/>
          <w:sz w:val="24"/>
          <w:szCs w:val="24"/>
        </w:rPr>
        <w:t xml:space="preserve">Description of the Insurance </w:t>
      </w:r>
      <w:r w:rsidR="00B2226D" w:rsidRPr="00FF543F">
        <w:rPr>
          <w:rFonts w:ascii="Verdana" w:hAnsi="Verdana"/>
          <w:b/>
          <w:sz w:val="24"/>
          <w:szCs w:val="24"/>
        </w:rPr>
        <w:t>Products</w:t>
      </w:r>
    </w:p>
    <w:p w14:paraId="6006093E" w14:textId="2BCB7B98" w:rsidR="005D410A" w:rsidRPr="00FF543F" w:rsidRDefault="009851B1" w:rsidP="005D410A">
      <w:pPr>
        <w:jc w:val="both"/>
        <w:rPr>
          <w:rFonts w:ascii="Verdana" w:hAnsi="Verdana"/>
          <w:b/>
          <w:bCs/>
          <w:sz w:val="20"/>
          <w:szCs w:val="20"/>
        </w:rPr>
      </w:pPr>
      <w:r w:rsidRPr="00FF543F">
        <w:rPr>
          <w:rFonts w:ascii="Verdana" w:hAnsi="Verdana"/>
          <w:sz w:val="20"/>
          <w:szCs w:val="20"/>
        </w:rPr>
        <w:t xml:space="preserve">The chart below depicts the classes of insurance business </w:t>
      </w:r>
      <w:r w:rsidR="00497BC6" w:rsidRPr="00FF543F">
        <w:rPr>
          <w:rFonts w:ascii="Verdana" w:hAnsi="Verdana"/>
          <w:sz w:val="20"/>
          <w:szCs w:val="20"/>
        </w:rPr>
        <w:t xml:space="preserve">the 26 </w:t>
      </w:r>
      <w:r w:rsidRPr="00FF543F">
        <w:rPr>
          <w:rFonts w:ascii="Verdana" w:hAnsi="Verdana"/>
          <w:sz w:val="20"/>
          <w:szCs w:val="20"/>
        </w:rPr>
        <w:t xml:space="preserve">domestic insurance companies are licensed to carry on. </w:t>
      </w:r>
    </w:p>
    <w:p w14:paraId="0AB336E4" w14:textId="6164E19B" w:rsidR="005D410A" w:rsidRPr="000E250C" w:rsidRDefault="005D410A" w:rsidP="005D410A">
      <w:pPr>
        <w:jc w:val="both"/>
        <w:rPr>
          <w:rFonts w:ascii="Verdana" w:hAnsi="Verdana"/>
          <w:b/>
          <w:bCs/>
          <w:sz w:val="16"/>
          <w:szCs w:val="16"/>
        </w:rPr>
      </w:pPr>
      <w:r w:rsidRPr="000E250C">
        <w:rPr>
          <w:rFonts w:ascii="Verdana" w:hAnsi="Verdana"/>
          <w:b/>
          <w:bCs/>
          <w:sz w:val="16"/>
          <w:szCs w:val="16"/>
        </w:rPr>
        <w:t xml:space="preserve">Char 1: Primary Business Class of the Cayman Islands’ International Insurers </w:t>
      </w:r>
    </w:p>
    <w:p w14:paraId="51200148" w14:textId="77777777" w:rsidR="00497BC6" w:rsidRPr="00F32621" w:rsidRDefault="00497BC6" w:rsidP="00497BC6">
      <w:pPr>
        <w:jc w:val="both"/>
        <w:rPr>
          <w:color w:val="00B050"/>
        </w:rPr>
      </w:pPr>
      <w:r w:rsidRPr="00F32621">
        <w:rPr>
          <w:noProof/>
          <w:color w:val="00B050"/>
        </w:rPr>
        <mc:AlternateContent>
          <mc:Choice Requires="wps">
            <w:drawing>
              <wp:anchor distT="0" distB="0" distL="114300" distR="114300" simplePos="0" relativeHeight="251715584" behindDoc="0" locked="0" layoutInCell="1" allowOverlap="1" wp14:anchorId="46ED7218" wp14:editId="1E3ECC13">
                <wp:simplePos x="0" y="0"/>
                <wp:positionH relativeFrom="column">
                  <wp:posOffset>1724025</wp:posOffset>
                </wp:positionH>
                <wp:positionV relativeFrom="paragraph">
                  <wp:posOffset>223784</wp:posOffset>
                </wp:positionV>
                <wp:extent cx="1152525"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noFill/>
                        <a:ln w="9525">
                          <a:noFill/>
                          <a:miter lim="800000"/>
                          <a:headEnd/>
                          <a:tailEnd/>
                        </a:ln>
                      </wps:spPr>
                      <wps:txbx>
                        <w:txbxContent>
                          <w:p w14:paraId="6FA8401F" w14:textId="77777777" w:rsidR="00D95C49" w:rsidRPr="00CA74EB" w:rsidRDefault="00D95C49" w:rsidP="00497BC6">
                            <w:pPr>
                              <w:rPr>
                                <w:color w:val="00B0F0"/>
                                <w:sz w:val="16"/>
                                <w:szCs w:val="16"/>
                              </w:rPr>
                            </w:pPr>
                            <w:r w:rsidRPr="00CA74EB">
                              <w:rPr>
                                <w:color w:val="00B0F0"/>
                                <w:sz w:val="16"/>
                                <w:szCs w:val="16"/>
                              </w:rPr>
                              <w:t>Life Insurance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D7218" id="_x0000_t202" coordsize="21600,21600" o:spt="202" path="m,l,21600r21600,l21600,xe">
                <v:stroke joinstyle="miter"/>
                <v:path gradientshapeok="t" o:connecttype="rect"/>
              </v:shapetype>
              <v:shape id="Text Box 2" o:spid="_x0000_s1026" type="#_x0000_t202" style="position:absolute;left:0;text-align:left;margin-left:135.75pt;margin-top:17.6pt;width:90.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" filled="f" stroked="f">
                <v:textbox>
                  <w:txbxContent>
                    <w:p w14:paraId="6FA8401F" w14:textId="77777777" w:rsidR="00D95C49" w:rsidRPr="00CA74EB" w:rsidRDefault="00D95C49" w:rsidP="00497BC6">
                      <w:pPr>
                        <w:rPr>
                          <w:color w:val="00B0F0"/>
                          <w:sz w:val="16"/>
                          <w:szCs w:val="16"/>
                        </w:rPr>
                      </w:pPr>
                      <w:r w:rsidRPr="00CA74EB">
                        <w:rPr>
                          <w:color w:val="00B0F0"/>
                          <w:sz w:val="16"/>
                          <w:szCs w:val="16"/>
                        </w:rPr>
                        <w:t>Life Insurance business</w:t>
                      </w:r>
                    </w:p>
                  </w:txbxContent>
                </v:textbox>
              </v:shape>
            </w:pict>
          </mc:Fallback>
        </mc:AlternateContent>
      </w:r>
      <w:r w:rsidRPr="00F32621">
        <w:rPr>
          <w:noProof/>
          <w:color w:val="00B050"/>
        </w:rPr>
        <mc:AlternateContent>
          <mc:Choice Requires="wps">
            <w:drawing>
              <wp:anchor distT="0" distB="0" distL="114300" distR="114300" simplePos="0" relativeHeight="251706368" behindDoc="0" locked="0" layoutInCell="1" allowOverlap="1" wp14:anchorId="6A27C812" wp14:editId="13334C35">
                <wp:simplePos x="0" y="0"/>
                <wp:positionH relativeFrom="column">
                  <wp:posOffset>73660</wp:posOffset>
                </wp:positionH>
                <wp:positionV relativeFrom="paragraph">
                  <wp:posOffset>139964</wp:posOffset>
                </wp:positionV>
                <wp:extent cx="800100" cy="695325"/>
                <wp:effectExtent l="0" t="0" r="19050" b="28575"/>
                <wp:wrapNone/>
                <wp:docPr id="4" name="Oval 4"/>
                <wp:cNvGraphicFramePr/>
                <a:graphic xmlns:a="http://schemas.openxmlformats.org/drawingml/2006/main">
                  <a:graphicData uri="http://schemas.microsoft.com/office/word/2010/wordprocessingShape">
                    <wps:wsp>
                      <wps:cNvSpPr/>
                      <wps:spPr>
                        <a:xfrm>
                          <a:off x="0" y="0"/>
                          <a:ext cx="800100" cy="695325"/>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02F864" id="Oval 4" o:spid="_x0000_s1026" style="position:absolute;margin-left:5.8pt;margin-top:11pt;width:63pt;height:54.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" filled="f" strokecolor="#00b0f0" strokeweight="2pt"/>
            </w:pict>
          </mc:Fallback>
        </mc:AlternateContent>
      </w:r>
    </w:p>
    <w:p w14:paraId="53DDFE99" w14:textId="77777777" w:rsidR="00497BC6" w:rsidRPr="00F32621" w:rsidRDefault="00497BC6" w:rsidP="00497BC6">
      <w:pPr>
        <w:jc w:val="both"/>
        <w:rPr>
          <w:color w:val="00B050"/>
        </w:rPr>
      </w:pPr>
      <w:r w:rsidRPr="00F32621">
        <w:rPr>
          <w:noProof/>
          <w:color w:val="00B050"/>
        </w:rPr>
        <mc:AlternateContent>
          <mc:Choice Requires="wps">
            <w:drawing>
              <wp:anchor distT="0" distB="0" distL="114300" distR="114300" simplePos="0" relativeHeight="251714560" behindDoc="0" locked="0" layoutInCell="1" allowOverlap="1" wp14:anchorId="31FF55C9" wp14:editId="2B8AD344">
                <wp:simplePos x="0" y="0"/>
                <wp:positionH relativeFrom="column">
                  <wp:posOffset>865505</wp:posOffset>
                </wp:positionH>
                <wp:positionV relativeFrom="paragraph">
                  <wp:posOffset>4074</wp:posOffset>
                </wp:positionV>
                <wp:extent cx="866775"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flipH="1">
                          <a:off x="0" y="0"/>
                          <a:ext cx="866775" cy="0"/>
                        </a:xfrm>
                        <a:prstGeom prst="straightConnector1">
                          <a:avLst/>
                        </a:prstGeom>
                        <a:ln>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13C1123" id="_x0000_t32" coordsize="21600,21600" o:spt="32" o:oned="t" path="m,l21600,21600e" filled="f">
                <v:path arrowok="t" fillok="f" o:connecttype="none"/>
                <o:lock v:ext="edit" shapetype="t"/>
              </v:shapetype>
              <v:shape id="Straight Arrow Connector 5" o:spid="_x0000_s1026" type="#_x0000_t32" style="position:absolute;margin-left:68.15pt;margin-top:.3pt;width:68.25pt;height:0;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" strokecolor="#00b0f0">
                <v:stroke endarrow="open"/>
              </v:shape>
            </w:pict>
          </mc:Fallback>
        </mc:AlternateContent>
      </w:r>
      <w:r w:rsidRPr="00F32621">
        <w:rPr>
          <w:noProof/>
          <w:color w:val="00B050"/>
        </w:rPr>
        <mc:AlternateContent>
          <mc:Choice Requires="wps">
            <w:drawing>
              <wp:anchor distT="0" distB="0" distL="114300" distR="114300" simplePos="0" relativeHeight="251708416" behindDoc="0" locked="0" layoutInCell="1" allowOverlap="1" wp14:anchorId="07D7A9FA" wp14:editId="77A0A03A">
                <wp:simplePos x="0" y="0"/>
                <wp:positionH relativeFrom="column">
                  <wp:posOffset>571500</wp:posOffset>
                </wp:positionH>
                <wp:positionV relativeFrom="paragraph">
                  <wp:posOffset>126629</wp:posOffset>
                </wp:positionV>
                <wp:extent cx="800100" cy="695325"/>
                <wp:effectExtent l="0" t="0" r="19050" b="28575"/>
                <wp:wrapNone/>
                <wp:docPr id="6" name="Oval 6"/>
                <wp:cNvGraphicFramePr/>
                <a:graphic xmlns:a="http://schemas.openxmlformats.org/drawingml/2006/main">
                  <a:graphicData uri="http://schemas.microsoft.com/office/word/2010/wordprocessingShape">
                    <wps:wsp>
                      <wps:cNvSpPr/>
                      <wps:spPr>
                        <a:xfrm>
                          <a:off x="0" y="0"/>
                          <a:ext cx="800100" cy="695325"/>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A24469" id="Oval 6" o:spid="_x0000_s1026" style="position:absolute;margin-left:45pt;margin-top:9.95pt;width:63pt;height:54.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" filled="f" strokecolor="#e36c0a [2409]" strokeweight="2pt"/>
            </w:pict>
          </mc:Fallback>
        </mc:AlternateContent>
      </w:r>
      <w:r w:rsidRPr="00F32621">
        <w:rPr>
          <w:noProof/>
          <w:color w:val="00B050"/>
        </w:rPr>
        <mc:AlternateContent>
          <mc:Choice Requires="wps">
            <w:drawing>
              <wp:anchor distT="0" distB="0" distL="114300" distR="114300" simplePos="0" relativeHeight="251710464" behindDoc="0" locked="0" layoutInCell="1" allowOverlap="1" wp14:anchorId="682FCB0D" wp14:editId="0C8DA6D7">
                <wp:simplePos x="0" y="0"/>
                <wp:positionH relativeFrom="column">
                  <wp:posOffset>624205</wp:posOffset>
                </wp:positionH>
                <wp:positionV relativeFrom="paragraph">
                  <wp:posOffset>209550</wp:posOffset>
                </wp:positionV>
                <wp:extent cx="295275" cy="247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w="9525">
                          <a:noFill/>
                          <a:miter lim="800000"/>
                          <a:headEnd/>
                          <a:tailEnd/>
                        </a:ln>
                      </wps:spPr>
                      <wps:txbx>
                        <w:txbxContent>
                          <w:p w14:paraId="30B91F7B" w14:textId="77777777" w:rsidR="00D95C49" w:rsidRPr="006B63E1" w:rsidRDefault="00D95C49" w:rsidP="00497BC6">
                            <w:pPr>
                              <w:rPr>
                                <w:sz w:val="16"/>
                                <w:szCs w:val="16"/>
                              </w:rPr>
                            </w:pPr>
                            <w:r>
                              <w:rPr>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FCB0D" id="_x0000_s1027" type="#_x0000_t202" style="position:absolute;left:0;text-align:left;margin-left:49.15pt;margin-top:16.5pt;width:23.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" filled="f" stroked="f">
                <v:textbox>
                  <w:txbxContent>
                    <w:p w14:paraId="30B91F7B" w14:textId="77777777" w:rsidR="00D95C49" w:rsidRPr="006B63E1" w:rsidRDefault="00D95C49" w:rsidP="00497BC6">
                      <w:pPr>
                        <w:rPr>
                          <w:sz w:val="16"/>
                          <w:szCs w:val="16"/>
                        </w:rPr>
                      </w:pPr>
                      <w:r>
                        <w:rPr>
                          <w:sz w:val="16"/>
                          <w:szCs w:val="16"/>
                        </w:rPr>
                        <w:t>6</w:t>
                      </w:r>
                    </w:p>
                  </w:txbxContent>
                </v:textbox>
              </v:shape>
            </w:pict>
          </mc:Fallback>
        </mc:AlternateContent>
      </w:r>
      <w:r w:rsidRPr="00F32621">
        <w:rPr>
          <w:noProof/>
          <w:color w:val="00B050"/>
        </w:rPr>
        <mc:AlternateContent>
          <mc:Choice Requires="wps">
            <w:drawing>
              <wp:anchor distT="0" distB="0" distL="114300" distR="114300" simplePos="0" relativeHeight="251709440" behindDoc="0" locked="0" layoutInCell="1" allowOverlap="1" wp14:anchorId="314635E9" wp14:editId="6D8F0123">
                <wp:simplePos x="0" y="0"/>
                <wp:positionH relativeFrom="column">
                  <wp:posOffset>347980</wp:posOffset>
                </wp:positionH>
                <wp:positionV relativeFrom="paragraph">
                  <wp:posOffset>57150</wp:posOffset>
                </wp:positionV>
                <wp:extent cx="295275"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w="9525">
                          <a:noFill/>
                          <a:miter lim="800000"/>
                          <a:headEnd/>
                          <a:tailEnd/>
                        </a:ln>
                      </wps:spPr>
                      <wps:txbx>
                        <w:txbxContent>
                          <w:p w14:paraId="24F7ED0E" w14:textId="407AABF5" w:rsidR="00D95C49" w:rsidRPr="006B63E1" w:rsidRDefault="00D95C49" w:rsidP="00497BC6">
                            <w:pPr>
                              <w:rPr>
                                <w:sz w:val="16"/>
                                <w:szCs w:val="16"/>
                              </w:rPr>
                            </w:pPr>
                            <w:r>
                              <w:rPr>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635E9" id="_x0000_s1028" type="#_x0000_t202" style="position:absolute;left:0;text-align:left;margin-left:27.4pt;margin-top:4.5pt;width:23.2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" filled="f" stroked="f">
                <v:textbox>
                  <w:txbxContent>
                    <w:p w14:paraId="24F7ED0E" w14:textId="407AABF5" w:rsidR="00D95C49" w:rsidRPr="006B63E1" w:rsidRDefault="00D95C49" w:rsidP="00497BC6">
                      <w:pPr>
                        <w:rPr>
                          <w:sz w:val="16"/>
                          <w:szCs w:val="16"/>
                        </w:rPr>
                      </w:pPr>
                      <w:r>
                        <w:rPr>
                          <w:sz w:val="16"/>
                          <w:szCs w:val="16"/>
                        </w:rPr>
                        <w:t>6</w:t>
                      </w:r>
                    </w:p>
                  </w:txbxContent>
                </v:textbox>
              </v:shape>
            </w:pict>
          </mc:Fallback>
        </mc:AlternateContent>
      </w:r>
    </w:p>
    <w:p w14:paraId="067D0C73" w14:textId="77777777" w:rsidR="00497BC6" w:rsidRPr="00F32621" w:rsidRDefault="00497BC6" w:rsidP="00497BC6">
      <w:pPr>
        <w:jc w:val="both"/>
        <w:rPr>
          <w:color w:val="00B050"/>
        </w:rPr>
      </w:pPr>
      <w:r w:rsidRPr="00F32621">
        <w:rPr>
          <w:noProof/>
          <w:color w:val="00B050"/>
        </w:rPr>
        <mc:AlternateContent>
          <mc:Choice Requires="wps">
            <w:drawing>
              <wp:anchor distT="0" distB="0" distL="114300" distR="114300" simplePos="0" relativeHeight="251717632" behindDoc="0" locked="0" layoutInCell="1" allowOverlap="1" wp14:anchorId="222B7F39" wp14:editId="79BC6992">
                <wp:simplePos x="0" y="0"/>
                <wp:positionH relativeFrom="column">
                  <wp:posOffset>1697091</wp:posOffset>
                </wp:positionH>
                <wp:positionV relativeFrom="paragraph">
                  <wp:posOffset>3810</wp:posOffset>
                </wp:positionV>
                <wp:extent cx="1345721" cy="247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247650"/>
                        </a:xfrm>
                        <a:prstGeom prst="rect">
                          <a:avLst/>
                        </a:prstGeom>
                        <a:noFill/>
                        <a:ln w="9525">
                          <a:noFill/>
                          <a:miter lim="800000"/>
                          <a:headEnd/>
                          <a:tailEnd/>
                        </a:ln>
                      </wps:spPr>
                      <wps:txbx>
                        <w:txbxContent>
                          <w:p w14:paraId="0AFB76F9" w14:textId="77777777" w:rsidR="00D95C49" w:rsidRPr="00CA74EB" w:rsidRDefault="00D95C49" w:rsidP="00497BC6">
                            <w:pPr>
                              <w:rPr>
                                <w:color w:val="E36C0A" w:themeColor="accent6" w:themeShade="BF"/>
                                <w:sz w:val="16"/>
                                <w:szCs w:val="16"/>
                              </w:rPr>
                            </w:pPr>
                            <w:r w:rsidRPr="00CA74EB">
                              <w:rPr>
                                <w:color w:val="E36C0A" w:themeColor="accent6" w:themeShade="BF"/>
                                <w:sz w:val="16"/>
                                <w:szCs w:val="16"/>
                              </w:rPr>
                              <w:t>Health Insurance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7F39" id="_x0000_s1029" type="#_x0000_t202" style="position:absolute;left:0;text-align:left;margin-left:133.65pt;margin-top:.3pt;width:105.9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" filled="f" stroked="f">
                <v:textbox>
                  <w:txbxContent>
                    <w:p w14:paraId="0AFB76F9" w14:textId="77777777" w:rsidR="00D95C49" w:rsidRPr="00CA74EB" w:rsidRDefault="00D95C49" w:rsidP="00497BC6">
                      <w:pPr>
                        <w:rPr>
                          <w:color w:val="E36C0A" w:themeColor="accent6" w:themeShade="BF"/>
                          <w:sz w:val="16"/>
                          <w:szCs w:val="16"/>
                        </w:rPr>
                      </w:pPr>
                      <w:r w:rsidRPr="00CA74EB">
                        <w:rPr>
                          <w:color w:val="E36C0A" w:themeColor="accent6" w:themeShade="BF"/>
                          <w:sz w:val="16"/>
                          <w:szCs w:val="16"/>
                        </w:rPr>
                        <w:t>Health Insurance business</w:t>
                      </w:r>
                    </w:p>
                  </w:txbxContent>
                </v:textbox>
              </v:shape>
            </w:pict>
          </mc:Fallback>
        </mc:AlternateContent>
      </w:r>
      <w:r w:rsidRPr="00F32621">
        <w:rPr>
          <w:noProof/>
          <w:color w:val="00B050"/>
        </w:rPr>
        <mc:AlternateContent>
          <mc:Choice Requires="wps">
            <w:drawing>
              <wp:anchor distT="0" distB="0" distL="114300" distR="114300" simplePos="0" relativeHeight="251712512" behindDoc="0" locked="0" layoutInCell="1" allowOverlap="1" wp14:anchorId="4C2B0B43" wp14:editId="2A5BE1AF">
                <wp:simplePos x="0" y="0"/>
                <wp:positionH relativeFrom="column">
                  <wp:posOffset>627380</wp:posOffset>
                </wp:positionH>
                <wp:positionV relativeFrom="paragraph">
                  <wp:posOffset>186319</wp:posOffset>
                </wp:positionV>
                <wp:extent cx="295275"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w="9525">
                          <a:noFill/>
                          <a:miter lim="800000"/>
                          <a:headEnd/>
                          <a:tailEnd/>
                        </a:ln>
                      </wps:spPr>
                      <wps:txbx>
                        <w:txbxContent>
                          <w:p w14:paraId="374A4BC8" w14:textId="77777777" w:rsidR="00D95C49" w:rsidRPr="006B63E1" w:rsidRDefault="00D95C49" w:rsidP="00497BC6">
                            <w:pPr>
                              <w:rPr>
                                <w:sz w:val="16"/>
                                <w:szCs w:val="16"/>
                              </w:rPr>
                            </w:pP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0B43" id="_x0000_s1030" type="#_x0000_t202" style="position:absolute;left:0;text-align:left;margin-left:49.4pt;margin-top:14.65pt;width:23.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" filled="f" stroked="f">
                <v:textbox>
                  <w:txbxContent>
                    <w:p w14:paraId="374A4BC8" w14:textId="77777777" w:rsidR="00D95C49" w:rsidRPr="006B63E1" w:rsidRDefault="00D95C49" w:rsidP="00497BC6">
                      <w:pPr>
                        <w:rPr>
                          <w:sz w:val="16"/>
                          <w:szCs w:val="16"/>
                        </w:rPr>
                      </w:pPr>
                      <w:r>
                        <w:rPr>
                          <w:sz w:val="16"/>
                          <w:szCs w:val="16"/>
                        </w:rPr>
                        <w:t>3</w:t>
                      </w:r>
                    </w:p>
                  </w:txbxContent>
                </v:textbox>
              </v:shape>
            </w:pict>
          </mc:Fallback>
        </mc:AlternateContent>
      </w:r>
      <w:r w:rsidRPr="00F32621">
        <w:rPr>
          <w:noProof/>
          <w:color w:val="00B050"/>
        </w:rPr>
        <mc:AlternateContent>
          <mc:Choice Requires="wps">
            <w:drawing>
              <wp:anchor distT="0" distB="0" distL="114300" distR="114300" simplePos="0" relativeHeight="251707392" behindDoc="0" locked="0" layoutInCell="1" allowOverlap="1" wp14:anchorId="21EDAFF9" wp14:editId="36849C2E">
                <wp:simplePos x="0" y="0"/>
                <wp:positionH relativeFrom="column">
                  <wp:posOffset>79639</wp:posOffset>
                </wp:positionH>
                <wp:positionV relativeFrom="paragraph">
                  <wp:posOffset>48895</wp:posOffset>
                </wp:positionV>
                <wp:extent cx="800100" cy="695325"/>
                <wp:effectExtent l="0" t="0" r="19050" b="28575"/>
                <wp:wrapNone/>
                <wp:docPr id="11" name="Oval 11"/>
                <wp:cNvGraphicFramePr/>
                <a:graphic xmlns:a="http://schemas.openxmlformats.org/drawingml/2006/main">
                  <a:graphicData uri="http://schemas.microsoft.com/office/word/2010/wordprocessingShape">
                    <wps:wsp>
                      <wps:cNvSpPr/>
                      <wps:spPr>
                        <a:xfrm>
                          <a:off x="0" y="0"/>
                          <a:ext cx="800100" cy="69532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AB3327" id="Oval 11" o:spid="_x0000_s1026" style="position:absolute;margin-left:6.25pt;margin-top:3.85pt;width:63pt;height:54.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" filled="f" strokecolor="#00b050" strokeweight="2pt"/>
            </w:pict>
          </mc:Fallback>
        </mc:AlternateContent>
      </w:r>
      <w:r w:rsidRPr="00F32621">
        <w:rPr>
          <w:noProof/>
          <w:color w:val="00B050"/>
        </w:rPr>
        <mc:AlternateContent>
          <mc:Choice Requires="wps">
            <w:drawing>
              <wp:anchor distT="0" distB="0" distL="114300" distR="114300" simplePos="0" relativeHeight="251716608" behindDoc="0" locked="0" layoutInCell="1" allowOverlap="1" wp14:anchorId="18685772" wp14:editId="75EF75DF">
                <wp:simplePos x="0" y="0"/>
                <wp:positionH relativeFrom="column">
                  <wp:posOffset>1371600</wp:posOffset>
                </wp:positionH>
                <wp:positionV relativeFrom="paragraph">
                  <wp:posOffset>125095</wp:posOffset>
                </wp:positionV>
                <wp:extent cx="35242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B0ABDD" id="Straight Arrow Connector 12" o:spid="_x0000_s1026" type="#_x0000_t32" style="position:absolute;margin-left:108pt;margin-top:9.85pt;width:27.75pt;height:0;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" strokecolor="#e36c0a [2409]">
                <v:stroke endarrow="open"/>
              </v:shape>
            </w:pict>
          </mc:Fallback>
        </mc:AlternateContent>
      </w:r>
      <w:r w:rsidRPr="00F32621">
        <w:rPr>
          <w:noProof/>
          <w:color w:val="00B050"/>
        </w:rPr>
        <mc:AlternateContent>
          <mc:Choice Requires="wps">
            <w:drawing>
              <wp:anchor distT="0" distB="0" distL="114300" distR="114300" simplePos="0" relativeHeight="251711488" behindDoc="0" locked="0" layoutInCell="1" allowOverlap="1" wp14:anchorId="7E89D475" wp14:editId="08A894CD">
                <wp:simplePos x="0" y="0"/>
                <wp:positionH relativeFrom="column">
                  <wp:posOffset>995680</wp:posOffset>
                </wp:positionH>
                <wp:positionV relativeFrom="paragraph">
                  <wp:posOffset>57785</wp:posOffset>
                </wp:positionV>
                <wp:extent cx="295275" cy="247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w="9525">
                          <a:noFill/>
                          <a:miter lim="800000"/>
                          <a:headEnd/>
                          <a:tailEnd/>
                        </a:ln>
                      </wps:spPr>
                      <wps:txbx>
                        <w:txbxContent>
                          <w:p w14:paraId="0DAD79E1" w14:textId="1CEA0579" w:rsidR="00D95C49" w:rsidRPr="006B63E1" w:rsidRDefault="00D95C49" w:rsidP="00497BC6">
                            <w:pPr>
                              <w:rPr>
                                <w:sz w:val="16"/>
                                <w:szCs w:val="16"/>
                              </w:rPr>
                            </w:pPr>
                            <w:r>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9D475" id="_x0000_s1031" type="#_x0000_t202" style="position:absolute;left:0;text-align:left;margin-left:78.4pt;margin-top:4.55pt;width:23.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" filled="f" stroked="f">
                <v:textbox>
                  <w:txbxContent>
                    <w:p w14:paraId="0DAD79E1" w14:textId="1CEA0579" w:rsidR="00D95C49" w:rsidRPr="006B63E1" w:rsidRDefault="00D95C49" w:rsidP="00497BC6">
                      <w:pPr>
                        <w:rPr>
                          <w:sz w:val="16"/>
                          <w:szCs w:val="16"/>
                        </w:rPr>
                      </w:pPr>
                      <w:r>
                        <w:rPr>
                          <w:sz w:val="16"/>
                          <w:szCs w:val="16"/>
                        </w:rPr>
                        <w:t>2</w:t>
                      </w:r>
                    </w:p>
                  </w:txbxContent>
                </v:textbox>
              </v:shape>
            </w:pict>
          </mc:Fallback>
        </mc:AlternateContent>
      </w:r>
    </w:p>
    <w:p w14:paraId="06535B97" w14:textId="77777777" w:rsidR="00497BC6" w:rsidRPr="00F32621" w:rsidRDefault="00497BC6" w:rsidP="00497BC6">
      <w:pPr>
        <w:jc w:val="both"/>
        <w:rPr>
          <w:color w:val="00B050"/>
        </w:rPr>
      </w:pPr>
      <w:r w:rsidRPr="00F32621">
        <w:rPr>
          <w:noProof/>
          <w:color w:val="00B050"/>
        </w:rPr>
        <mc:AlternateContent>
          <mc:Choice Requires="wps">
            <w:drawing>
              <wp:anchor distT="0" distB="0" distL="114300" distR="114300" simplePos="0" relativeHeight="251718656" behindDoc="0" locked="0" layoutInCell="1" allowOverlap="1" wp14:anchorId="46613F89" wp14:editId="1BCF340D">
                <wp:simplePos x="0" y="0"/>
                <wp:positionH relativeFrom="column">
                  <wp:posOffset>876300</wp:posOffset>
                </wp:positionH>
                <wp:positionV relativeFrom="paragraph">
                  <wp:posOffset>287655</wp:posOffset>
                </wp:positionV>
                <wp:extent cx="847725"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847725"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BFB1267" id="Straight Arrow Connector 14" o:spid="_x0000_s1026" type="#_x0000_t32" style="position:absolute;margin-left:69pt;margin-top:22.65pt;width:66.75pt;height:0;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" strokecolor="#00b050">
                <v:stroke endarrow="open"/>
              </v:shape>
            </w:pict>
          </mc:Fallback>
        </mc:AlternateContent>
      </w:r>
      <w:r w:rsidRPr="00F32621">
        <w:rPr>
          <w:noProof/>
          <w:color w:val="00B050"/>
        </w:rPr>
        <mc:AlternateContent>
          <mc:Choice Requires="wps">
            <w:drawing>
              <wp:anchor distT="0" distB="0" distL="114300" distR="114300" simplePos="0" relativeHeight="251719680" behindDoc="0" locked="0" layoutInCell="1" allowOverlap="1" wp14:anchorId="770CA2EC" wp14:editId="3AD32D86">
                <wp:simplePos x="0" y="0"/>
                <wp:positionH relativeFrom="column">
                  <wp:posOffset>1666875</wp:posOffset>
                </wp:positionH>
                <wp:positionV relativeFrom="paragraph">
                  <wp:posOffset>163830</wp:posOffset>
                </wp:positionV>
                <wp:extent cx="1400175" cy="2476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noFill/>
                        <a:ln w="9525">
                          <a:noFill/>
                          <a:miter lim="800000"/>
                          <a:headEnd/>
                          <a:tailEnd/>
                        </a:ln>
                      </wps:spPr>
                      <wps:txbx>
                        <w:txbxContent>
                          <w:p w14:paraId="76C71F5B" w14:textId="77777777" w:rsidR="00D95C49" w:rsidRPr="00CA74EB" w:rsidRDefault="00D95C49" w:rsidP="00497BC6">
                            <w:pPr>
                              <w:rPr>
                                <w:color w:val="00B050"/>
                                <w:sz w:val="16"/>
                                <w:szCs w:val="16"/>
                              </w:rPr>
                            </w:pPr>
                            <w:r w:rsidRPr="00CA74EB">
                              <w:rPr>
                                <w:color w:val="00B050"/>
                                <w:sz w:val="16"/>
                                <w:szCs w:val="16"/>
                              </w:rPr>
                              <w:t>General Insurance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CA2EC" id="_x0000_s1032" type="#_x0000_t202" style="position:absolute;left:0;text-align:left;margin-left:131.25pt;margin-top:12.9pt;width:110.2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" filled="f" stroked="f">
                <v:textbox>
                  <w:txbxContent>
                    <w:p w14:paraId="76C71F5B" w14:textId="77777777" w:rsidR="00D95C49" w:rsidRPr="00CA74EB" w:rsidRDefault="00D95C49" w:rsidP="00497BC6">
                      <w:pPr>
                        <w:rPr>
                          <w:color w:val="00B050"/>
                          <w:sz w:val="16"/>
                          <w:szCs w:val="16"/>
                        </w:rPr>
                      </w:pPr>
                      <w:r w:rsidRPr="00CA74EB">
                        <w:rPr>
                          <w:color w:val="00B050"/>
                          <w:sz w:val="16"/>
                          <w:szCs w:val="16"/>
                        </w:rPr>
                        <w:t>General Insurance business</w:t>
                      </w:r>
                    </w:p>
                  </w:txbxContent>
                </v:textbox>
              </v:shape>
            </w:pict>
          </mc:Fallback>
        </mc:AlternateContent>
      </w:r>
      <w:r w:rsidRPr="00F32621">
        <w:rPr>
          <w:noProof/>
          <w:color w:val="00B050"/>
        </w:rPr>
        <mc:AlternateContent>
          <mc:Choice Requires="wps">
            <w:drawing>
              <wp:anchor distT="0" distB="0" distL="114300" distR="114300" simplePos="0" relativeHeight="251713536" behindDoc="0" locked="0" layoutInCell="1" allowOverlap="1" wp14:anchorId="528635D6" wp14:editId="01CC2983">
                <wp:simplePos x="0" y="0"/>
                <wp:positionH relativeFrom="column">
                  <wp:posOffset>328930</wp:posOffset>
                </wp:positionH>
                <wp:positionV relativeFrom="paragraph">
                  <wp:posOffset>77470</wp:posOffset>
                </wp:positionV>
                <wp:extent cx="295275" cy="2476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noFill/>
                        <a:ln w="9525">
                          <a:noFill/>
                          <a:miter lim="800000"/>
                          <a:headEnd/>
                          <a:tailEnd/>
                        </a:ln>
                      </wps:spPr>
                      <wps:txbx>
                        <w:txbxContent>
                          <w:p w14:paraId="4A0B8E4C" w14:textId="77777777" w:rsidR="00D95C49" w:rsidRPr="006B63E1" w:rsidRDefault="00D95C49" w:rsidP="00497BC6">
                            <w:pPr>
                              <w:rPr>
                                <w:sz w:val="16"/>
                                <w:szCs w:val="16"/>
                              </w:rPr>
                            </w:pPr>
                            <w:r>
                              <w:rPr>
                                <w:sz w:val="16"/>
                                <w:szCs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635D6" id="_x0000_s1033" type="#_x0000_t202" style="position:absolute;left:0;text-align:left;margin-left:25.9pt;margin-top:6.1pt;width:23.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" filled="f" stroked="f">
                <v:textbox>
                  <w:txbxContent>
                    <w:p w14:paraId="4A0B8E4C" w14:textId="77777777" w:rsidR="00D95C49" w:rsidRPr="006B63E1" w:rsidRDefault="00D95C49" w:rsidP="00497BC6">
                      <w:pPr>
                        <w:rPr>
                          <w:sz w:val="16"/>
                          <w:szCs w:val="16"/>
                        </w:rPr>
                      </w:pPr>
                      <w:r>
                        <w:rPr>
                          <w:sz w:val="16"/>
                          <w:szCs w:val="16"/>
                        </w:rPr>
                        <w:t>9</w:t>
                      </w:r>
                    </w:p>
                  </w:txbxContent>
                </v:textbox>
              </v:shape>
            </w:pict>
          </mc:Fallback>
        </mc:AlternateContent>
      </w:r>
    </w:p>
    <w:p w14:paraId="24B3A241" w14:textId="77777777" w:rsidR="005D410A" w:rsidRDefault="005D410A" w:rsidP="008426E4">
      <w:pPr>
        <w:jc w:val="both"/>
      </w:pPr>
    </w:p>
    <w:p w14:paraId="7565BBC9" w14:textId="0DD27CBA" w:rsidR="00602F92" w:rsidRDefault="00FD389A" w:rsidP="008426E4">
      <w:pPr>
        <w:jc w:val="both"/>
        <w:rPr>
          <w:rFonts w:ascii="Verdana" w:hAnsi="Verdana"/>
          <w:sz w:val="20"/>
          <w:szCs w:val="20"/>
        </w:rPr>
      </w:pPr>
      <w:r w:rsidRPr="00FF543F">
        <w:rPr>
          <w:rFonts w:ascii="Verdana" w:hAnsi="Verdana"/>
          <w:sz w:val="20"/>
          <w:szCs w:val="20"/>
        </w:rPr>
        <w:t xml:space="preserve">The </w:t>
      </w:r>
      <w:r w:rsidR="00B608EC" w:rsidRPr="00FF543F">
        <w:rPr>
          <w:rFonts w:ascii="Verdana" w:hAnsi="Verdana"/>
          <w:sz w:val="20"/>
          <w:szCs w:val="20"/>
        </w:rPr>
        <w:t>C</w:t>
      </w:r>
      <w:r w:rsidR="009851B1" w:rsidRPr="00FF543F">
        <w:rPr>
          <w:rFonts w:ascii="Verdana" w:hAnsi="Verdana"/>
          <w:sz w:val="20"/>
          <w:szCs w:val="20"/>
        </w:rPr>
        <w:t>ayman</w:t>
      </w:r>
      <w:r w:rsidRPr="00FF543F">
        <w:rPr>
          <w:rFonts w:ascii="Verdana" w:hAnsi="Verdana"/>
          <w:sz w:val="20"/>
          <w:szCs w:val="20"/>
        </w:rPr>
        <w:t xml:space="preserve"> Islands’ </w:t>
      </w:r>
      <w:r w:rsidR="009851B1" w:rsidRPr="00FF543F">
        <w:rPr>
          <w:rFonts w:ascii="Verdana" w:hAnsi="Verdana"/>
          <w:sz w:val="20"/>
          <w:szCs w:val="20"/>
        </w:rPr>
        <w:t xml:space="preserve">domestic insurance market reported total </w:t>
      </w:r>
      <w:r w:rsidRPr="00FF543F">
        <w:rPr>
          <w:rFonts w:ascii="Verdana" w:hAnsi="Verdana"/>
          <w:sz w:val="20"/>
          <w:szCs w:val="20"/>
        </w:rPr>
        <w:t xml:space="preserve">direct </w:t>
      </w:r>
      <w:r w:rsidR="009851B1" w:rsidRPr="00FF543F">
        <w:rPr>
          <w:rFonts w:ascii="Verdana" w:hAnsi="Verdana"/>
          <w:sz w:val="20"/>
          <w:szCs w:val="20"/>
        </w:rPr>
        <w:t xml:space="preserve">premium income of </w:t>
      </w:r>
      <w:r w:rsidRPr="00FF543F">
        <w:rPr>
          <w:rFonts w:ascii="Verdana" w:hAnsi="Verdana"/>
          <w:sz w:val="20"/>
          <w:szCs w:val="20"/>
        </w:rPr>
        <w:t xml:space="preserve">approx. </w:t>
      </w:r>
      <w:r w:rsidR="009851B1" w:rsidRPr="00FF543F">
        <w:rPr>
          <w:rFonts w:ascii="Verdana" w:hAnsi="Verdana"/>
          <w:sz w:val="20"/>
          <w:szCs w:val="20"/>
        </w:rPr>
        <w:t>US$</w:t>
      </w:r>
      <w:r w:rsidRPr="00FF543F">
        <w:rPr>
          <w:rFonts w:ascii="Verdana" w:hAnsi="Verdana"/>
          <w:sz w:val="20"/>
          <w:szCs w:val="20"/>
        </w:rPr>
        <w:t>900</w:t>
      </w:r>
      <w:r w:rsidR="009851B1" w:rsidRPr="00FF543F">
        <w:rPr>
          <w:rFonts w:ascii="Verdana" w:hAnsi="Verdana"/>
          <w:sz w:val="20"/>
          <w:szCs w:val="20"/>
        </w:rPr>
        <w:t xml:space="preserve"> million as at 31 December 201</w:t>
      </w:r>
      <w:r w:rsidRPr="00FF543F">
        <w:rPr>
          <w:rFonts w:ascii="Verdana" w:hAnsi="Verdana"/>
          <w:sz w:val="20"/>
          <w:szCs w:val="20"/>
        </w:rPr>
        <w:t>8</w:t>
      </w:r>
      <w:r w:rsidR="009851B1" w:rsidRPr="00FF543F">
        <w:rPr>
          <w:rFonts w:ascii="Verdana" w:hAnsi="Verdana"/>
          <w:sz w:val="20"/>
          <w:szCs w:val="20"/>
        </w:rPr>
        <w:t>.</w:t>
      </w:r>
      <w:r w:rsidRPr="00FF543F">
        <w:rPr>
          <w:rFonts w:ascii="Verdana" w:hAnsi="Verdana"/>
          <w:sz w:val="20"/>
          <w:szCs w:val="20"/>
        </w:rPr>
        <w:t xml:space="preserve"> In addition, one class A insurer engaged in reinsurance business reported reinsurance assumed premium of approx. US$220 million.</w:t>
      </w:r>
      <w:r w:rsidR="002F5CCE" w:rsidRPr="00FF543F">
        <w:rPr>
          <w:rFonts w:ascii="Verdana" w:hAnsi="Verdana"/>
          <w:sz w:val="20"/>
          <w:szCs w:val="20"/>
        </w:rPr>
        <w:t xml:space="preserve"> Insurers selling general insurance products dominated the Cayman’s domestic sector followed by health insurers with a combined market share of approx. 96% of the total premium income in 2018. </w:t>
      </w:r>
      <w:r w:rsidR="00602F92" w:rsidRPr="00FF543F">
        <w:rPr>
          <w:rFonts w:ascii="Verdana" w:hAnsi="Verdana"/>
          <w:sz w:val="20"/>
          <w:szCs w:val="20"/>
        </w:rPr>
        <w:t xml:space="preserve">This was largely due to health and motor insurance being mandatory insurance requirements and property insurance density due to hurricane and wind exposures. </w:t>
      </w:r>
      <w:r w:rsidR="00BD7F48" w:rsidRPr="00FF543F">
        <w:rPr>
          <w:rFonts w:ascii="Verdana" w:hAnsi="Verdana"/>
          <w:sz w:val="20"/>
          <w:szCs w:val="20"/>
        </w:rPr>
        <w:t xml:space="preserve">General and health insurance products offered in the Cayman Islands are standard and less sophisticated in nature and are considered ‘low’ for money laundering and terrorist financing exposures. </w:t>
      </w:r>
      <w:r w:rsidR="00602F92" w:rsidRPr="00FF543F">
        <w:rPr>
          <w:rFonts w:ascii="Verdana" w:hAnsi="Verdana"/>
          <w:sz w:val="20"/>
          <w:szCs w:val="20"/>
        </w:rPr>
        <w:t xml:space="preserve">Life insurance premium accounted for 4% of the total premium and this segment </w:t>
      </w:r>
      <w:r w:rsidR="00602F92" w:rsidRPr="00FF543F">
        <w:rPr>
          <w:rFonts w:ascii="Verdana" w:hAnsi="Verdana"/>
          <w:sz w:val="20"/>
          <w:szCs w:val="20"/>
        </w:rPr>
        <w:lastRenderedPageBreak/>
        <w:t>remained stagnant in the last few years. Life insurance products included mortgage protection, credit life and life insurance policies with investment features.</w:t>
      </w:r>
      <w:r w:rsidR="00F00140" w:rsidRPr="00FF543F">
        <w:rPr>
          <w:rFonts w:ascii="Verdana" w:hAnsi="Verdana"/>
          <w:sz w:val="20"/>
          <w:szCs w:val="20"/>
        </w:rPr>
        <w:t xml:space="preserve"> Life insurance products with investment features are considered ‘high’ for money laundering and terrorist financing exposures, but most products had high initial sales commissions and expenses loadings and low surrender/cash value </w:t>
      </w:r>
      <w:r w:rsidR="0086283B" w:rsidRPr="00FF543F">
        <w:rPr>
          <w:rFonts w:ascii="Verdana" w:hAnsi="Verdana"/>
          <w:sz w:val="20"/>
          <w:szCs w:val="20"/>
        </w:rPr>
        <w:t xml:space="preserve">as a result </w:t>
      </w:r>
      <w:r w:rsidR="00F00140" w:rsidRPr="00FF543F">
        <w:rPr>
          <w:rFonts w:ascii="Verdana" w:hAnsi="Verdana"/>
          <w:sz w:val="20"/>
          <w:szCs w:val="20"/>
        </w:rPr>
        <w:t xml:space="preserve">in </w:t>
      </w:r>
      <w:r w:rsidR="0086283B" w:rsidRPr="00FF543F">
        <w:rPr>
          <w:rFonts w:ascii="Verdana" w:hAnsi="Verdana"/>
          <w:sz w:val="20"/>
          <w:szCs w:val="20"/>
        </w:rPr>
        <w:t xml:space="preserve">the </w:t>
      </w:r>
      <w:r w:rsidR="00F00140" w:rsidRPr="00FF543F">
        <w:rPr>
          <w:rFonts w:ascii="Verdana" w:hAnsi="Verdana"/>
          <w:sz w:val="20"/>
          <w:szCs w:val="20"/>
        </w:rPr>
        <w:t>early years</w:t>
      </w:r>
      <w:r w:rsidR="0086283B" w:rsidRPr="00FF543F">
        <w:rPr>
          <w:rFonts w:ascii="Verdana" w:hAnsi="Verdana"/>
          <w:sz w:val="20"/>
          <w:szCs w:val="20"/>
        </w:rPr>
        <w:t xml:space="preserve"> making them less attractive for money launderers. </w:t>
      </w:r>
    </w:p>
    <w:p w14:paraId="5F07AE68" w14:textId="6C639BB3" w:rsidR="002A04D5" w:rsidRPr="000E250C" w:rsidRDefault="00242731" w:rsidP="008426E4">
      <w:pPr>
        <w:jc w:val="both"/>
        <w:rPr>
          <w:rFonts w:ascii="Verdana" w:hAnsi="Verdana"/>
          <w:sz w:val="16"/>
          <w:szCs w:val="16"/>
        </w:rPr>
      </w:pPr>
      <w:r w:rsidRPr="000E250C">
        <w:rPr>
          <w:rFonts w:ascii="Verdana" w:hAnsi="Verdana"/>
          <w:b/>
          <w:bCs/>
          <w:sz w:val="16"/>
          <w:szCs w:val="16"/>
        </w:rPr>
        <w:t>Char</w:t>
      </w:r>
      <w:r w:rsidR="005E1FED" w:rsidRPr="000E250C">
        <w:rPr>
          <w:rFonts w:ascii="Verdana" w:hAnsi="Verdana"/>
          <w:b/>
          <w:bCs/>
          <w:sz w:val="16"/>
          <w:szCs w:val="16"/>
        </w:rPr>
        <w:t>t</w:t>
      </w:r>
      <w:r w:rsidRPr="000E250C">
        <w:rPr>
          <w:rFonts w:ascii="Verdana" w:hAnsi="Verdana"/>
          <w:b/>
          <w:bCs/>
          <w:sz w:val="16"/>
          <w:szCs w:val="16"/>
        </w:rPr>
        <w:t xml:space="preserve"> 2: Primary Business Class of the Cayman Islands’ Domestic Insurers</w:t>
      </w:r>
    </w:p>
    <w:p w14:paraId="479314E2" w14:textId="4BC529B4" w:rsidR="002A04D5" w:rsidRDefault="000C7BB3" w:rsidP="008426E4">
      <w:pPr>
        <w:jc w:val="both"/>
        <w:rPr>
          <w:rFonts w:ascii="Verdana" w:hAnsi="Verdana"/>
          <w:sz w:val="20"/>
          <w:szCs w:val="20"/>
        </w:rPr>
      </w:pPr>
      <w:r>
        <w:rPr>
          <w:noProof/>
        </w:rPr>
        <w:drawing>
          <wp:inline distT="0" distB="0" distL="0" distR="0" wp14:anchorId="65DDB53B" wp14:editId="46BBD4CC">
            <wp:extent cx="3762375" cy="1781175"/>
            <wp:effectExtent l="0" t="0" r="9525" b="9525"/>
            <wp:docPr id="19" name="Chart 19">
              <a:extLst xmlns:a="http://schemas.openxmlformats.org/drawingml/2006/main">
                <a:ext uri="{FF2B5EF4-FFF2-40B4-BE49-F238E27FC236}">
                  <a16:creationId xmlns:a16="http://schemas.microsoft.com/office/drawing/2014/main" id="{BA3363F7-2735-4EC2-A15B-3C4193486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4121BAB" w14:textId="6231603E" w:rsidR="000209E3" w:rsidRPr="00FF543F" w:rsidRDefault="00242731" w:rsidP="008426E4">
      <w:pPr>
        <w:jc w:val="both"/>
        <w:rPr>
          <w:rFonts w:ascii="Verdana" w:hAnsi="Verdana"/>
          <w:sz w:val="20"/>
          <w:szCs w:val="20"/>
        </w:rPr>
      </w:pPr>
      <w:r>
        <w:rPr>
          <w:rFonts w:ascii="Verdana" w:hAnsi="Verdana"/>
          <w:sz w:val="20"/>
          <w:szCs w:val="20"/>
        </w:rPr>
        <w:t>C</w:t>
      </w:r>
      <w:r w:rsidR="000778EB" w:rsidRPr="00FF543F">
        <w:rPr>
          <w:rFonts w:ascii="Verdana" w:hAnsi="Verdana"/>
          <w:sz w:val="20"/>
          <w:szCs w:val="20"/>
        </w:rPr>
        <w:t xml:space="preserve">ayman Island’s international </w:t>
      </w:r>
      <w:r w:rsidR="003C2F34" w:rsidRPr="00FF543F">
        <w:rPr>
          <w:rFonts w:ascii="Verdana" w:hAnsi="Verdana"/>
          <w:sz w:val="20"/>
          <w:szCs w:val="20"/>
        </w:rPr>
        <w:t xml:space="preserve">insurance </w:t>
      </w:r>
      <w:r w:rsidR="000778EB" w:rsidRPr="00FF543F">
        <w:rPr>
          <w:rFonts w:ascii="Verdana" w:hAnsi="Verdana"/>
          <w:sz w:val="20"/>
          <w:szCs w:val="20"/>
        </w:rPr>
        <w:t xml:space="preserve">sector is known for </w:t>
      </w:r>
      <w:r w:rsidR="00890C1E" w:rsidRPr="00FF543F">
        <w:rPr>
          <w:rFonts w:ascii="Verdana" w:hAnsi="Verdana"/>
          <w:sz w:val="20"/>
          <w:szCs w:val="20"/>
        </w:rPr>
        <w:t xml:space="preserve">its captive insurance sector, mainly </w:t>
      </w:r>
      <w:r w:rsidR="003C2F34" w:rsidRPr="00FF543F">
        <w:rPr>
          <w:rFonts w:ascii="Verdana" w:hAnsi="Verdana"/>
          <w:sz w:val="20"/>
          <w:szCs w:val="20"/>
        </w:rPr>
        <w:t>healthcare captives</w:t>
      </w:r>
      <w:r w:rsidR="000C1F8F">
        <w:rPr>
          <w:rFonts w:ascii="Verdana" w:hAnsi="Verdana"/>
          <w:sz w:val="20"/>
          <w:szCs w:val="20"/>
        </w:rPr>
        <w:t>,</w:t>
      </w:r>
      <w:r w:rsidR="003C2F34" w:rsidRPr="00FF543F">
        <w:rPr>
          <w:rFonts w:ascii="Verdana" w:hAnsi="Verdana"/>
          <w:sz w:val="20"/>
          <w:szCs w:val="20"/>
        </w:rPr>
        <w:t xml:space="preserve"> group captives and </w:t>
      </w:r>
      <w:r w:rsidR="00890C1E" w:rsidRPr="00FF543F">
        <w:rPr>
          <w:rFonts w:ascii="Verdana" w:hAnsi="Verdana"/>
          <w:sz w:val="20"/>
          <w:szCs w:val="20"/>
        </w:rPr>
        <w:t xml:space="preserve">the jurisdictions </w:t>
      </w:r>
      <w:r w:rsidR="003C2F34" w:rsidRPr="00FF543F">
        <w:rPr>
          <w:rFonts w:ascii="Verdana" w:hAnsi="Verdana"/>
          <w:sz w:val="20"/>
          <w:szCs w:val="20"/>
        </w:rPr>
        <w:t xml:space="preserve">growing reinsurance sector. </w:t>
      </w:r>
      <w:r w:rsidR="000209E3" w:rsidRPr="00FF543F">
        <w:rPr>
          <w:rFonts w:ascii="Verdana" w:hAnsi="Verdana"/>
          <w:sz w:val="20"/>
          <w:szCs w:val="20"/>
        </w:rPr>
        <w:t>Insurance products offered by the Cayman’s 646 international insurers to residents and businesses outside the Cayman Islands are as follows (based on their primary line of business as at 31 December 2019):</w:t>
      </w:r>
    </w:p>
    <w:p w14:paraId="4AD76EC3" w14:textId="575457B1" w:rsidR="005D410A" w:rsidRPr="000E250C" w:rsidRDefault="005D410A" w:rsidP="008426E4">
      <w:pPr>
        <w:jc w:val="both"/>
        <w:rPr>
          <w:rFonts w:ascii="Verdana" w:hAnsi="Verdana"/>
          <w:b/>
          <w:bCs/>
          <w:sz w:val="16"/>
          <w:szCs w:val="16"/>
        </w:rPr>
      </w:pPr>
      <w:r w:rsidRPr="000E250C">
        <w:rPr>
          <w:rFonts w:ascii="Verdana" w:hAnsi="Verdana"/>
          <w:b/>
          <w:bCs/>
          <w:sz w:val="16"/>
          <w:szCs w:val="16"/>
        </w:rPr>
        <w:t xml:space="preserve">Table </w:t>
      </w:r>
      <w:r w:rsidR="00E902EE" w:rsidRPr="000E250C">
        <w:rPr>
          <w:rFonts w:ascii="Verdana" w:hAnsi="Verdana"/>
          <w:b/>
          <w:bCs/>
          <w:sz w:val="16"/>
          <w:szCs w:val="16"/>
        </w:rPr>
        <w:t>2</w:t>
      </w:r>
      <w:r w:rsidRPr="000E250C">
        <w:rPr>
          <w:rFonts w:ascii="Verdana" w:hAnsi="Verdana"/>
          <w:b/>
          <w:bCs/>
          <w:sz w:val="16"/>
          <w:szCs w:val="16"/>
        </w:rPr>
        <w:t xml:space="preserve">: Primary Business Class of the Cayman Islands’ International Insurers </w:t>
      </w:r>
    </w:p>
    <w:tbl>
      <w:tblPr>
        <w:tblStyle w:val="TableGrid"/>
        <w:tblW w:w="0" w:type="auto"/>
        <w:tblLook w:val="04A0" w:firstRow="1" w:lastRow="0" w:firstColumn="1" w:lastColumn="0" w:noHBand="0" w:noVBand="1"/>
      </w:tblPr>
      <w:tblGrid>
        <w:gridCol w:w="2988"/>
        <w:gridCol w:w="1139"/>
        <w:gridCol w:w="1940"/>
        <w:gridCol w:w="1858"/>
        <w:gridCol w:w="1425"/>
      </w:tblGrid>
      <w:tr w:rsidR="0036421B" w:rsidRPr="00FF543F" w14:paraId="45E2E8A5" w14:textId="77777777" w:rsidTr="00C70336">
        <w:tc>
          <w:tcPr>
            <w:tcW w:w="3055" w:type="dxa"/>
            <w:shd w:val="clear" w:color="auto" w:fill="DBE5F1" w:themeFill="accent1" w:themeFillTint="33"/>
          </w:tcPr>
          <w:p w14:paraId="277831FA" w14:textId="124C1D9B" w:rsidR="0036421B" w:rsidRPr="006A4559" w:rsidRDefault="0036421B" w:rsidP="0036421B">
            <w:pPr>
              <w:jc w:val="both"/>
              <w:rPr>
                <w:rFonts w:ascii="Verdana" w:hAnsi="Verdana"/>
                <w:b/>
                <w:bCs/>
                <w:sz w:val="20"/>
                <w:szCs w:val="20"/>
              </w:rPr>
            </w:pPr>
            <w:r w:rsidRPr="006A4559">
              <w:rPr>
                <w:rFonts w:ascii="Verdana" w:hAnsi="Verdana"/>
                <w:b/>
                <w:bCs/>
                <w:sz w:val="20"/>
                <w:szCs w:val="20"/>
              </w:rPr>
              <w:t>Business Class</w:t>
            </w:r>
          </w:p>
        </w:tc>
        <w:tc>
          <w:tcPr>
            <w:tcW w:w="990" w:type="dxa"/>
            <w:shd w:val="clear" w:color="auto" w:fill="DBE5F1" w:themeFill="accent1" w:themeFillTint="33"/>
          </w:tcPr>
          <w:p w14:paraId="4921FECA" w14:textId="249709AE" w:rsidR="0036421B" w:rsidRPr="006A4559" w:rsidRDefault="0036421B" w:rsidP="0036421B">
            <w:pPr>
              <w:jc w:val="both"/>
              <w:rPr>
                <w:rFonts w:ascii="Verdana" w:hAnsi="Verdana"/>
                <w:b/>
                <w:bCs/>
                <w:sz w:val="20"/>
                <w:szCs w:val="20"/>
              </w:rPr>
            </w:pPr>
            <w:r w:rsidRPr="006A4559">
              <w:rPr>
                <w:rFonts w:ascii="Verdana" w:hAnsi="Verdana"/>
                <w:b/>
                <w:bCs/>
                <w:sz w:val="20"/>
                <w:szCs w:val="20"/>
              </w:rPr>
              <w:t>No. of insurers</w:t>
            </w:r>
          </w:p>
        </w:tc>
        <w:tc>
          <w:tcPr>
            <w:tcW w:w="1980" w:type="dxa"/>
            <w:shd w:val="clear" w:color="auto" w:fill="DBE5F1" w:themeFill="accent1" w:themeFillTint="33"/>
          </w:tcPr>
          <w:p w14:paraId="38386359" w14:textId="2ED32142" w:rsidR="0036421B" w:rsidRPr="006A4559" w:rsidRDefault="0036421B" w:rsidP="0036421B">
            <w:pPr>
              <w:jc w:val="both"/>
              <w:rPr>
                <w:rFonts w:ascii="Verdana" w:hAnsi="Verdana"/>
                <w:b/>
                <w:bCs/>
                <w:sz w:val="20"/>
                <w:szCs w:val="20"/>
              </w:rPr>
            </w:pPr>
            <w:r w:rsidRPr="006A4559">
              <w:rPr>
                <w:rFonts w:ascii="Verdana" w:hAnsi="Verdana"/>
                <w:b/>
                <w:bCs/>
                <w:sz w:val="20"/>
                <w:szCs w:val="20"/>
              </w:rPr>
              <w:t>No. of insurers as a percent</w:t>
            </w:r>
          </w:p>
        </w:tc>
        <w:tc>
          <w:tcPr>
            <w:tcW w:w="1890" w:type="dxa"/>
            <w:shd w:val="clear" w:color="auto" w:fill="DBE5F1" w:themeFill="accent1" w:themeFillTint="33"/>
          </w:tcPr>
          <w:p w14:paraId="6648309C" w14:textId="1CAB7078" w:rsidR="0036421B" w:rsidRPr="006A4559" w:rsidRDefault="0036421B" w:rsidP="0036421B">
            <w:pPr>
              <w:jc w:val="both"/>
              <w:rPr>
                <w:rFonts w:ascii="Verdana" w:hAnsi="Verdana"/>
                <w:b/>
                <w:bCs/>
                <w:sz w:val="20"/>
                <w:szCs w:val="20"/>
              </w:rPr>
            </w:pPr>
            <w:r w:rsidRPr="006A4559">
              <w:rPr>
                <w:rFonts w:ascii="Verdana" w:hAnsi="Verdana"/>
                <w:b/>
                <w:bCs/>
                <w:sz w:val="20"/>
                <w:szCs w:val="20"/>
              </w:rPr>
              <w:t>Total Premium (US$ Mn)</w:t>
            </w:r>
          </w:p>
        </w:tc>
        <w:tc>
          <w:tcPr>
            <w:tcW w:w="1435" w:type="dxa"/>
            <w:shd w:val="clear" w:color="auto" w:fill="DBE5F1" w:themeFill="accent1" w:themeFillTint="33"/>
          </w:tcPr>
          <w:p w14:paraId="7A7DC45C" w14:textId="7A4D9640" w:rsidR="0036421B" w:rsidRPr="006A4559" w:rsidRDefault="0036421B" w:rsidP="0036421B">
            <w:pPr>
              <w:jc w:val="both"/>
              <w:rPr>
                <w:rFonts w:ascii="Verdana" w:hAnsi="Verdana"/>
                <w:b/>
                <w:bCs/>
                <w:sz w:val="20"/>
                <w:szCs w:val="20"/>
              </w:rPr>
            </w:pPr>
            <w:r w:rsidRPr="006A4559">
              <w:rPr>
                <w:rFonts w:ascii="Verdana" w:hAnsi="Verdana"/>
                <w:b/>
                <w:bCs/>
                <w:sz w:val="20"/>
                <w:szCs w:val="20"/>
              </w:rPr>
              <w:t>Premium as a percent</w:t>
            </w:r>
          </w:p>
        </w:tc>
      </w:tr>
      <w:tr w:rsidR="0036421B" w:rsidRPr="00FF543F" w14:paraId="5AE3E487" w14:textId="77777777" w:rsidTr="00C70336">
        <w:tc>
          <w:tcPr>
            <w:tcW w:w="3055" w:type="dxa"/>
          </w:tcPr>
          <w:p w14:paraId="2D03D916" w14:textId="365A357F" w:rsidR="0036421B" w:rsidRPr="006A4559" w:rsidRDefault="0036421B" w:rsidP="0036421B">
            <w:pPr>
              <w:jc w:val="both"/>
              <w:rPr>
                <w:rFonts w:ascii="Verdana" w:hAnsi="Verdana"/>
                <w:sz w:val="20"/>
                <w:szCs w:val="20"/>
              </w:rPr>
            </w:pPr>
            <w:r w:rsidRPr="006A4559">
              <w:rPr>
                <w:rFonts w:ascii="Verdana" w:hAnsi="Verdana"/>
                <w:sz w:val="20"/>
                <w:szCs w:val="20"/>
              </w:rPr>
              <w:t>Medical Malpractice Liability</w:t>
            </w:r>
          </w:p>
        </w:tc>
        <w:tc>
          <w:tcPr>
            <w:tcW w:w="990" w:type="dxa"/>
          </w:tcPr>
          <w:p w14:paraId="07ABDDFD" w14:textId="15561F76" w:rsidR="0036421B" w:rsidRPr="006A4559" w:rsidRDefault="0036421B" w:rsidP="0036421B">
            <w:pPr>
              <w:ind w:right="105"/>
              <w:jc w:val="right"/>
              <w:rPr>
                <w:rFonts w:ascii="Verdana" w:hAnsi="Verdana"/>
                <w:sz w:val="20"/>
                <w:szCs w:val="20"/>
              </w:rPr>
            </w:pPr>
            <w:r w:rsidRPr="006A4559">
              <w:rPr>
                <w:rFonts w:ascii="Verdana" w:hAnsi="Verdana"/>
                <w:sz w:val="20"/>
                <w:szCs w:val="20"/>
              </w:rPr>
              <w:t>210</w:t>
            </w:r>
          </w:p>
        </w:tc>
        <w:tc>
          <w:tcPr>
            <w:tcW w:w="1980" w:type="dxa"/>
          </w:tcPr>
          <w:p w14:paraId="676FE0D7" w14:textId="12D49919" w:rsidR="0036421B" w:rsidRPr="006A4559" w:rsidRDefault="0036421B" w:rsidP="0036421B">
            <w:pPr>
              <w:ind w:right="105"/>
              <w:jc w:val="right"/>
              <w:rPr>
                <w:rFonts w:ascii="Verdana" w:hAnsi="Verdana"/>
                <w:sz w:val="20"/>
                <w:szCs w:val="20"/>
              </w:rPr>
            </w:pPr>
            <w:r w:rsidRPr="006A4559">
              <w:rPr>
                <w:rFonts w:ascii="Verdana" w:hAnsi="Verdana"/>
                <w:sz w:val="20"/>
                <w:szCs w:val="20"/>
              </w:rPr>
              <w:t>3</w:t>
            </w:r>
            <w:r w:rsidR="00AE3DC1" w:rsidRPr="006A4559">
              <w:rPr>
                <w:rFonts w:ascii="Verdana" w:hAnsi="Verdana"/>
                <w:sz w:val="20"/>
                <w:szCs w:val="20"/>
              </w:rPr>
              <w:t>2</w:t>
            </w:r>
            <w:r w:rsidRPr="006A4559">
              <w:rPr>
                <w:rFonts w:ascii="Verdana" w:hAnsi="Verdana"/>
                <w:sz w:val="20"/>
                <w:szCs w:val="20"/>
              </w:rPr>
              <w:t>%</w:t>
            </w:r>
          </w:p>
        </w:tc>
        <w:tc>
          <w:tcPr>
            <w:tcW w:w="1890" w:type="dxa"/>
          </w:tcPr>
          <w:p w14:paraId="4A117F35" w14:textId="20F91ED9" w:rsidR="0036421B" w:rsidRPr="006A4559" w:rsidRDefault="0036421B" w:rsidP="0036421B">
            <w:pPr>
              <w:ind w:right="105"/>
              <w:jc w:val="right"/>
              <w:rPr>
                <w:rFonts w:ascii="Verdana" w:hAnsi="Verdana"/>
                <w:sz w:val="20"/>
                <w:szCs w:val="20"/>
              </w:rPr>
            </w:pPr>
            <w:r w:rsidRPr="006A4559">
              <w:rPr>
                <w:rFonts w:ascii="Verdana" w:hAnsi="Verdana"/>
                <w:sz w:val="20"/>
                <w:szCs w:val="20"/>
              </w:rPr>
              <w:t>5,817</w:t>
            </w:r>
          </w:p>
        </w:tc>
        <w:tc>
          <w:tcPr>
            <w:tcW w:w="1435" w:type="dxa"/>
          </w:tcPr>
          <w:p w14:paraId="1C49EBB3" w14:textId="02DE9DDB" w:rsidR="0036421B" w:rsidRPr="006A4559" w:rsidRDefault="0036421B" w:rsidP="0036421B">
            <w:pPr>
              <w:ind w:right="105"/>
              <w:jc w:val="right"/>
              <w:rPr>
                <w:rFonts w:ascii="Verdana" w:hAnsi="Verdana"/>
                <w:sz w:val="20"/>
                <w:szCs w:val="20"/>
              </w:rPr>
            </w:pPr>
            <w:r w:rsidRPr="006A4559">
              <w:rPr>
                <w:rFonts w:ascii="Verdana" w:hAnsi="Verdana"/>
                <w:sz w:val="20"/>
                <w:szCs w:val="20"/>
              </w:rPr>
              <w:t>32%</w:t>
            </w:r>
          </w:p>
        </w:tc>
      </w:tr>
      <w:tr w:rsidR="00D95CD7" w:rsidRPr="00FF543F" w14:paraId="3FAFD468" w14:textId="77777777" w:rsidTr="00C70336">
        <w:tc>
          <w:tcPr>
            <w:tcW w:w="3055" w:type="dxa"/>
          </w:tcPr>
          <w:p w14:paraId="45D60A97" w14:textId="320314EB" w:rsidR="00D95CD7" w:rsidRPr="006A4559" w:rsidRDefault="00D95CD7" w:rsidP="00D95CD7">
            <w:pPr>
              <w:jc w:val="both"/>
              <w:rPr>
                <w:rFonts w:ascii="Verdana" w:hAnsi="Verdana"/>
                <w:sz w:val="20"/>
                <w:szCs w:val="20"/>
              </w:rPr>
            </w:pPr>
            <w:r w:rsidRPr="006A4559">
              <w:rPr>
                <w:rFonts w:ascii="Verdana" w:hAnsi="Verdana"/>
                <w:sz w:val="20"/>
                <w:szCs w:val="20"/>
              </w:rPr>
              <w:t>Workers Compensation</w:t>
            </w:r>
          </w:p>
        </w:tc>
        <w:tc>
          <w:tcPr>
            <w:tcW w:w="990" w:type="dxa"/>
          </w:tcPr>
          <w:p w14:paraId="3F6125E9" w14:textId="3B463B36" w:rsidR="00D95CD7" w:rsidRPr="006A4559" w:rsidRDefault="00D95CD7" w:rsidP="00D95CD7">
            <w:pPr>
              <w:ind w:right="105"/>
              <w:jc w:val="right"/>
              <w:rPr>
                <w:rFonts w:ascii="Verdana" w:hAnsi="Verdana"/>
                <w:sz w:val="20"/>
                <w:szCs w:val="20"/>
              </w:rPr>
            </w:pPr>
            <w:r w:rsidRPr="006A4559">
              <w:rPr>
                <w:rFonts w:ascii="Verdana" w:hAnsi="Verdana"/>
                <w:sz w:val="20"/>
                <w:szCs w:val="20"/>
              </w:rPr>
              <w:t>137</w:t>
            </w:r>
          </w:p>
        </w:tc>
        <w:tc>
          <w:tcPr>
            <w:tcW w:w="1980" w:type="dxa"/>
          </w:tcPr>
          <w:p w14:paraId="0CF83A6F" w14:textId="105A572B" w:rsidR="00D95CD7" w:rsidRPr="006A4559" w:rsidRDefault="00D95CD7" w:rsidP="00D95CD7">
            <w:pPr>
              <w:ind w:right="105"/>
              <w:jc w:val="right"/>
              <w:rPr>
                <w:rFonts w:ascii="Verdana" w:hAnsi="Verdana"/>
                <w:sz w:val="20"/>
                <w:szCs w:val="20"/>
              </w:rPr>
            </w:pPr>
            <w:r w:rsidRPr="006A4559">
              <w:rPr>
                <w:rFonts w:ascii="Verdana" w:hAnsi="Verdana"/>
                <w:sz w:val="20"/>
                <w:szCs w:val="20"/>
              </w:rPr>
              <w:t>21%</w:t>
            </w:r>
          </w:p>
        </w:tc>
        <w:tc>
          <w:tcPr>
            <w:tcW w:w="1890" w:type="dxa"/>
          </w:tcPr>
          <w:p w14:paraId="29E65F2F" w14:textId="74CECA36" w:rsidR="00D95CD7" w:rsidRPr="006A4559" w:rsidRDefault="00D95CD7" w:rsidP="00D95CD7">
            <w:pPr>
              <w:ind w:right="105"/>
              <w:jc w:val="right"/>
              <w:rPr>
                <w:rFonts w:ascii="Verdana" w:hAnsi="Verdana"/>
                <w:sz w:val="20"/>
                <w:szCs w:val="20"/>
              </w:rPr>
            </w:pPr>
            <w:r w:rsidRPr="006A4559">
              <w:rPr>
                <w:rFonts w:ascii="Verdana" w:hAnsi="Verdana"/>
                <w:sz w:val="20"/>
                <w:szCs w:val="20"/>
              </w:rPr>
              <w:t>4,281</w:t>
            </w:r>
          </w:p>
        </w:tc>
        <w:tc>
          <w:tcPr>
            <w:tcW w:w="1435" w:type="dxa"/>
          </w:tcPr>
          <w:p w14:paraId="05DE6405" w14:textId="3C305F4C" w:rsidR="00D95CD7" w:rsidRPr="006A4559" w:rsidRDefault="00D95CD7" w:rsidP="00D95CD7">
            <w:pPr>
              <w:ind w:right="105"/>
              <w:jc w:val="right"/>
              <w:rPr>
                <w:rFonts w:ascii="Verdana" w:hAnsi="Verdana"/>
                <w:sz w:val="20"/>
                <w:szCs w:val="20"/>
              </w:rPr>
            </w:pPr>
            <w:r w:rsidRPr="006A4559">
              <w:rPr>
                <w:rFonts w:ascii="Verdana" w:hAnsi="Verdana"/>
                <w:sz w:val="20"/>
                <w:szCs w:val="20"/>
              </w:rPr>
              <w:t>25%</w:t>
            </w:r>
          </w:p>
        </w:tc>
      </w:tr>
      <w:tr w:rsidR="00D95CD7" w:rsidRPr="00FF543F" w14:paraId="238C7700" w14:textId="77777777" w:rsidTr="00C70336">
        <w:tc>
          <w:tcPr>
            <w:tcW w:w="3055" w:type="dxa"/>
          </w:tcPr>
          <w:p w14:paraId="58EE56BA" w14:textId="4CF2F9D8" w:rsidR="00D95CD7" w:rsidRPr="006A4559" w:rsidRDefault="00D95CD7" w:rsidP="00D95CD7">
            <w:pPr>
              <w:jc w:val="both"/>
              <w:rPr>
                <w:rFonts w:ascii="Verdana" w:hAnsi="Verdana"/>
                <w:sz w:val="20"/>
                <w:szCs w:val="20"/>
              </w:rPr>
            </w:pPr>
            <w:r w:rsidRPr="006A4559">
              <w:rPr>
                <w:rFonts w:ascii="Verdana" w:hAnsi="Verdana"/>
                <w:sz w:val="20"/>
                <w:szCs w:val="20"/>
              </w:rPr>
              <w:t>Liability lines including General, Product, Auto, Professional</w:t>
            </w:r>
          </w:p>
        </w:tc>
        <w:tc>
          <w:tcPr>
            <w:tcW w:w="990" w:type="dxa"/>
          </w:tcPr>
          <w:p w14:paraId="4A82014D" w14:textId="2067B0D5" w:rsidR="00D95CD7" w:rsidRPr="006A4559" w:rsidRDefault="00D95CD7" w:rsidP="00D95CD7">
            <w:pPr>
              <w:ind w:right="105"/>
              <w:jc w:val="right"/>
              <w:rPr>
                <w:rFonts w:ascii="Verdana" w:hAnsi="Verdana"/>
                <w:sz w:val="20"/>
                <w:szCs w:val="20"/>
              </w:rPr>
            </w:pPr>
            <w:r w:rsidRPr="006A4559">
              <w:rPr>
                <w:rFonts w:ascii="Verdana" w:hAnsi="Verdana"/>
                <w:sz w:val="20"/>
                <w:szCs w:val="20"/>
              </w:rPr>
              <w:t>173</w:t>
            </w:r>
          </w:p>
        </w:tc>
        <w:tc>
          <w:tcPr>
            <w:tcW w:w="1980" w:type="dxa"/>
          </w:tcPr>
          <w:p w14:paraId="7878B7BE" w14:textId="44F79B4B" w:rsidR="00D95CD7" w:rsidRPr="006A4559" w:rsidRDefault="00D95CD7" w:rsidP="00D95CD7">
            <w:pPr>
              <w:ind w:right="105"/>
              <w:jc w:val="right"/>
              <w:rPr>
                <w:rFonts w:ascii="Verdana" w:hAnsi="Verdana"/>
                <w:sz w:val="20"/>
                <w:szCs w:val="20"/>
              </w:rPr>
            </w:pPr>
            <w:r w:rsidRPr="006A4559">
              <w:rPr>
                <w:rFonts w:ascii="Verdana" w:hAnsi="Verdana"/>
                <w:sz w:val="20"/>
                <w:szCs w:val="20"/>
              </w:rPr>
              <w:t>27%</w:t>
            </w:r>
          </w:p>
        </w:tc>
        <w:tc>
          <w:tcPr>
            <w:tcW w:w="1890" w:type="dxa"/>
          </w:tcPr>
          <w:p w14:paraId="4A2DECE2" w14:textId="5090FD4D" w:rsidR="00D95CD7" w:rsidRPr="006A4559" w:rsidRDefault="00D95CD7" w:rsidP="00D95CD7">
            <w:pPr>
              <w:ind w:right="105"/>
              <w:jc w:val="right"/>
              <w:rPr>
                <w:rFonts w:ascii="Verdana" w:hAnsi="Verdana"/>
                <w:sz w:val="20"/>
                <w:szCs w:val="20"/>
              </w:rPr>
            </w:pPr>
            <w:r w:rsidRPr="006A4559">
              <w:rPr>
                <w:rFonts w:ascii="Verdana" w:hAnsi="Verdana"/>
                <w:sz w:val="20"/>
                <w:szCs w:val="20"/>
              </w:rPr>
              <w:t>3,655</w:t>
            </w:r>
          </w:p>
        </w:tc>
        <w:tc>
          <w:tcPr>
            <w:tcW w:w="1435" w:type="dxa"/>
          </w:tcPr>
          <w:p w14:paraId="5EE5737D" w14:textId="1EB90FAD" w:rsidR="00D95CD7" w:rsidRPr="006A4559" w:rsidRDefault="00D95CD7" w:rsidP="00D95CD7">
            <w:pPr>
              <w:ind w:right="105"/>
              <w:jc w:val="right"/>
              <w:rPr>
                <w:rFonts w:ascii="Verdana" w:hAnsi="Verdana"/>
                <w:sz w:val="20"/>
                <w:szCs w:val="20"/>
              </w:rPr>
            </w:pPr>
            <w:r w:rsidRPr="006A4559">
              <w:rPr>
                <w:rFonts w:ascii="Verdana" w:hAnsi="Verdana"/>
                <w:sz w:val="20"/>
                <w:szCs w:val="20"/>
              </w:rPr>
              <w:t>20%</w:t>
            </w:r>
          </w:p>
        </w:tc>
      </w:tr>
      <w:tr w:rsidR="00D95CD7" w:rsidRPr="00FF543F" w14:paraId="7E847FD5" w14:textId="77777777" w:rsidTr="00C70336">
        <w:tc>
          <w:tcPr>
            <w:tcW w:w="3055" w:type="dxa"/>
          </w:tcPr>
          <w:p w14:paraId="73C2F937" w14:textId="115B43F9" w:rsidR="00D95CD7" w:rsidRPr="006A4559" w:rsidRDefault="00D95CD7" w:rsidP="00D95CD7">
            <w:pPr>
              <w:jc w:val="both"/>
              <w:rPr>
                <w:rFonts w:ascii="Verdana" w:hAnsi="Verdana"/>
                <w:sz w:val="20"/>
                <w:szCs w:val="20"/>
              </w:rPr>
            </w:pPr>
            <w:r w:rsidRPr="006A4559">
              <w:rPr>
                <w:rFonts w:ascii="Verdana" w:hAnsi="Verdana"/>
                <w:sz w:val="20"/>
                <w:szCs w:val="20"/>
              </w:rPr>
              <w:t>Life – Reinsurance</w:t>
            </w:r>
          </w:p>
        </w:tc>
        <w:tc>
          <w:tcPr>
            <w:tcW w:w="990" w:type="dxa"/>
          </w:tcPr>
          <w:p w14:paraId="19DF9B95" w14:textId="754B71C8" w:rsidR="00D95CD7" w:rsidRPr="006A4559" w:rsidRDefault="00D95CD7" w:rsidP="00D95CD7">
            <w:pPr>
              <w:ind w:right="105"/>
              <w:jc w:val="right"/>
              <w:rPr>
                <w:rFonts w:ascii="Verdana" w:hAnsi="Verdana"/>
                <w:sz w:val="20"/>
                <w:szCs w:val="20"/>
              </w:rPr>
            </w:pPr>
            <w:r w:rsidRPr="006A4559">
              <w:rPr>
                <w:rFonts w:ascii="Verdana" w:hAnsi="Verdana"/>
                <w:sz w:val="20"/>
                <w:szCs w:val="20"/>
              </w:rPr>
              <w:t>17</w:t>
            </w:r>
          </w:p>
        </w:tc>
        <w:tc>
          <w:tcPr>
            <w:tcW w:w="1980" w:type="dxa"/>
          </w:tcPr>
          <w:p w14:paraId="32606C7C" w14:textId="6A590D0D" w:rsidR="00D95CD7" w:rsidRPr="006A4559" w:rsidRDefault="00D95CD7" w:rsidP="00D95CD7">
            <w:pPr>
              <w:ind w:right="105"/>
              <w:jc w:val="right"/>
              <w:rPr>
                <w:rFonts w:ascii="Verdana" w:hAnsi="Verdana"/>
                <w:sz w:val="20"/>
                <w:szCs w:val="20"/>
              </w:rPr>
            </w:pPr>
            <w:r w:rsidRPr="006A4559">
              <w:rPr>
                <w:rFonts w:ascii="Verdana" w:hAnsi="Verdana"/>
                <w:sz w:val="20"/>
                <w:szCs w:val="20"/>
              </w:rPr>
              <w:t>3%</w:t>
            </w:r>
          </w:p>
        </w:tc>
        <w:tc>
          <w:tcPr>
            <w:tcW w:w="1890" w:type="dxa"/>
          </w:tcPr>
          <w:p w14:paraId="382EA438" w14:textId="75568E40" w:rsidR="00D95CD7" w:rsidRPr="006A4559" w:rsidRDefault="00D95CD7" w:rsidP="00D95CD7">
            <w:pPr>
              <w:ind w:right="105"/>
              <w:jc w:val="right"/>
              <w:rPr>
                <w:rFonts w:ascii="Verdana" w:hAnsi="Verdana"/>
                <w:sz w:val="20"/>
                <w:szCs w:val="20"/>
              </w:rPr>
            </w:pPr>
            <w:r w:rsidRPr="006A4559">
              <w:rPr>
                <w:rFonts w:ascii="Verdana" w:hAnsi="Verdana"/>
                <w:sz w:val="20"/>
                <w:szCs w:val="20"/>
              </w:rPr>
              <w:t>1,846</w:t>
            </w:r>
          </w:p>
        </w:tc>
        <w:tc>
          <w:tcPr>
            <w:tcW w:w="1435" w:type="dxa"/>
          </w:tcPr>
          <w:p w14:paraId="705EC3A5" w14:textId="149C27FC" w:rsidR="00D95CD7" w:rsidRPr="006A4559" w:rsidRDefault="00D95CD7" w:rsidP="00D95CD7">
            <w:pPr>
              <w:ind w:right="105"/>
              <w:jc w:val="right"/>
              <w:rPr>
                <w:rFonts w:ascii="Verdana" w:hAnsi="Verdana"/>
                <w:sz w:val="20"/>
                <w:szCs w:val="20"/>
              </w:rPr>
            </w:pPr>
            <w:r w:rsidRPr="006A4559">
              <w:rPr>
                <w:rFonts w:ascii="Verdana" w:hAnsi="Verdana"/>
                <w:sz w:val="20"/>
                <w:szCs w:val="20"/>
              </w:rPr>
              <w:t>10%</w:t>
            </w:r>
          </w:p>
        </w:tc>
      </w:tr>
      <w:tr w:rsidR="00D95CD7" w:rsidRPr="00FF543F" w14:paraId="693BF2EA" w14:textId="77777777" w:rsidTr="00C70336">
        <w:tc>
          <w:tcPr>
            <w:tcW w:w="3055" w:type="dxa"/>
          </w:tcPr>
          <w:p w14:paraId="305BBA1D" w14:textId="775AF2F0" w:rsidR="00D95CD7" w:rsidRPr="006A4559" w:rsidRDefault="00D95CD7" w:rsidP="00D95CD7">
            <w:pPr>
              <w:jc w:val="both"/>
              <w:rPr>
                <w:rFonts w:ascii="Verdana" w:hAnsi="Verdana"/>
                <w:sz w:val="20"/>
                <w:szCs w:val="20"/>
              </w:rPr>
            </w:pPr>
            <w:r w:rsidRPr="006A4559">
              <w:rPr>
                <w:rFonts w:ascii="Verdana" w:hAnsi="Verdana"/>
                <w:sz w:val="20"/>
                <w:szCs w:val="20"/>
              </w:rPr>
              <w:t>Property coverage</w:t>
            </w:r>
          </w:p>
        </w:tc>
        <w:tc>
          <w:tcPr>
            <w:tcW w:w="990" w:type="dxa"/>
          </w:tcPr>
          <w:p w14:paraId="49FFA98D" w14:textId="27880330" w:rsidR="00D95CD7" w:rsidRPr="006A4559" w:rsidRDefault="00D95CD7" w:rsidP="00D95CD7">
            <w:pPr>
              <w:ind w:right="105"/>
              <w:jc w:val="right"/>
              <w:rPr>
                <w:rFonts w:ascii="Verdana" w:hAnsi="Verdana"/>
                <w:sz w:val="20"/>
                <w:szCs w:val="20"/>
              </w:rPr>
            </w:pPr>
            <w:r w:rsidRPr="006A4559">
              <w:rPr>
                <w:rFonts w:ascii="Verdana" w:hAnsi="Verdana"/>
                <w:sz w:val="20"/>
                <w:szCs w:val="20"/>
              </w:rPr>
              <w:t>64</w:t>
            </w:r>
          </w:p>
        </w:tc>
        <w:tc>
          <w:tcPr>
            <w:tcW w:w="1980" w:type="dxa"/>
          </w:tcPr>
          <w:p w14:paraId="701856D8" w14:textId="610AA53A" w:rsidR="00D95CD7" w:rsidRPr="006A4559" w:rsidRDefault="00D95CD7" w:rsidP="00D95CD7">
            <w:pPr>
              <w:ind w:right="105"/>
              <w:jc w:val="right"/>
              <w:rPr>
                <w:rFonts w:ascii="Verdana" w:hAnsi="Verdana"/>
                <w:sz w:val="20"/>
                <w:szCs w:val="20"/>
              </w:rPr>
            </w:pPr>
            <w:r w:rsidRPr="006A4559">
              <w:rPr>
                <w:rFonts w:ascii="Verdana" w:hAnsi="Verdana"/>
                <w:sz w:val="20"/>
                <w:szCs w:val="20"/>
              </w:rPr>
              <w:t>10%</w:t>
            </w:r>
          </w:p>
        </w:tc>
        <w:tc>
          <w:tcPr>
            <w:tcW w:w="1890" w:type="dxa"/>
          </w:tcPr>
          <w:p w14:paraId="70C88764" w14:textId="78017C6A" w:rsidR="00D95CD7" w:rsidRPr="006A4559" w:rsidRDefault="00D95CD7" w:rsidP="00D95CD7">
            <w:pPr>
              <w:ind w:right="105"/>
              <w:jc w:val="right"/>
              <w:rPr>
                <w:rFonts w:ascii="Verdana" w:hAnsi="Verdana"/>
                <w:sz w:val="20"/>
                <w:szCs w:val="20"/>
              </w:rPr>
            </w:pPr>
            <w:r w:rsidRPr="006A4559">
              <w:rPr>
                <w:rFonts w:ascii="Verdana" w:hAnsi="Verdana"/>
                <w:sz w:val="20"/>
                <w:szCs w:val="20"/>
              </w:rPr>
              <w:t>1,396</w:t>
            </w:r>
          </w:p>
        </w:tc>
        <w:tc>
          <w:tcPr>
            <w:tcW w:w="1435" w:type="dxa"/>
          </w:tcPr>
          <w:p w14:paraId="57FEE8F5" w14:textId="10E91052" w:rsidR="00D95CD7" w:rsidRPr="006A4559" w:rsidRDefault="00D95CD7" w:rsidP="00D95CD7">
            <w:pPr>
              <w:ind w:right="105"/>
              <w:jc w:val="right"/>
              <w:rPr>
                <w:rFonts w:ascii="Verdana" w:hAnsi="Verdana"/>
                <w:sz w:val="20"/>
                <w:szCs w:val="20"/>
              </w:rPr>
            </w:pPr>
            <w:r w:rsidRPr="006A4559">
              <w:rPr>
                <w:rFonts w:ascii="Verdana" w:hAnsi="Verdana"/>
                <w:sz w:val="20"/>
                <w:szCs w:val="20"/>
              </w:rPr>
              <w:t>8%</w:t>
            </w:r>
          </w:p>
        </w:tc>
      </w:tr>
      <w:tr w:rsidR="00D95CD7" w:rsidRPr="00FF543F" w14:paraId="747602F7" w14:textId="77777777" w:rsidTr="00C70336">
        <w:tc>
          <w:tcPr>
            <w:tcW w:w="3055" w:type="dxa"/>
          </w:tcPr>
          <w:p w14:paraId="1927731D" w14:textId="2321457F" w:rsidR="00D95CD7" w:rsidRPr="006A4559" w:rsidRDefault="00D95CD7" w:rsidP="00D95CD7">
            <w:pPr>
              <w:jc w:val="both"/>
              <w:rPr>
                <w:rFonts w:ascii="Verdana" w:hAnsi="Verdana"/>
                <w:sz w:val="20"/>
                <w:szCs w:val="20"/>
              </w:rPr>
            </w:pPr>
            <w:r w:rsidRPr="006A4559">
              <w:rPr>
                <w:rFonts w:ascii="Verdana" w:hAnsi="Verdana"/>
                <w:sz w:val="20"/>
                <w:szCs w:val="20"/>
              </w:rPr>
              <w:t>Life – direct</w:t>
            </w:r>
          </w:p>
        </w:tc>
        <w:tc>
          <w:tcPr>
            <w:tcW w:w="990" w:type="dxa"/>
          </w:tcPr>
          <w:p w14:paraId="1977E4D9" w14:textId="4E73DC6C" w:rsidR="00D95CD7" w:rsidRPr="006A4559" w:rsidRDefault="00D95CD7" w:rsidP="00D95CD7">
            <w:pPr>
              <w:ind w:right="105"/>
              <w:jc w:val="right"/>
              <w:rPr>
                <w:rFonts w:ascii="Verdana" w:hAnsi="Verdana"/>
                <w:sz w:val="20"/>
                <w:szCs w:val="20"/>
              </w:rPr>
            </w:pPr>
            <w:r w:rsidRPr="006A4559">
              <w:rPr>
                <w:rFonts w:ascii="Verdana" w:hAnsi="Verdana"/>
                <w:sz w:val="20"/>
                <w:szCs w:val="20"/>
              </w:rPr>
              <w:t>24</w:t>
            </w:r>
          </w:p>
        </w:tc>
        <w:tc>
          <w:tcPr>
            <w:tcW w:w="1980" w:type="dxa"/>
          </w:tcPr>
          <w:p w14:paraId="27930CFC" w14:textId="4DDBF96B" w:rsidR="00D95CD7" w:rsidRPr="006A4559" w:rsidRDefault="00D95CD7" w:rsidP="00D95CD7">
            <w:pPr>
              <w:ind w:right="105"/>
              <w:jc w:val="right"/>
              <w:rPr>
                <w:rFonts w:ascii="Verdana" w:hAnsi="Verdana"/>
                <w:sz w:val="20"/>
                <w:szCs w:val="20"/>
              </w:rPr>
            </w:pPr>
            <w:r w:rsidRPr="006A4559">
              <w:rPr>
                <w:rFonts w:ascii="Verdana" w:hAnsi="Verdana"/>
                <w:sz w:val="20"/>
                <w:szCs w:val="20"/>
              </w:rPr>
              <w:t>4%</w:t>
            </w:r>
          </w:p>
        </w:tc>
        <w:tc>
          <w:tcPr>
            <w:tcW w:w="1890" w:type="dxa"/>
          </w:tcPr>
          <w:p w14:paraId="4F65E335" w14:textId="0AFC6414" w:rsidR="00D95CD7" w:rsidRPr="006A4559" w:rsidRDefault="00D95CD7" w:rsidP="00D95CD7">
            <w:pPr>
              <w:ind w:right="105"/>
              <w:jc w:val="right"/>
              <w:rPr>
                <w:rFonts w:ascii="Verdana" w:hAnsi="Verdana"/>
                <w:sz w:val="20"/>
                <w:szCs w:val="20"/>
              </w:rPr>
            </w:pPr>
            <w:r w:rsidRPr="006A4559">
              <w:rPr>
                <w:rFonts w:ascii="Verdana" w:hAnsi="Verdana"/>
                <w:sz w:val="20"/>
                <w:szCs w:val="20"/>
              </w:rPr>
              <w:t>782</w:t>
            </w:r>
          </w:p>
        </w:tc>
        <w:tc>
          <w:tcPr>
            <w:tcW w:w="1435" w:type="dxa"/>
          </w:tcPr>
          <w:p w14:paraId="12CA42EC" w14:textId="0F97FD74" w:rsidR="00D95CD7" w:rsidRPr="006A4559" w:rsidRDefault="00D95CD7" w:rsidP="00D95CD7">
            <w:pPr>
              <w:ind w:right="105"/>
              <w:jc w:val="right"/>
              <w:rPr>
                <w:rFonts w:ascii="Verdana" w:hAnsi="Verdana"/>
                <w:sz w:val="20"/>
                <w:szCs w:val="20"/>
              </w:rPr>
            </w:pPr>
            <w:r w:rsidRPr="006A4559">
              <w:rPr>
                <w:rFonts w:ascii="Verdana" w:hAnsi="Verdana"/>
                <w:sz w:val="20"/>
                <w:szCs w:val="20"/>
              </w:rPr>
              <w:t>4%</w:t>
            </w:r>
          </w:p>
        </w:tc>
      </w:tr>
      <w:tr w:rsidR="00D95CD7" w:rsidRPr="00FF543F" w14:paraId="2B4ACAF6" w14:textId="77777777" w:rsidTr="00C70336">
        <w:tc>
          <w:tcPr>
            <w:tcW w:w="3055" w:type="dxa"/>
          </w:tcPr>
          <w:p w14:paraId="3BE2FB23" w14:textId="5EA80964" w:rsidR="00D95CD7" w:rsidRPr="006A4559" w:rsidRDefault="00D95CD7" w:rsidP="00D95CD7">
            <w:pPr>
              <w:jc w:val="both"/>
              <w:rPr>
                <w:rFonts w:ascii="Verdana" w:hAnsi="Verdana"/>
                <w:sz w:val="20"/>
                <w:szCs w:val="20"/>
              </w:rPr>
            </w:pPr>
            <w:r w:rsidRPr="006A4559">
              <w:rPr>
                <w:rFonts w:ascii="Verdana" w:hAnsi="Verdana"/>
                <w:sz w:val="20"/>
                <w:szCs w:val="20"/>
              </w:rPr>
              <w:t>Accident &amp; Health</w:t>
            </w:r>
          </w:p>
        </w:tc>
        <w:tc>
          <w:tcPr>
            <w:tcW w:w="990" w:type="dxa"/>
          </w:tcPr>
          <w:p w14:paraId="0DC9386C" w14:textId="2EBBA475" w:rsidR="00D95CD7" w:rsidRPr="006A4559" w:rsidRDefault="00D95CD7" w:rsidP="00D95CD7">
            <w:pPr>
              <w:ind w:right="105"/>
              <w:jc w:val="right"/>
              <w:rPr>
                <w:rFonts w:ascii="Verdana" w:hAnsi="Verdana"/>
                <w:sz w:val="20"/>
                <w:szCs w:val="20"/>
              </w:rPr>
            </w:pPr>
            <w:r w:rsidRPr="006A4559">
              <w:rPr>
                <w:rFonts w:ascii="Verdana" w:hAnsi="Verdana"/>
                <w:sz w:val="20"/>
                <w:szCs w:val="20"/>
              </w:rPr>
              <w:t>13</w:t>
            </w:r>
          </w:p>
        </w:tc>
        <w:tc>
          <w:tcPr>
            <w:tcW w:w="1980" w:type="dxa"/>
          </w:tcPr>
          <w:p w14:paraId="7B863E61" w14:textId="0A31C103" w:rsidR="00D95CD7" w:rsidRPr="006A4559" w:rsidRDefault="00D95CD7" w:rsidP="00D95CD7">
            <w:pPr>
              <w:ind w:right="105"/>
              <w:jc w:val="right"/>
              <w:rPr>
                <w:rFonts w:ascii="Verdana" w:hAnsi="Verdana"/>
                <w:sz w:val="20"/>
                <w:szCs w:val="20"/>
              </w:rPr>
            </w:pPr>
            <w:r w:rsidRPr="006A4559">
              <w:rPr>
                <w:rFonts w:ascii="Verdana" w:hAnsi="Verdana"/>
                <w:sz w:val="20"/>
                <w:szCs w:val="20"/>
              </w:rPr>
              <w:t>2%</w:t>
            </w:r>
          </w:p>
        </w:tc>
        <w:tc>
          <w:tcPr>
            <w:tcW w:w="1890" w:type="dxa"/>
          </w:tcPr>
          <w:p w14:paraId="68140373" w14:textId="23A6DEB9" w:rsidR="00D95CD7" w:rsidRPr="006A4559" w:rsidRDefault="00D95CD7" w:rsidP="00D95CD7">
            <w:pPr>
              <w:ind w:right="105"/>
              <w:jc w:val="right"/>
              <w:rPr>
                <w:rFonts w:ascii="Verdana" w:hAnsi="Verdana"/>
                <w:sz w:val="20"/>
                <w:szCs w:val="20"/>
              </w:rPr>
            </w:pPr>
            <w:r w:rsidRPr="006A4559">
              <w:rPr>
                <w:rFonts w:ascii="Verdana" w:hAnsi="Verdana"/>
                <w:sz w:val="20"/>
                <w:szCs w:val="20"/>
              </w:rPr>
              <w:t>150</w:t>
            </w:r>
          </w:p>
        </w:tc>
        <w:tc>
          <w:tcPr>
            <w:tcW w:w="1435" w:type="dxa"/>
          </w:tcPr>
          <w:p w14:paraId="62D5487D" w14:textId="768AFD20" w:rsidR="00D95CD7" w:rsidRPr="006A4559" w:rsidRDefault="00D95CD7" w:rsidP="00D95CD7">
            <w:pPr>
              <w:ind w:right="105"/>
              <w:jc w:val="right"/>
              <w:rPr>
                <w:rFonts w:ascii="Verdana" w:hAnsi="Verdana"/>
                <w:sz w:val="20"/>
                <w:szCs w:val="20"/>
              </w:rPr>
            </w:pPr>
            <w:r w:rsidRPr="006A4559">
              <w:rPr>
                <w:rFonts w:ascii="Verdana" w:hAnsi="Verdana"/>
                <w:sz w:val="20"/>
                <w:szCs w:val="20"/>
              </w:rPr>
              <w:t>0.8%</w:t>
            </w:r>
          </w:p>
        </w:tc>
      </w:tr>
      <w:tr w:rsidR="00D95CD7" w:rsidRPr="00FF543F" w14:paraId="6DF8DFC2" w14:textId="77777777" w:rsidTr="00C70336">
        <w:tc>
          <w:tcPr>
            <w:tcW w:w="3055" w:type="dxa"/>
          </w:tcPr>
          <w:p w14:paraId="6F591A41" w14:textId="0488F3AD" w:rsidR="00D95CD7" w:rsidRPr="006A4559" w:rsidRDefault="00D95CD7" w:rsidP="00D95CD7">
            <w:pPr>
              <w:jc w:val="both"/>
              <w:rPr>
                <w:rFonts w:ascii="Verdana" w:hAnsi="Verdana"/>
                <w:sz w:val="20"/>
                <w:szCs w:val="20"/>
              </w:rPr>
            </w:pPr>
            <w:r w:rsidRPr="006A4559">
              <w:rPr>
                <w:rFonts w:ascii="Verdana" w:hAnsi="Verdana"/>
                <w:sz w:val="20"/>
                <w:szCs w:val="20"/>
              </w:rPr>
              <w:t>Marine &amp; Aviation</w:t>
            </w:r>
          </w:p>
        </w:tc>
        <w:tc>
          <w:tcPr>
            <w:tcW w:w="990" w:type="dxa"/>
          </w:tcPr>
          <w:p w14:paraId="4851161D" w14:textId="14F8E05C" w:rsidR="00D95CD7" w:rsidRPr="006A4559" w:rsidRDefault="00D95CD7" w:rsidP="00D95CD7">
            <w:pPr>
              <w:ind w:right="105"/>
              <w:jc w:val="right"/>
              <w:rPr>
                <w:rFonts w:ascii="Verdana" w:hAnsi="Verdana"/>
                <w:sz w:val="20"/>
                <w:szCs w:val="20"/>
              </w:rPr>
            </w:pPr>
            <w:r w:rsidRPr="006A4559">
              <w:rPr>
                <w:rFonts w:ascii="Verdana" w:hAnsi="Verdana"/>
                <w:sz w:val="20"/>
                <w:szCs w:val="20"/>
              </w:rPr>
              <w:t>8</w:t>
            </w:r>
          </w:p>
        </w:tc>
        <w:tc>
          <w:tcPr>
            <w:tcW w:w="1980" w:type="dxa"/>
          </w:tcPr>
          <w:p w14:paraId="69CA42F4" w14:textId="3662FC36" w:rsidR="00D95CD7" w:rsidRPr="006A4559" w:rsidRDefault="00D95CD7" w:rsidP="00D95CD7">
            <w:pPr>
              <w:ind w:right="105"/>
              <w:jc w:val="right"/>
              <w:rPr>
                <w:rFonts w:ascii="Verdana" w:hAnsi="Verdana"/>
                <w:sz w:val="20"/>
                <w:szCs w:val="20"/>
              </w:rPr>
            </w:pPr>
            <w:r w:rsidRPr="006A4559">
              <w:rPr>
                <w:rFonts w:ascii="Verdana" w:hAnsi="Verdana"/>
                <w:sz w:val="20"/>
                <w:szCs w:val="20"/>
              </w:rPr>
              <w:t>1%</w:t>
            </w:r>
          </w:p>
        </w:tc>
        <w:tc>
          <w:tcPr>
            <w:tcW w:w="1890" w:type="dxa"/>
          </w:tcPr>
          <w:p w14:paraId="0F77847A" w14:textId="7E5097CA" w:rsidR="00D95CD7" w:rsidRPr="006A4559" w:rsidRDefault="00D95CD7" w:rsidP="00D95CD7">
            <w:pPr>
              <w:ind w:right="105"/>
              <w:jc w:val="right"/>
              <w:rPr>
                <w:rFonts w:ascii="Verdana" w:hAnsi="Verdana"/>
                <w:sz w:val="20"/>
                <w:szCs w:val="20"/>
              </w:rPr>
            </w:pPr>
            <w:r w:rsidRPr="006A4559">
              <w:rPr>
                <w:rFonts w:ascii="Verdana" w:hAnsi="Verdana"/>
                <w:sz w:val="20"/>
                <w:szCs w:val="20"/>
              </w:rPr>
              <w:t>36</w:t>
            </w:r>
          </w:p>
        </w:tc>
        <w:tc>
          <w:tcPr>
            <w:tcW w:w="1435" w:type="dxa"/>
          </w:tcPr>
          <w:p w14:paraId="7721FD21" w14:textId="1F6270D8" w:rsidR="00D95CD7" w:rsidRPr="006A4559" w:rsidRDefault="00D95CD7" w:rsidP="00D95CD7">
            <w:pPr>
              <w:ind w:right="105"/>
              <w:jc w:val="right"/>
              <w:rPr>
                <w:rFonts w:ascii="Verdana" w:hAnsi="Verdana"/>
                <w:sz w:val="20"/>
                <w:szCs w:val="20"/>
              </w:rPr>
            </w:pPr>
            <w:r w:rsidRPr="006A4559">
              <w:rPr>
                <w:rFonts w:ascii="Verdana" w:hAnsi="Verdana"/>
                <w:sz w:val="20"/>
                <w:szCs w:val="20"/>
              </w:rPr>
              <w:t>0.2%</w:t>
            </w:r>
          </w:p>
        </w:tc>
      </w:tr>
      <w:tr w:rsidR="00D95CD7" w:rsidRPr="00FF543F" w14:paraId="7E8DBE68" w14:textId="77777777" w:rsidTr="00C70336">
        <w:tc>
          <w:tcPr>
            <w:tcW w:w="3055" w:type="dxa"/>
          </w:tcPr>
          <w:p w14:paraId="6D78E353" w14:textId="18E50435" w:rsidR="00D95CD7" w:rsidRPr="006A4559" w:rsidRDefault="00D95CD7" w:rsidP="00D95CD7">
            <w:pPr>
              <w:jc w:val="center"/>
              <w:rPr>
                <w:rFonts w:ascii="Verdana" w:hAnsi="Verdana"/>
                <w:b/>
                <w:bCs/>
                <w:sz w:val="20"/>
                <w:szCs w:val="20"/>
              </w:rPr>
            </w:pPr>
            <w:r w:rsidRPr="006A4559">
              <w:rPr>
                <w:rFonts w:ascii="Verdana" w:hAnsi="Verdana"/>
                <w:b/>
                <w:bCs/>
                <w:sz w:val="20"/>
                <w:szCs w:val="20"/>
              </w:rPr>
              <w:t>Total</w:t>
            </w:r>
          </w:p>
        </w:tc>
        <w:tc>
          <w:tcPr>
            <w:tcW w:w="990" w:type="dxa"/>
          </w:tcPr>
          <w:p w14:paraId="51B5E27C" w14:textId="1662AE36" w:rsidR="00D95CD7" w:rsidRPr="006A4559" w:rsidRDefault="00D95CD7" w:rsidP="00D95CD7">
            <w:pPr>
              <w:ind w:right="105"/>
              <w:jc w:val="right"/>
              <w:rPr>
                <w:rFonts w:ascii="Verdana" w:hAnsi="Verdana"/>
                <w:b/>
                <w:bCs/>
                <w:sz w:val="20"/>
                <w:szCs w:val="20"/>
              </w:rPr>
            </w:pPr>
            <w:r w:rsidRPr="006A4559">
              <w:rPr>
                <w:rFonts w:ascii="Verdana" w:hAnsi="Verdana"/>
                <w:b/>
                <w:bCs/>
                <w:sz w:val="20"/>
                <w:szCs w:val="20"/>
              </w:rPr>
              <w:t>646</w:t>
            </w:r>
          </w:p>
        </w:tc>
        <w:tc>
          <w:tcPr>
            <w:tcW w:w="1980" w:type="dxa"/>
          </w:tcPr>
          <w:p w14:paraId="49BE8849" w14:textId="1903851C" w:rsidR="00D95CD7" w:rsidRPr="006A4559" w:rsidRDefault="00D95CD7" w:rsidP="00D95CD7">
            <w:pPr>
              <w:ind w:right="105"/>
              <w:jc w:val="right"/>
              <w:rPr>
                <w:rFonts w:ascii="Verdana" w:hAnsi="Verdana"/>
                <w:b/>
                <w:bCs/>
                <w:sz w:val="20"/>
                <w:szCs w:val="20"/>
              </w:rPr>
            </w:pPr>
            <w:r w:rsidRPr="006A4559">
              <w:rPr>
                <w:rFonts w:ascii="Verdana" w:hAnsi="Verdana"/>
                <w:b/>
                <w:bCs/>
                <w:sz w:val="20"/>
                <w:szCs w:val="20"/>
              </w:rPr>
              <w:t>100%</w:t>
            </w:r>
          </w:p>
        </w:tc>
        <w:tc>
          <w:tcPr>
            <w:tcW w:w="1890" w:type="dxa"/>
          </w:tcPr>
          <w:p w14:paraId="2D7F3F2C" w14:textId="03FFF800" w:rsidR="00D95CD7" w:rsidRPr="006A4559" w:rsidRDefault="00D95CD7" w:rsidP="00D95CD7">
            <w:pPr>
              <w:ind w:right="105"/>
              <w:jc w:val="right"/>
              <w:rPr>
                <w:rFonts w:ascii="Verdana" w:hAnsi="Verdana"/>
                <w:b/>
                <w:bCs/>
                <w:sz w:val="20"/>
                <w:szCs w:val="20"/>
              </w:rPr>
            </w:pPr>
            <w:r w:rsidRPr="006A4559">
              <w:rPr>
                <w:rFonts w:ascii="Verdana" w:hAnsi="Verdana"/>
                <w:b/>
                <w:bCs/>
                <w:sz w:val="20"/>
                <w:szCs w:val="20"/>
              </w:rPr>
              <w:t>17,963</w:t>
            </w:r>
          </w:p>
        </w:tc>
        <w:tc>
          <w:tcPr>
            <w:tcW w:w="1435" w:type="dxa"/>
          </w:tcPr>
          <w:p w14:paraId="05A74EFC" w14:textId="10E90C47" w:rsidR="00D95CD7" w:rsidRPr="006A4559" w:rsidRDefault="00D95CD7" w:rsidP="00D95CD7">
            <w:pPr>
              <w:ind w:right="105"/>
              <w:jc w:val="right"/>
              <w:rPr>
                <w:rFonts w:ascii="Verdana" w:hAnsi="Verdana"/>
                <w:b/>
                <w:bCs/>
                <w:sz w:val="20"/>
                <w:szCs w:val="20"/>
              </w:rPr>
            </w:pPr>
            <w:r w:rsidRPr="006A4559">
              <w:rPr>
                <w:rFonts w:ascii="Verdana" w:hAnsi="Verdana"/>
                <w:b/>
                <w:bCs/>
                <w:sz w:val="20"/>
                <w:szCs w:val="20"/>
              </w:rPr>
              <w:t>100%</w:t>
            </w:r>
          </w:p>
        </w:tc>
      </w:tr>
    </w:tbl>
    <w:p w14:paraId="3CA1011C" w14:textId="77777777" w:rsidR="000E250C" w:rsidRDefault="000E250C" w:rsidP="008426E4">
      <w:pPr>
        <w:jc w:val="both"/>
        <w:rPr>
          <w:rFonts w:ascii="Verdana" w:hAnsi="Verdana"/>
          <w:sz w:val="20"/>
          <w:szCs w:val="20"/>
        </w:rPr>
      </w:pPr>
    </w:p>
    <w:p w14:paraId="4B24C092" w14:textId="3B6C1651" w:rsidR="001B7137" w:rsidRPr="00FF543F" w:rsidRDefault="00C31ED6" w:rsidP="008426E4">
      <w:pPr>
        <w:jc w:val="both"/>
        <w:rPr>
          <w:rFonts w:ascii="Verdana" w:hAnsi="Verdana"/>
          <w:sz w:val="20"/>
          <w:szCs w:val="20"/>
        </w:rPr>
      </w:pPr>
      <w:r w:rsidRPr="00FF543F">
        <w:rPr>
          <w:rFonts w:ascii="Verdana" w:hAnsi="Verdana"/>
          <w:noProof/>
          <w:sz w:val="20"/>
          <w:szCs w:val="20"/>
        </w:rPr>
        <w:lastRenderedPageBreak/>
        <mc:AlternateContent>
          <mc:Choice Requires="wps">
            <w:drawing>
              <wp:anchor distT="45720" distB="45720" distL="114300" distR="114300" simplePos="0" relativeHeight="251724800" behindDoc="0" locked="0" layoutInCell="1" allowOverlap="1" wp14:anchorId="4F5CBAE2" wp14:editId="1D6C84C5">
                <wp:simplePos x="0" y="0"/>
                <wp:positionH relativeFrom="margin">
                  <wp:posOffset>1771650</wp:posOffset>
                </wp:positionH>
                <wp:positionV relativeFrom="paragraph">
                  <wp:posOffset>838200</wp:posOffset>
                </wp:positionV>
                <wp:extent cx="42767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noFill/>
                        <a:ln w="9525">
                          <a:noFill/>
                          <a:miter lim="800000"/>
                          <a:headEnd/>
                          <a:tailEnd/>
                        </a:ln>
                      </wps:spPr>
                      <wps:txbx>
                        <w:txbxContent>
                          <w:p w14:paraId="2C5E2E0D" w14:textId="001FF317" w:rsidR="00D95C49" w:rsidRDefault="00D95C49" w:rsidP="00C31ED6">
                            <w:pPr>
                              <w:jc w:val="both"/>
                            </w:pPr>
                            <w:r>
                              <w:t xml:space="preserve">Approx. 91% of the risks (re)insured by Cayman based insurers originated from the United States of America (“United States”) and the balance 9% of the risks originated from the Caribbean and Latin America (3%), Europe (1%) and rest of the world (5%). Due to state insurance laws in the United States of America, most United States risks were fronted or ceded to Cayman based insurers through regulated cedant companies based in the United States.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CBAE2" id="_x0000_s1034" type="#_x0000_t202" style="position:absolute;left:0;text-align:left;margin-left:139.5pt;margin-top:66pt;width:336.75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" filled="f" stroked="f">
                <v:textbox style="mso-fit-shape-to-text:t">
                  <w:txbxContent>
                    <w:p w14:paraId="2C5E2E0D" w14:textId="001FF317" w:rsidR="00D95C49" w:rsidRDefault="00D95C49" w:rsidP="00C31ED6">
                      <w:pPr>
                        <w:jc w:val="both"/>
                      </w:pPr>
                      <w:r>
                        <w:t xml:space="preserve">Approx. 91% of the risks (re)insured by Cayman based insurers originated from the United States of America (“United States”) and the balance 9% of the risks originated from the Caribbean and Latin America (3%), Europe (1%) and rest of the world (5%). Due to state insurance laws in the United States of America, most United States risks were fronted or ceded to Cayman based insurers through regulated cedant companies based in the United States. </w:t>
                      </w:r>
                    </w:p>
                  </w:txbxContent>
                </v:textbox>
                <w10:wrap type="square" anchorx="margin"/>
              </v:shape>
            </w:pict>
          </mc:Fallback>
        </mc:AlternateContent>
      </w:r>
      <w:r w:rsidR="001B7137" w:rsidRPr="00FF543F">
        <w:rPr>
          <w:rFonts w:ascii="Verdana" w:hAnsi="Verdana"/>
          <w:sz w:val="20"/>
          <w:szCs w:val="20"/>
        </w:rPr>
        <w:t>Due to the nature of the class of business and insurance products, only 5% of the 646 insurers (Life – direct and Marine &amp; Aviation insurers) are considered ‘high’ for money laundering and terrorist financing exposures. In terms of total premium, this segment accounts for 4.2% of the total premium of US$17,963 million.</w:t>
      </w:r>
    </w:p>
    <w:p w14:paraId="033EB62B" w14:textId="79959199" w:rsidR="001B7137" w:rsidRDefault="001B7137" w:rsidP="008426E4">
      <w:pPr>
        <w:jc w:val="both"/>
      </w:pPr>
      <w:r>
        <w:rPr>
          <w:noProof/>
        </w:rPr>
        <w:drawing>
          <wp:anchor distT="0" distB="0" distL="114300" distR="114300" simplePos="0" relativeHeight="251721728" behindDoc="0" locked="0" layoutInCell="1" allowOverlap="1" wp14:anchorId="48C8B7F1" wp14:editId="20B6377D">
            <wp:simplePos x="0" y="0"/>
            <wp:positionH relativeFrom="margin">
              <wp:posOffset>-47625</wp:posOffset>
            </wp:positionH>
            <wp:positionV relativeFrom="paragraph">
              <wp:posOffset>18415</wp:posOffset>
            </wp:positionV>
            <wp:extent cx="1533525" cy="1533526"/>
            <wp:effectExtent l="0" t="0" r="0" b="9525"/>
            <wp:wrapNone/>
            <wp:docPr id="18" name="Picture 4" descr="Image result for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result for united states of ame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33526"/>
                    </a:xfrm>
                    <a:prstGeom prst="rect">
                      <a:avLst/>
                    </a:prstGeom>
                    <a:noFill/>
                  </pic:spPr>
                </pic:pic>
              </a:graphicData>
            </a:graphic>
            <wp14:sizeRelH relativeFrom="margin">
              <wp14:pctWidth>0</wp14:pctWidth>
            </wp14:sizeRelH>
            <wp14:sizeRelV relativeFrom="margin">
              <wp14:pctHeight>0</wp14:pctHeight>
            </wp14:sizeRelV>
          </wp:anchor>
        </w:drawing>
      </w:r>
    </w:p>
    <w:p w14:paraId="6B68A464" w14:textId="7F1D123F" w:rsidR="001B7137" w:rsidRDefault="001B7137" w:rsidP="008426E4">
      <w:pPr>
        <w:jc w:val="both"/>
      </w:pPr>
    </w:p>
    <w:p w14:paraId="271E94D6" w14:textId="64F0CAAF" w:rsidR="001B7137" w:rsidRDefault="00E82DA6" w:rsidP="008426E4">
      <w:pPr>
        <w:jc w:val="both"/>
      </w:pPr>
      <w:r>
        <w:rPr>
          <w:noProof/>
        </w:rPr>
        <mc:AlternateContent>
          <mc:Choice Requires="wps">
            <w:drawing>
              <wp:anchor distT="0" distB="0" distL="114300" distR="114300" simplePos="0" relativeHeight="251722752" behindDoc="0" locked="0" layoutInCell="1" allowOverlap="1" wp14:anchorId="1EAF7317" wp14:editId="527D5FD3">
                <wp:simplePos x="0" y="0"/>
                <wp:positionH relativeFrom="margin">
                  <wp:posOffset>-124460</wp:posOffset>
                </wp:positionH>
                <wp:positionV relativeFrom="paragraph">
                  <wp:posOffset>328295</wp:posOffset>
                </wp:positionV>
                <wp:extent cx="1647825" cy="753745"/>
                <wp:effectExtent l="0" t="0" r="0" b="0"/>
                <wp:wrapNone/>
                <wp:docPr id="17" name="TextBox 19"/>
                <wp:cNvGraphicFramePr/>
                <a:graphic xmlns:a="http://schemas.openxmlformats.org/drawingml/2006/main">
                  <a:graphicData uri="http://schemas.microsoft.com/office/word/2010/wordprocessingShape">
                    <wps:wsp>
                      <wps:cNvSpPr txBox="1"/>
                      <wps:spPr>
                        <a:xfrm>
                          <a:off x="0" y="0"/>
                          <a:ext cx="1647825" cy="753745"/>
                        </a:xfrm>
                        <a:prstGeom prst="rect">
                          <a:avLst/>
                        </a:prstGeom>
                        <a:noFill/>
                      </wps:spPr>
                      <wps:txbx>
                        <w:txbxContent>
                          <w:p w14:paraId="66E3AD2C" w14:textId="77777777" w:rsidR="00D95C49" w:rsidRPr="00F30320" w:rsidRDefault="00D95C49" w:rsidP="00E82DA6">
                            <w:pPr>
                              <w:ind w:left="90"/>
                              <w:rPr>
                                <w:rFonts w:ascii="Verdana" w:hAnsi="Verdana"/>
                                <w:sz w:val="24"/>
                                <w:szCs w:val="24"/>
                              </w:rPr>
                            </w:pPr>
                            <w:r w:rsidRPr="00F30320">
                              <w:rPr>
                                <w:rFonts w:ascii="Verdana" w:hAnsi="Verdana" w:cs="Arial"/>
                                <w:b/>
                                <w:bCs/>
                                <w:color w:val="2960A3"/>
                                <w:kern w:val="24"/>
                                <w:sz w:val="24"/>
                                <w:szCs w:val="24"/>
                                <w14:shadow w14:blurRad="38100" w14:dist="38100" w14:dir="2700000" w14:sx="100000" w14:sy="100000" w14:kx="0" w14:ky="0" w14:algn="tl">
                                  <w14:srgbClr w14:val="000000">
                                    <w14:alpha w14:val="57000"/>
                                  </w14:srgbClr>
                                </w14:shadow>
                              </w:rPr>
                              <w:t>90% North American Risks</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w14:anchorId="1EAF7317" id="TextBox 19" o:spid="_x0000_s1035" type="#_x0000_t202" style="position:absolute;left:0;text-align:left;margin-left:-9.8pt;margin-top:25.85pt;width:129.75pt;height:59.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" filled="f" stroked="f">
                <v:textbox style="mso-fit-shape-to-text:t">
                  <w:txbxContent>
                    <w:p w14:paraId="66E3AD2C" w14:textId="77777777" w:rsidR="00D95C49" w:rsidRPr="00F30320" w:rsidRDefault="00D95C49" w:rsidP="00E82DA6">
                      <w:pPr>
                        <w:ind w:left="90"/>
                        <w:rPr>
                          <w:rFonts w:ascii="Verdana" w:hAnsi="Verdana"/>
                          <w:sz w:val="24"/>
                          <w:szCs w:val="24"/>
                        </w:rPr>
                      </w:pPr>
                      <w:r w:rsidRPr="00F30320">
                        <w:rPr>
                          <w:rFonts w:ascii="Verdana" w:hAnsi="Verdana" w:cs="Arial"/>
                          <w:b/>
                          <w:bCs/>
                          <w:color w:val="2960A3"/>
                          <w:kern w:val="24"/>
                          <w:sz w:val="24"/>
                          <w:szCs w:val="24"/>
                          <w14:shadow w14:blurRad="38100" w14:dist="38100" w14:dir="2700000" w14:sx="100000" w14:sy="100000" w14:kx="0" w14:ky="0" w14:algn="tl">
                            <w14:srgbClr w14:val="000000">
                              <w14:alpha w14:val="57000"/>
                            </w14:srgbClr>
                          </w14:shadow>
                        </w:rPr>
                        <w:t>90% North American Risks</w:t>
                      </w:r>
                    </w:p>
                  </w:txbxContent>
                </v:textbox>
                <w10:wrap anchorx="margin"/>
              </v:shape>
            </w:pict>
          </mc:Fallback>
        </mc:AlternateContent>
      </w:r>
    </w:p>
    <w:p w14:paraId="2049DE7D" w14:textId="1CF10245" w:rsidR="001B7137" w:rsidRDefault="001B7137" w:rsidP="008426E4">
      <w:pPr>
        <w:jc w:val="both"/>
      </w:pPr>
    </w:p>
    <w:p w14:paraId="171EEC6E" w14:textId="77777777" w:rsidR="006A4559" w:rsidRDefault="006A4559" w:rsidP="006A4559"/>
    <w:p w14:paraId="57FBA774" w14:textId="77777777" w:rsidR="006A4559" w:rsidRDefault="006A4559" w:rsidP="006A4559"/>
    <w:p w14:paraId="6DD32EAF" w14:textId="77777777" w:rsidR="006A4559" w:rsidRDefault="006A4559" w:rsidP="006A4559"/>
    <w:p w14:paraId="757C9945" w14:textId="6C5401BA" w:rsidR="001B7137" w:rsidRPr="006A4559" w:rsidRDefault="001E040B" w:rsidP="006A4559">
      <w:pPr>
        <w:jc w:val="both"/>
      </w:pPr>
      <w:r>
        <w:rPr>
          <w:rFonts w:ascii="Verdana" w:hAnsi="Verdana"/>
          <w:b/>
          <w:color w:val="0070C0"/>
          <w:sz w:val="24"/>
          <w:szCs w:val="24"/>
        </w:rPr>
        <w:t xml:space="preserve">3.0 </w:t>
      </w:r>
      <w:r w:rsidR="00005AA4" w:rsidRPr="0073382B">
        <w:rPr>
          <w:rFonts w:ascii="Verdana" w:hAnsi="Verdana"/>
          <w:b/>
          <w:color w:val="0070C0"/>
          <w:sz w:val="24"/>
          <w:szCs w:val="24"/>
        </w:rPr>
        <w:t xml:space="preserve">MONEY LAUNDERING (ML)/TERRORIST FINANCING (TF) EXPOSURE OF THE CAYMAN ISLANDS’ INSURANCE SECTOR </w:t>
      </w:r>
    </w:p>
    <w:p w14:paraId="0BEA5A45" w14:textId="44A60D52" w:rsidR="0073382B" w:rsidRPr="00CA3351" w:rsidRDefault="001E040B" w:rsidP="0073382B">
      <w:pPr>
        <w:jc w:val="both"/>
        <w:rPr>
          <w:rFonts w:ascii="Verdana" w:hAnsi="Verdana"/>
          <w:b/>
          <w:bCs/>
          <w:sz w:val="24"/>
          <w:szCs w:val="24"/>
        </w:rPr>
      </w:pPr>
      <w:r>
        <w:rPr>
          <w:rFonts w:ascii="Verdana" w:hAnsi="Verdana"/>
          <w:b/>
          <w:bCs/>
          <w:sz w:val="24"/>
          <w:szCs w:val="24"/>
        </w:rPr>
        <w:t xml:space="preserve">3.1 </w:t>
      </w:r>
      <w:r w:rsidR="0073382B" w:rsidRPr="0073382B">
        <w:rPr>
          <w:rFonts w:ascii="Verdana" w:hAnsi="Verdana"/>
          <w:b/>
          <w:bCs/>
          <w:sz w:val="24"/>
          <w:szCs w:val="24"/>
        </w:rPr>
        <w:t xml:space="preserve">Money Laundering (ML)/Terrorist Financing (TF) </w:t>
      </w:r>
      <w:r w:rsidR="0076083A">
        <w:rPr>
          <w:rFonts w:ascii="Verdana" w:hAnsi="Verdana"/>
          <w:b/>
          <w:bCs/>
          <w:sz w:val="24"/>
          <w:szCs w:val="24"/>
        </w:rPr>
        <w:t>– Inherent Risk</w:t>
      </w:r>
    </w:p>
    <w:p w14:paraId="75A57D66" w14:textId="3B4B537B" w:rsidR="00F50760" w:rsidRDefault="00F50760" w:rsidP="00F50760">
      <w:pPr>
        <w:jc w:val="both"/>
        <w:rPr>
          <w:rFonts w:ascii="Verdana" w:hAnsi="Verdana"/>
          <w:sz w:val="20"/>
          <w:szCs w:val="20"/>
        </w:rPr>
      </w:pPr>
      <w:r w:rsidRPr="00FA42B1">
        <w:rPr>
          <w:rFonts w:ascii="Verdana" w:hAnsi="Verdana"/>
          <w:sz w:val="20"/>
          <w:szCs w:val="20"/>
        </w:rPr>
        <w:t xml:space="preserve">The ability to use the insurance sector for ML/TF is generally regarded as lower than that of other </w:t>
      </w:r>
      <w:r>
        <w:rPr>
          <w:rFonts w:ascii="Verdana" w:hAnsi="Verdana"/>
          <w:sz w:val="20"/>
          <w:szCs w:val="20"/>
        </w:rPr>
        <w:t xml:space="preserve">financial </w:t>
      </w:r>
      <w:r w:rsidRPr="00FA42B1">
        <w:rPr>
          <w:rFonts w:ascii="Verdana" w:hAnsi="Verdana"/>
          <w:sz w:val="20"/>
          <w:szCs w:val="20"/>
        </w:rPr>
        <w:t>sectors such as banking, and securities, which present better opportunities for criminals to quickly deposit and withdraw funds.</w:t>
      </w:r>
      <w:r>
        <w:rPr>
          <w:rFonts w:ascii="Verdana" w:hAnsi="Verdana"/>
          <w:sz w:val="20"/>
          <w:szCs w:val="20"/>
        </w:rPr>
        <w:t xml:space="preserve"> </w:t>
      </w:r>
      <w:r w:rsidRPr="00FA42B1">
        <w:rPr>
          <w:rFonts w:ascii="Verdana" w:hAnsi="Verdana"/>
          <w:sz w:val="20"/>
          <w:szCs w:val="20"/>
        </w:rPr>
        <w:t>Regardless, there is some ML/TF risk within the international insurance sector.</w:t>
      </w:r>
      <w:r>
        <w:rPr>
          <w:rFonts w:ascii="Verdana" w:hAnsi="Verdana"/>
          <w:sz w:val="20"/>
          <w:szCs w:val="20"/>
        </w:rPr>
        <w:t xml:space="preserve"> </w:t>
      </w:r>
    </w:p>
    <w:p w14:paraId="2C8383F9" w14:textId="7E5C2474" w:rsidR="00F50760" w:rsidRDefault="00F50760" w:rsidP="00F50760">
      <w:pPr>
        <w:jc w:val="both"/>
        <w:rPr>
          <w:rFonts w:ascii="Verdana" w:hAnsi="Verdana"/>
          <w:sz w:val="20"/>
          <w:szCs w:val="20"/>
        </w:rPr>
      </w:pPr>
      <w:r w:rsidRPr="00FA42B1">
        <w:rPr>
          <w:rFonts w:ascii="Verdana" w:hAnsi="Verdana"/>
          <w:sz w:val="20"/>
          <w:szCs w:val="20"/>
        </w:rPr>
        <w:t xml:space="preserve">As an international financial </w:t>
      </w:r>
      <w:proofErr w:type="spellStart"/>
      <w:r w:rsidRPr="00FA42B1">
        <w:rPr>
          <w:rFonts w:ascii="Verdana" w:hAnsi="Verdana"/>
          <w:sz w:val="20"/>
          <w:szCs w:val="20"/>
        </w:rPr>
        <w:t>centre</w:t>
      </w:r>
      <w:proofErr w:type="spellEnd"/>
      <w:r w:rsidRPr="00FA42B1">
        <w:rPr>
          <w:rFonts w:ascii="Verdana" w:hAnsi="Verdana"/>
          <w:sz w:val="20"/>
          <w:szCs w:val="20"/>
        </w:rPr>
        <w:t xml:space="preserve">, the Cayman Islands face greater external, rather than internal, </w:t>
      </w:r>
      <w:r>
        <w:rPr>
          <w:rFonts w:ascii="Verdana" w:hAnsi="Verdana"/>
          <w:sz w:val="20"/>
          <w:szCs w:val="20"/>
        </w:rPr>
        <w:t>Money Laundering (</w:t>
      </w:r>
      <w:r w:rsidRPr="00FA42B1">
        <w:rPr>
          <w:rFonts w:ascii="Verdana" w:hAnsi="Verdana"/>
          <w:sz w:val="20"/>
          <w:szCs w:val="20"/>
        </w:rPr>
        <w:t>ML</w:t>
      </w:r>
      <w:r>
        <w:rPr>
          <w:rFonts w:ascii="Verdana" w:hAnsi="Verdana"/>
          <w:sz w:val="20"/>
          <w:szCs w:val="20"/>
        </w:rPr>
        <w:t>)</w:t>
      </w:r>
      <w:r w:rsidRPr="00FA42B1">
        <w:rPr>
          <w:rFonts w:ascii="Verdana" w:hAnsi="Verdana"/>
          <w:sz w:val="20"/>
          <w:szCs w:val="20"/>
        </w:rPr>
        <w:t>/</w:t>
      </w:r>
      <w:r>
        <w:rPr>
          <w:rFonts w:ascii="Verdana" w:hAnsi="Verdana"/>
          <w:sz w:val="20"/>
          <w:szCs w:val="20"/>
        </w:rPr>
        <w:t>Terrorist Financing (</w:t>
      </w:r>
      <w:r w:rsidRPr="00FA42B1">
        <w:rPr>
          <w:rFonts w:ascii="Verdana" w:hAnsi="Verdana"/>
          <w:sz w:val="20"/>
          <w:szCs w:val="20"/>
        </w:rPr>
        <w:t>TF</w:t>
      </w:r>
      <w:r>
        <w:rPr>
          <w:rFonts w:ascii="Verdana" w:hAnsi="Verdana"/>
          <w:sz w:val="20"/>
          <w:szCs w:val="20"/>
        </w:rPr>
        <w:t>)</w:t>
      </w:r>
      <w:r w:rsidRPr="00FA42B1">
        <w:rPr>
          <w:rFonts w:ascii="Verdana" w:hAnsi="Verdana"/>
          <w:sz w:val="20"/>
          <w:szCs w:val="20"/>
        </w:rPr>
        <w:t xml:space="preserve"> </w:t>
      </w:r>
      <w:r w:rsidR="00CD0D8F">
        <w:rPr>
          <w:rFonts w:ascii="Verdana" w:hAnsi="Verdana"/>
          <w:sz w:val="20"/>
          <w:szCs w:val="20"/>
        </w:rPr>
        <w:t>inherent risks in the insurance sector</w:t>
      </w:r>
      <w:r w:rsidRPr="00FA42B1">
        <w:rPr>
          <w:rFonts w:ascii="Verdana" w:hAnsi="Verdana"/>
          <w:sz w:val="20"/>
          <w:szCs w:val="20"/>
        </w:rPr>
        <w:t>.</w:t>
      </w:r>
      <w:r w:rsidR="00CD0D8F">
        <w:rPr>
          <w:rFonts w:ascii="Verdana" w:hAnsi="Verdana"/>
          <w:sz w:val="20"/>
          <w:szCs w:val="20"/>
        </w:rPr>
        <w:t xml:space="preserve"> This is largely due to the Cayman’s sizable international sector compared to a </w:t>
      </w:r>
      <w:r w:rsidR="006A4A60">
        <w:rPr>
          <w:rFonts w:ascii="Verdana" w:hAnsi="Verdana"/>
          <w:sz w:val="20"/>
          <w:szCs w:val="20"/>
        </w:rPr>
        <w:t xml:space="preserve">small domestic insurance sector. </w:t>
      </w:r>
    </w:p>
    <w:p w14:paraId="7C35AAD5" w14:textId="77777777" w:rsidR="002C5359" w:rsidRDefault="00F21976" w:rsidP="005B2AAB">
      <w:pPr>
        <w:jc w:val="both"/>
        <w:rPr>
          <w:rFonts w:ascii="Verdana" w:hAnsi="Verdana"/>
          <w:sz w:val="20"/>
          <w:szCs w:val="20"/>
        </w:rPr>
      </w:pPr>
      <w:r>
        <w:rPr>
          <w:rFonts w:ascii="Verdana" w:hAnsi="Verdana"/>
          <w:sz w:val="20"/>
          <w:szCs w:val="20"/>
        </w:rPr>
        <w:t xml:space="preserve">The Cayman Islands undertook a National Risk Assessment (NRA) in </w:t>
      </w:r>
      <w:r w:rsidR="00C75E6B">
        <w:rPr>
          <w:rFonts w:ascii="Verdana" w:hAnsi="Verdana"/>
          <w:sz w:val="20"/>
          <w:szCs w:val="20"/>
        </w:rPr>
        <w:t>2014-</w:t>
      </w:r>
      <w:r>
        <w:rPr>
          <w:rFonts w:ascii="Verdana" w:hAnsi="Verdana"/>
          <w:sz w:val="20"/>
          <w:szCs w:val="20"/>
        </w:rPr>
        <w:t xml:space="preserve">2015 to understand the jurisdiction’s ML/TF risks and vulnerabilities. NRA rated the Insurance industry’s vulnerability level as “Medium” </w:t>
      </w:r>
      <w:r w:rsidR="000E4080">
        <w:rPr>
          <w:rFonts w:ascii="Verdana" w:hAnsi="Verdana"/>
          <w:sz w:val="20"/>
          <w:szCs w:val="20"/>
        </w:rPr>
        <w:t>at that time</w:t>
      </w:r>
      <w:r>
        <w:rPr>
          <w:rFonts w:ascii="Verdana" w:hAnsi="Verdana"/>
          <w:sz w:val="20"/>
          <w:szCs w:val="20"/>
        </w:rPr>
        <w:t xml:space="preserve">. </w:t>
      </w:r>
    </w:p>
    <w:p w14:paraId="5FA59CFF" w14:textId="31E7AD35" w:rsidR="005B2AAB" w:rsidRDefault="005B2AAB" w:rsidP="005B2AAB">
      <w:pPr>
        <w:jc w:val="both"/>
        <w:rPr>
          <w:rFonts w:ascii="Verdana" w:hAnsi="Verdana"/>
          <w:sz w:val="20"/>
          <w:szCs w:val="20"/>
        </w:rPr>
      </w:pPr>
      <w:r>
        <w:rPr>
          <w:rFonts w:ascii="Verdana" w:hAnsi="Verdana"/>
          <w:sz w:val="20"/>
          <w:szCs w:val="20"/>
        </w:rPr>
        <w:t>In June 2017, the Authority performed a s</w:t>
      </w:r>
      <w:r w:rsidRPr="00D42E64">
        <w:rPr>
          <w:rFonts w:ascii="Verdana" w:hAnsi="Verdana"/>
          <w:sz w:val="20"/>
          <w:szCs w:val="20"/>
        </w:rPr>
        <w:t xml:space="preserve">ector </w:t>
      </w:r>
      <w:r>
        <w:rPr>
          <w:rFonts w:ascii="Verdana" w:hAnsi="Verdana"/>
          <w:sz w:val="20"/>
          <w:szCs w:val="20"/>
        </w:rPr>
        <w:t>s</w:t>
      </w:r>
      <w:r w:rsidRPr="00D42E64">
        <w:rPr>
          <w:rFonts w:ascii="Verdana" w:hAnsi="Verdana"/>
          <w:sz w:val="20"/>
          <w:szCs w:val="20"/>
        </w:rPr>
        <w:t xml:space="preserve">pecific </w:t>
      </w:r>
      <w:r>
        <w:rPr>
          <w:rFonts w:ascii="Verdana" w:hAnsi="Verdana"/>
          <w:sz w:val="20"/>
          <w:szCs w:val="20"/>
        </w:rPr>
        <w:t>r</w:t>
      </w:r>
      <w:r w:rsidRPr="00D42E64">
        <w:rPr>
          <w:rFonts w:ascii="Verdana" w:hAnsi="Verdana"/>
          <w:sz w:val="20"/>
          <w:szCs w:val="20"/>
        </w:rPr>
        <w:t xml:space="preserve">isks </w:t>
      </w:r>
      <w:r>
        <w:rPr>
          <w:rFonts w:ascii="Verdana" w:hAnsi="Verdana"/>
          <w:sz w:val="20"/>
          <w:szCs w:val="20"/>
        </w:rPr>
        <w:t>a</w:t>
      </w:r>
      <w:r w:rsidRPr="00D42E64">
        <w:rPr>
          <w:rFonts w:ascii="Verdana" w:hAnsi="Verdana"/>
          <w:sz w:val="20"/>
          <w:szCs w:val="20"/>
        </w:rPr>
        <w:t>ssessment</w:t>
      </w:r>
      <w:r>
        <w:rPr>
          <w:rFonts w:ascii="Verdana" w:hAnsi="Verdana"/>
          <w:sz w:val="20"/>
          <w:szCs w:val="20"/>
        </w:rPr>
        <w:t xml:space="preserve"> to identify the financial services sector’s inherent ML/TF risk. Each sector, including insurance sector </w:t>
      </w:r>
      <w:r w:rsidRPr="005B2AAB">
        <w:rPr>
          <w:rFonts w:ascii="Verdana" w:hAnsi="Verdana"/>
          <w:sz w:val="20"/>
          <w:szCs w:val="20"/>
        </w:rPr>
        <w:t xml:space="preserve">was rated on a scale of Low, Medium Low, Medium High and High against the </w:t>
      </w:r>
      <w:r>
        <w:rPr>
          <w:rFonts w:ascii="Verdana" w:hAnsi="Verdana"/>
          <w:sz w:val="20"/>
          <w:szCs w:val="20"/>
        </w:rPr>
        <w:t xml:space="preserve">five </w:t>
      </w:r>
      <w:r w:rsidRPr="005B2AAB">
        <w:rPr>
          <w:rFonts w:ascii="Verdana" w:hAnsi="Verdana"/>
          <w:sz w:val="20"/>
          <w:szCs w:val="20"/>
        </w:rPr>
        <w:t>inherent risk areas recommended in the FATF 40 Recommendations, namely:</w:t>
      </w:r>
      <w:r>
        <w:rPr>
          <w:rFonts w:ascii="Verdana" w:hAnsi="Verdana"/>
          <w:sz w:val="20"/>
          <w:szCs w:val="20"/>
        </w:rPr>
        <w:t xml:space="preserve"> </w:t>
      </w:r>
    </w:p>
    <w:p w14:paraId="2F6A209D" w14:textId="77777777" w:rsidR="005B2AAB" w:rsidRDefault="005B2AAB" w:rsidP="002A1CDA">
      <w:pPr>
        <w:pStyle w:val="ListParagraph"/>
        <w:numPr>
          <w:ilvl w:val="0"/>
          <w:numId w:val="12"/>
        </w:numPr>
        <w:jc w:val="both"/>
        <w:rPr>
          <w:rFonts w:ascii="Verdana" w:hAnsi="Verdana"/>
          <w:sz w:val="20"/>
          <w:szCs w:val="20"/>
        </w:rPr>
      </w:pPr>
      <w:r w:rsidRPr="005B2AAB">
        <w:rPr>
          <w:rFonts w:ascii="Verdana" w:hAnsi="Verdana"/>
          <w:sz w:val="20"/>
          <w:szCs w:val="20"/>
        </w:rPr>
        <w:t>Nature, size and complexity of business</w:t>
      </w:r>
    </w:p>
    <w:p w14:paraId="2CCECF60" w14:textId="77777777" w:rsidR="005B2AAB" w:rsidRDefault="005B2AAB" w:rsidP="002A1CDA">
      <w:pPr>
        <w:pStyle w:val="ListParagraph"/>
        <w:numPr>
          <w:ilvl w:val="0"/>
          <w:numId w:val="12"/>
        </w:numPr>
        <w:jc w:val="both"/>
        <w:rPr>
          <w:rFonts w:ascii="Verdana" w:hAnsi="Verdana"/>
          <w:sz w:val="20"/>
          <w:szCs w:val="20"/>
        </w:rPr>
      </w:pPr>
      <w:r w:rsidRPr="005B2AAB">
        <w:rPr>
          <w:rFonts w:ascii="Verdana" w:hAnsi="Verdana"/>
          <w:sz w:val="20"/>
          <w:szCs w:val="20"/>
        </w:rPr>
        <w:t>Products and Services</w:t>
      </w:r>
    </w:p>
    <w:p w14:paraId="52CBD395" w14:textId="740932DA" w:rsidR="005B2AAB" w:rsidRDefault="005B2AAB" w:rsidP="002A1CDA">
      <w:pPr>
        <w:pStyle w:val="ListParagraph"/>
        <w:numPr>
          <w:ilvl w:val="0"/>
          <w:numId w:val="12"/>
        </w:numPr>
        <w:jc w:val="both"/>
        <w:rPr>
          <w:rFonts w:ascii="Verdana" w:hAnsi="Verdana"/>
          <w:sz w:val="20"/>
          <w:szCs w:val="20"/>
        </w:rPr>
      </w:pPr>
      <w:r w:rsidRPr="005B2AAB">
        <w:rPr>
          <w:rFonts w:ascii="Verdana" w:hAnsi="Verdana"/>
          <w:sz w:val="20"/>
          <w:szCs w:val="20"/>
        </w:rPr>
        <w:t>Delivery Channels</w:t>
      </w:r>
      <w:r w:rsidR="000A11EA">
        <w:rPr>
          <w:rFonts w:ascii="Verdana" w:hAnsi="Verdana"/>
          <w:sz w:val="20"/>
          <w:szCs w:val="20"/>
        </w:rPr>
        <w:t xml:space="preserve"> </w:t>
      </w:r>
      <w:r w:rsidR="000A11EA" w:rsidRPr="000A11EA">
        <w:rPr>
          <w:rFonts w:ascii="Verdana" w:hAnsi="Verdana"/>
          <w:sz w:val="20"/>
          <w:szCs w:val="20"/>
        </w:rPr>
        <w:t>for products and services</w:t>
      </w:r>
    </w:p>
    <w:p w14:paraId="11A07927" w14:textId="77777777" w:rsidR="005B2AAB" w:rsidRDefault="005B2AAB" w:rsidP="002A1CDA">
      <w:pPr>
        <w:pStyle w:val="ListParagraph"/>
        <w:numPr>
          <w:ilvl w:val="0"/>
          <w:numId w:val="12"/>
        </w:numPr>
        <w:jc w:val="both"/>
        <w:rPr>
          <w:rFonts w:ascii="Verdana" w:hAnsi="Verdana"/>
          <w:sz w:val="20"/>
          <w:szCs w:val="20"/>
        </w:rPr>
      </w:pPr>
      <w:r w:rsidRPr="005B2AAB">
        <w:rPr>
          <w:rFonts w:ascii="Verdana" w:hAnsi="Verdana"/>
          <w:sz w:val="20"/>
          <w:szCs w:val="20"/>
        </w:rPr>
        <w:t>Customer types</w:t>
      </w:r>
    </w:p>
    <w:p w14:paraId="696F38F9" w14:textId="5FDBE301" w:rsidR="005B2AAB" w:rsidRPr="005B2AAB" w:rsidRDefault="005B2AAB" w:rsidP="002A1CDA">
      <w:pPr>
        <w:pStyle w:val="ListParagraph"/>
        <w:numPr>
          <w:ilvl w:val="0"/>
          <w:numId w:val="12"/>
        </w:numPr>
        <w:jc w:val="both"/>
        <w:rPr>
          <w:rFonts w:ascii="Verdana" w:hAnsi="Verdana"/>
          <w:sz w:val="20"/>
          <w:szCs w:val="20"/>
        </w:rPr>
      </w:pPr>
      <w:r w:rsidRPr="005B2AAB">
        <w:rPr>
          <w:rFonts w:ascii="Verdana" w:hAnsi="Verdana"/>
          <w:sz w:val="20"/>
          <w:szCs w:val="20"/>
        </w:rPr>
        <w:t>Geographic risks</w:t>
      </w:r>
    </w:p>
    <w:p w14:paraId="15DAF90D" w14:textId="3CCF0F7C" w:rsidR="0040200B" w:rsidRDefault="00D42E64" w:rsidP="00F50760">
      <w:pPr>
        <w:jc w:val="both"/>
        <w:rPr>
          <w:rFonts w:ascii="Verdana" w:hAnsi="Verdana"/>
          <w:sz w:val="20"/>
          <w:szCs w:val="20"/>
        </w:rPr>
      </w:pPr>
      <w:r>
        <w:rPr>
          <w:rFonts w:ascii="Verdana" w:hAnsi="Verdana"/>
          <w:sz w:val="20"/>
          <w:szCs w:val="20"/>
        </w:rPr>
        <w:lastRenderedPageBreak/>
        <w:t xml:space="preserve">The </w:t>
      </w:r>
      <w:r w:rsidR="005B2AAB">
        <w:rPr>
          <w:rFonts w:ascii="Verdana" w:hAnsi="Verdana"/>
          <w:sz w:val="20"/>
          <w:szCs w:val="20"/>
        </w:rPr>
        <w:t xml:space="preserve">Authority’s </w:t>
      </w:r>
      <w:r>
        <w:rPr>
          <w:rFonts w:ascii="Verdana" w:hAnsi="Verdana"/>
          <w:sz w:val="20"/>
          <w:szCs w:val="20"/>
        </w:rPr>
        <w:t>s</w:t>
      </w:r>
      <w:r w:rsidRPr="00D42E64">
        <w:rPr>
          <w:rFonts w:ascii="Verdana" w:hAnsi="Verdana"/>
          <w:sz w:val="20"/>
          <w:szCs w:val="20"/>
        </w:rPr>
        <w:t xml:space="preserve">ector </w:t>
      </w:r>
      <w:r>
        <w:rPr>
          <w:rFonts w:ascii="Verdana" w:hAnsi="Verdana"/>
          <w:sz w:val="20"/>
          <w:szCs w:val="20"/>
        </w:rPr>
        <w:t>s</w:t>
      </w:r>
      <w:r w:rsidRPr="00D42E64">
        <w:rPr>
          <w:rFonts w:ascii="Verdana" w:hAnsi="Verdana"/>
          <w:sz w:val="20"/>
          <w:szCs w:val="20"/>
        </w:rPr>
        <w:t xml:space="preserve">pecific </w:t>
      </w:r>
      <w:r>
        <w:rPr>
          <w:rFonts w:ascii="Verdana" w:hAnsi="Verdana"/>
          <w:sz w:val="20"/>
          <w:szCs w:val="20"/>
        </w:rPr>
        <w:t>r</w:t>
      </w:r>
      <w:r w:rsidRPr="00D42E64">
        <w:rPr>
          <w:rFonts w:ascii="Verdana" w:hAnsi="Verdana"/>
          <w:sz w:val="20"/>
          <w:szCs w:val="20"/>
        </w:rPr>
        <w:t xml:space="preserve">isks </w:t>
      </w:r>
      <w:r>
        <w:rPr>
          <w:rFonts w:ascii="Verdana" w:hAnsi="Verdana"/>
          <w:sz w:val="20"/>
          <w:szCs w:val="20"/>
        </w:rPr>
        <w:t>a</w:t>
      </w:r>
      <w:r w:rsidRPr="00D42E64">
        <w:rPr>
          <w:rFonts w:ascii="Verdana" w:hAnsi="Verdana"/>
          <w:sz w:val="20"/>
          <w:szCs w:val="20"/>
        </w:rPr>
        <w:t xml:space="preserve">ssessments </w:t>
      </w:r>
      <w:r>
        <w:rPr>
          <w:rFonts w:ascii="Verdana" w:hAnsi="Verdana"/>
          <w:sz w:val="20"/>
          <w:szCs w:val="20"/>
        </w:rPr>
        <w:t>attached a “</w:t>
      </w:r>
      <w:r w:rsidRPr="000831F8">
        <w:rPr>
          <w:rFonts w:ascii="Verdana" w:hAnsi="Verdana"/>
          <w:b/>
          <w:bCs/>
          <w:sz w:val="20"/>
          <w:szCs w:val="20"/>
        </w:rPr>
        <w:t>Medium-Low</w:t>
      </w:r>
      <w:r>
        <w:rPr>
          <w:rFonts w:ascii="Verdana" w:hAnsi="Verdana"/>
          <w:sz w:val="20"/>
          <w:szCs w:val="20"/>
        </w:rPr>
        <w:t xml:space="preserve">” </w:t>
      </w:r>
      <w:r w:rsidR="00DB1DBF">
        <w:rPr>
          <w:rFonts w:ascii="Verdana" w:hAnsi="Verdana"/>
          <w:sz w:val="20"/>
          <w:szCs w:val="20"/>
        </w:rPr>
        <w:t>rating to the Insurance sector</w:t>
      </w:r>
      <w:r w:rsidR="005B2AAB">
        <w:rPr>
          <w:rFonts w:ascii="Verdana" w:hAnsi="Verdana"/>
          <w:sz w:val="20"/>
          <w:szCs w:val="20"/>
        </w:rPr>
        <w:t xml:space="preserve">’s </w:t>
      </w:r>
      <w:r w:rsidR="005B2AAB" w:rsidRPr="006E7977">
        <w:rPr>
          <w:rFonts w:ascii="Verdana" w:hAnsi="Verdana"/>
          <w:b/>
          <w:bCs/>
          <w:sz w:val="20"/>
          <w:szCs w:val="20"/>
        </w:rPr>
        <w:t>inherent risk</w:t>
      </w:r>
      <w:r w:rsidR="00DB1DBF">
        <w:rPr>
          <w:rFonts w:ascii="Verdana" w:hAnsi="Verdana"/>
          <w:sz w:val="20"/>
          <w:szCs w:val="20"/>
        </w:rPr>
        <w:t xml:space="preserve">. </w:t>
      </w:r>
    </w:p>
    <w:tbl>
      <w:tblPr>
        <w:tblStyle w:val="TableGrid"/>
        <w:tblW w:w="9360" w:type="dxa"/>
        <w:tblInd w:w="-5" w:type="dxa"/>
        <w:tblLook w:val="04A0" w:firstRow="1" w:lastRow="0" w:firstColumn="1" w:lastColumn="0" w:noHBand="0" w:noVBand="1"/>
      </w:tblPr>
      <w:tblGrid>
        <w:gridCol w:w="9360"/>
      </w:tblGrid>
      <w:tr w:rsidR="00C7787C" w:rsidRPr="006932BB" w14:paraId="46415E10" w14:textId="77777777" w:rsidTr="00C7787C">
        <w:tc>
          <w:tcPr>
            <w:tcW w:w="9360" w:type="dxa"/>
            <w:shd w:val="clear" w:color="auto" w:fill="F79646" w:themeFill="accent6"/>
          </w:tcPr>
          <w:p w14:paraId="18AF84AC" w14:textId="77777777" w:rsidR="000831F8" w:rsidRDefault="00C7787C" w:rsidP="0040200B">
            <w:pPr>
              <w:pStyle w:val="ListParagraph"/>
              <w:spacing w:after="200" w:line="276" w:lineRule="auto"/>
              <w:ind w:left="0"/>
              <w:jc w:val="both"/>
              <w:rPr>
                <w:rFonts w:ascii="Verdana" w:hAnsi="Verdana"/>
                <w:sz w:val="20"/>
                <w:szCs w:val="20"/>
              </w:rPr>
            </w:pPr>
            <w:r w:rsidRPr="0040200B">
              <w:rPr>
                <w:rFonts w:ascii="Verdana" w:hAnsi="Verdana"/>
                <w:sz w:val="20"/>
                <w:szCs w:val="20"/>
              </w:rPr>
              <w:t xml:space="preserve">The ML/TF </w:t>
            </w:r>
            <w:r w:rsidR="006E7977">
              <w:rPr>
                <w:rFonts w:ascii="Verdana" w:hAnsi="Verdana"/>
                <w:sz w:val="20"/>
                <w:szCs w:val="20"/>
              </w:rPr>
              <w:t xml:space="preserve">inherent </w:t>
            </w:r>
            <w:r w:rsidRPr="0040200B">
              <w:rPr>
                <w:rFonts w:ascii="Verdana" w:hAnsi="Verdana"/>
                <w:sz w:val="20"/>
                <w:szCs w:val="20"/>
              </w:rPr>
              <w:t>risk of the insurance sector has been rated as “</w:t>
            </w:r>
            <w:r w:rsidRPr="00C7787C">
              <w:rPr>
                <w:rFonts w:ascii="Verdana" w:hAnsi="Verdana"/>
                <w:b/>
                <w:bCs/>
                <w:sz w:val="20"/>
                <w:szCs w:val="20"/>
              </w:rPr>
              <w:t>Medium-Low</w:t>
            </w:r>
            <w:r w:rsidRPr="0040200B">
              <w:rPr>
                <w:rFonts w:ascii="Verdana" w:hAnsi="Verdana"/>
                <w:sz w:val="20"/>
                <w:szCs w:val="20"/>
              </w:rPr>
              <w:t xml:space="preserve">” mainly as a result of </w:t>
            </w:r>
            <w:r w:rsidR="006E7977">
              <w:rPr>
                <w:rFonts w:ascii="Verdana" w:hAnsi="Verdana"/>
                <w:sz w:val="20"/>
                <w:szCs w:val="20"/>
              </w:rPr>
              <w:t xml:space="preserve">the </w:t>
            </w:r>
            <w:r w:rsidR="000831F8">
              <w:rPr>
                <w:rFonts w:ascii="Verdana" w:hAnsi="Verdana"/>
                <w:sz w:val="20"/>
                <w:szCs w:val="20"/>
              </w:rPr>
              <w:t>following reasons:</w:t>
            </w:r>
          </w:p>
          <w:p w14:paraId="1A5A53FA" w14:textId="77777777" w:rsidR="000831F8" w:rsidRDefault="000831F8" w:rsidP="000831F8">
            <w:pPr>
              <w:pStyle w:val="ListParagraph"/>
              <w:numPr>
                <w:ilvl w:val="0"/>
                <w:numId w:val="13"/>
              </w:numPr>
              <w:spacing w:after="200" w:line="276" w:lineRule="auto"/>
              <w:ind w:left="345" w:hanging="345"/>
              <w:jc w:val="both"/>
              <w:rPr>
                <w:rFonts w:ascii="Verdana" w:hAnsi="Verdana"/>
                <w:sz w:val="20"/>
                <w:szCs w:val="20"/>
              </w:rPr>
            </w:pPr>
            <w:r>
              <w:rPr>
                <w:rFonts w:ascii="Verdana" w:hAnsi="Verdana"/>
                <w:sz w:val="20"/>
                <w:szCs w:val="20"/>
              </w:rPr>
              <w:t xml:space="preserve">High-level of cross-border activities due to the </w:t>
            </w:r>
            <w:r w:rsidR="00C7787C" w:rsidRPr="0040200B">
              <w:rPr>
                <w:rFonts w:ascii="Verdana" w:hAnsi="Verdana"/>
                <w:sz w:val="20"/>
                <w:szCs w:val="20"/>
              </w:rPr>
              <w:t>Cayman</w:t>
            </w:r>
            <w:r w:rsidR="006E7977">
              <w:rPr>
                <w:rFonts w:ascii="Verdana" w:hAnsi="Verdana"/>
                <w:sz w:val="20"/>
                <w:szCs w:val="20"/>
              </w:rPr>
              <w:t xml:space="preserve"> Islands</w:t>
            </w:r>
            <w:r w:rsidR="00C7787C" w:rsidRPr="0040200B">
              <w:rPr>
                <w:rFonts w:ascii="Verdana" w:hAnsi="Verdana"/>
                <w:sz w:val="20"/>
                <w:szCs w:val="20"/>
              </w:rPr>
              <w:t>’ large international insurance sector.</w:t>
            </w:r>
          </w:p>
          <w:p w14:paraId="442B72E5" w14:textId="0E24DE7B" w:rsidR="000831F8" w:rsidRDefault="00C7787C" w:rsidP="000831F8">
            <w:pPr>
              <w:pStyle w:val="ListParagraph"/>
              <w:numPr>
                <w:ilvl w:val="0"/>
                <w:numId w:val="13"/>
              </w:numPr>
              <w:spacing w:after="200" w:line="276" w:lineRule="auto"/>
              <w:ind w:left="345" w:hanging="345"/>
              <w:jc w:val="both"/>
              <w:rPr>
                <w:rFonts w:ascii="Verdana" w:hAnsi="Verdana"/>
                <w:sz w:val="20"/>
                <w:szCs w:val="20"/>
              </w:rPr>
            </w:pPr>
            <w:r w:rsidRPr="0040200B">
              <w:rPr>
                <w:rFonts w:ascii="Verdana" w:hAnsi="Verdana"/>
                <w:sz w:val="20"/>
                <w:szCs w:val="20"/>
              </w:rPr>
              <w:t xml:space="preserve">International insurers operating as commercial insurance companies engaged in </w:t>
            </w:r>
            <w:r w:rsidR="000831F8">
              <w:rPr>
                <w:rFonts w:ascii="Verdana" w:hAnsi="Verdana"/>
                <w:sz w:val="20"/>
                <w:szCs w:val="20"/>
              </w:rPr>
              <w:t xml:space="preserve">life </w:t>
            </w:r>
            <w:r w:rsidRPr="0040200B">
              <w:rPr>
                <w:rFonts w:ascii="Verdana" w:hAnsi="Verdana"/>
                <w:sz w:val="20"/>
                <w:szCs w:val="20"/>
              </w:rPr>
              <w:t>insurance business</w:t>
            </w:r>
            <w:r w:rsidR="000831F8">
              <w:rPr>
                <w:rFonts w:ascii="Verdana" w:hAnsi="Verdana"/>
                <w:sz w:val="20"/>
                <w:szCs w:val="20"/>
              </w:rPr>
              <w:t xml:space="preserve"> with no business relationships established on a face-to-face basis.</w:t>
            </w:r>
          </w:p>
          <w:p w14:paraId="3777D054" w14:textId="16D33C70" w:rsidR="000831F8" w:rsidRDefault="00CE20CB" w:rsidP="000831F8">
            <w:pPr>
              <w:pStyle w:val="ListParagraph"/>
              <w:numPr>
                <w:ilvl w:val="0"/>
                <w:numId w:val="13"/>
              </w:numPr>
              <w:spacing w:after="200" w:line="276" w:lineRule="auto"/>
              <w:ind w:left="345" w:hanging="345"/>
              <w:jc w:val="both"/>
              <w:rPr>
                <w:rFonts w:ascii="Verdana" w:hAnsi="Verdana"/>
                <w:sz w:val="20"/>
                <w:szCs w:val="20"/>
              </w:rPr>
            </w:pPr>
            <w:r>
              <w:rPr>
                <w:rFonts w:ascii="Verdana" w:hAnsi="Verdana"/>
                <w:sz w:val="20"/>
                <w:szCs w:val="20"/>
              </w:rPr>
              <w:t>I</w:t>
            </w:r>
            <w:r w:rsidRPr="00CE20CB">
              <w:rPr>
                <w:rFonts w:ascii="Verdana" w:hAnsi="Verdana"/>
                <w:sz w:val="20"/>
                <w:szCs w:val="20"/>
              </w:rPr>
              <w:t>nternational insurers with no physical presence in the Cayman Islands</w:t>
            </w:r>
            <w:r>
              <w:rPr>
                <w:rFonts w:ascii="Verdana" w:hAnsi="Verdana"/>
                <w:sz w:val="20"/>
                <w:szCs w:val="20"/>
              </w:rPr>
              <w:t>.</w:t>
            </w:r>
          </w:p>
          <w:p w14:paraId="61AD090F" w14:textId="1DDBA778" w:rsidR="00C7787C" w:rsidRPr="00153E95" w:rsidRDefault="00D06467" w:rsidP="00153E95">
            <w:pPr>
              <w:pStyle w:val="ListParagraph"/>
              <w:numPr>
                <w:ilvl w:val="0"/>
                <w:numId w:val="13"/>
              </w:numPr>
              <w:spacing w:after="200" w:line="276" w:lineRule="auto"/>
              <w:ind w:left="345" w:hanging="345"/>
              <w:jc w:val="both"/>
              <w:rPr>
                <w:rFonts w:ascii="Verdana" w:hAnsi="Verdana"/>
                <w:sz w:val="20"/>
                <w:szCs w:val="20"/>
              </w:rPr>
            </w:pPr>
            <w:r>
              <w:rPr>
                <w:rFonts w:ascii="Verdana" w:hAnsi="Verdana"/>
                <w:sz w:val="20"/>
                <w:szCs w:val="20"/>
              </w:rPr>
              <w:t>Institutional fund (</w:t>
            </w:r>
            <w:r w:rsidR="0091209D">
              <w:rPr>
                <w:rFonts w:ascii="Verdana" w:hAnsi="Verdana"/>
                <w:sz w:val="20"/>
                <w:szCs w:val="20"/>
              </w:rPr>
              <w:t xml:space="preserve">Mutual funds, </w:t>
            </w:r>
            <w:r>
              <w:rPr>
                <w:rFonts w:ascii="Verdana" w:hAnsi="Verdana"/>
                <w:sz w:val="20"/>
                <w:szCs w:val="20"/>
              </w:rPr>
              <w:t>Hedge funds and Private Equity funds) invest</w:t>
            </w:r>
            <w:r w:rsidR="004F1FFA">
              <w:rPr>
                <w:rFonts w:ascii="Verdana" w:hAnsi="Verdana"/>
                <w:sz w:val="20"/>
                <w:szCs w:val="20"/>
              </w:rPr>
              <w:t xml:space="preserve">ments </w:t>
            </w:r>
            <w:r>
              <w:rPr>
                <w:rFonts w:ascii="Verdana" w:hAnsi="Verdana"/>
                <w:sz w:val="20"/>
                <w:szCs w:val="20"/>
              </w:rPr>
              <w:t>in (re)insurance</w:t>
            </w:r>
            <w:r w:rsidR="004F1FFA">
              <w:rPr>
                <w:rFonts w:ascii="Verdana" w:hAnsi="Verdana"/>
                <w:sz w:val="20"/>
                <w:szCs w:val="20"/>
              </w:rPr>
              <w:t>.</w:t>
            </w:r>
          </w:p>
        </w:tc>
      </w:tr>
    </w:tbl>
    <w:p w14:paraId="73E3E1AD" w14:textId="7DB3A90A" w:rsidR="00F50760" w:rsidRDefault="00F50760" w:rsidP="008426E4">
      <w:pPr>
        <w:jc w:val="both"/>
        <w:rPr>
          <w:rFonts w:ascii="Verdana" w:hAnsi="Verdana"/>
          <w:sz w:val="24"/>
          <w:szCs w:val="24"/>
        </w:rPr>
      </w:pPr>
    </w:p>
    <w:p w14:paraId="669375ED" w14:textId="18F9203F" w:rsidR="00F13698" w:rsidRDefault="004D6B97" w:rsidP="008426E4">
      <w:pPr>
        <w:jc w:val="both"/>
        <w:rPr>
          <w:rFonts w:ascii="Verdana" w:hAnsi="Verdana"/>
          <w:sz w:val="20"/>
          <w:szCs w:val="20"/>
        </w:rPr>
      </w:pPr>
      <w:r w:rsidRPr="004D6B97">
        <w:rPr>
          <w:rFonts w:ascii="Verdana" w:hAnsi="Verdana"/>
          <w:sz w:val="20"/>
          <w:szCs w:val="20"/>
        </w:rPr>
        <w:t xml:space="preserve">Each of the </w:t>
      </w:r>
      <w:r>
        <w:rPr>
          <w:rFonts w:ascii="Verdana" w:hAnsi="Verdana"/>
          <w:sz w:val="20"/>
          <w:szCs w:val="20"/>
        </w:rPr>
        <w:t xml:space="preserve">five </w:t>
      </w:r>
      <w:r w:rsidRPr="005B2AAB">
        <w:rPr>
          <w:rFonts w:ascii="Verdana" w:hAnsi="Verdana"/>
          <w:sz w:val="20"/>
          <w:szCs w:val="20"/>
        </w:rPr>
        <w:t>inherent risk</w:t>
      </w:r>
      <w:r>
        <w:rPr>
          <w:rFonts w:ascii="Verdana" w:hAnsi="Verdana"/>
          <w:sz w:val="20"/>
          <w:szCs w:val="20"/>
        </w:rPr>
        <w:t xml:space="preserve"> area was rated as follows:</w:t>
      </w:r>
    </w:p>
    <w:p w14:paraId="334A7808" w14:textId="40D436F0" w:rsidR="00C27753" w:rsidRDefault="00C27753" w:rsidP="008426E4">
      <w:pPr>
        <w:jc w:val="both"/>
        <w:rPr>
          <w:rFonts w:ascii="Verdana" w:hAnsi="Verdana"/>
          <w:sz w:val="24"/>
          <w:szCs w:val="24"/>
        </w:rPr>
      </w:pPr>
      <w:r w:rsidRPr="00134BE2">
        <w:rPr>
          <w:rFonts w:ascii="Verdana" w:hAnsi="Verdana"/>
          <w:b/>
          <w:bCs/>
          <w:sz w:val="16"/>
          <w:szCs w:val="16"/>
        </w:rPr>
        <w:t xml:space="preserve">Table 3: </w:t>
      </w:r>
      <w:r>
        <w:rPr>
          <w:rFonts w:ascii="Verdana" w:hAnsi="Verdana"/>
          <w:b/>
          <w:bCs/>
          <w:sz w:val="16"/>
          <w:szCs w:val="16"/>
        </w:rPr>
        <w:t>Factors increasing and decreasing the Inherent Risk Areas of the Cayman’s Insurance sector</w:t>
      </w:r>
    </w:p>
    <w:tbl>
      <w:tblPr>
        <w:tblStyle w:val="TableGrid"/>
        <w:tblW w:w="9743" w:type="dxa"/>
        <w:tblInd w:w="-5" w:type="dxa"/>
        <w:tblLook w:val="04A0" w:firstRow="1" w:lastRow="0" w:firstColumn="1" w:lastColumn="0" w:noHBand="0" w:noVBand="1"/>
      </w:tblPr>
      <w:tblGrid>
        <w:gridCol w:w="1913"/>
        <w:gridCol w:w="3960"/>
        <w:gridCol w:w="3870"/>
      </w:tblGrid>
      <w:tr w:rsidR="00F13698" w14:paraId="01960268" w14:textId="77777777" w:rsidTr="004D6B97">
        <w:tc>
          <w:tcPr>
            <w:tcW w:w="1913" w:type="dxa"/>
            <w:shd w:val="clear" w:color="auto" w:fill="595959" w:themeFill="text1" w:themeFillTint="A6"/>
          </w:tcPr>
          <w:p w14:paraId="0DD9A7D0" w14:textId="3D070C2B" w:rsidR="00F13698" w:rsidRPr="006A4559" w:rsidRDefault="004D6B97" w:rsidP="002A1CDA">
            <w:pPr>
              <w:jc w:val="both"/>
              <w:rPr>
                <w:rFonts w:ascii="Verdana" w:hAnsi="Verdana"/>
                <w:b/>
                <w:color w:val="FFFFFF" w:themeColor="background1"/>
                <w:sz w:val="20"/>
                <w:szCs w:val="20"/>
              </w:rPr>
            </w:pPr>
            <w:r w:rsidRPr="006A4559">
              <w:rPr>
                <w:rFonts w:ascii="Verdana" w:hAnsi="Verdana"/>
                <w:b/>
                <w:color w:val="FFFFFF" w:themeColor="background1"/>
                <w:sz w:val="20"/>
                <w:szCs w:val="20"/>
              </w:rPr>
              <w:t>Inherent Risk Area</w:t>
            </w:r>
          </w:p>
          <w:p w14:paraId="72078BD5" w14:textId="77777777" w:rsidR="00F13698" w:rsidRPr="006A4559" w:rsidRDefault="00F13698" w:rsidP="002A1CDA">
            <w:pPr>
              <w:jc w:val="both"/>
              <w:rPr>
                <w:rFonts w:ascii="Verdana" w:hAnsi="Verdana"/>
                <w:b/>
                <w:color w:val="FFFFFF" w:themeColor="background1"/>
                <w:sz w:val="20"/>
                <w:szCs w:val="20"/>
              </w:rPr>
            </w:pPr>
          </w:p>
        </w:tc>
        <w:tc>
          <w:tcPr>
            <w:tcW w:w="3960" w:type="dxa"/>
            <w:shd w:val="clear" w:color="auto" w:fill="595959" w:themeFill="text1" w:themeFillTint="A6"/>
          </w:tcPr>
          <w:p w14:paraId="268C7034" w14:textId="284C6D4E" w:rsidR="00F13698" w:rsidRPr="006A4559" w:rsidRDefault="007900D2" w:rsidP="002A1CDA">
            <w:pPr>
              <w:jc w:val="both"/>
              <w:rPr>
                <w:rFonts w:ascii="Verdana" w:hAnsi="Verdana"/>
                <w:b/>
                <w:color w:val="FFFFFF" w:themeColor="background1"/>
                <w:sz w:val="20"/>
                <w:szCs w:val="20"/>
              </w:rPr>
            </w:pPr>
            <w:r w:rsidRPr="006A4559">
              <w:rPr>
                <w:rFonts w:ascii="Verdana" w:hAnsi="Verdana"/>
                <w:b/>
                <w:noProof/>
                <w:sz w:val="20"/>
                <w:szCs w:val="20"/>
              </w:rPr>
              <mc:AlternateContent>
                <mc:Choice Requires="wps">
                  <w:drawing>
                    <wp:anchor distT="0" distB="0" distL="114300" distR="114300" simplePos="0" relativeHeight="251727872" behindDoc="0" locked="0" layoutInCell="1" allowOverlap="1" wp14:anchorId="58B23C02" wp14:editId="006056D7">
                      <wp:simplePos x="0" y="0"/>
                      <wp:positionH relativeFrom="column">
                        <wp:posOffset>1640205</wp:posOffset>
                      </wp:positionH>
                      <wp:positionV relativeFrom="paragraph">
                        <wp:posOffset>18415</wp:posOffset>
                      </wp:positionV>
                      <wp:extent cx="209550" cy="228600"/>
                      <wp:effectExtent l="19050" t="19050" r="38100" b="19050"/>
                      <wp:wrapNone/>
                      <wp:docPr id="2" name="Down Arrow 48"/>
                      <wp:cNvGraphicFramePr/>
                      <a:graphic xmlns:a="http://schemas.openxmlformats.org/drawingml/2006/main">
                        <a:graphicData uri="http://schemas.microsoft.com/office/word/2010/wordprocessingShape">
                          <wps:wsp>
                            <wps:cNvSpPr/>
                            <wps:spPr>
                              <a:xfrm flipH="1" flipV="1">
                                <a:off x="0" y="0"/>
                                <a:ext cx="209550" cy="228600"/>
                              </a:xfrm>
                              <a:prstGeom prst="downArrow">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99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8" o:spid="_x0000_s1026" type="#_x0000_t67" style="position:absolute;margin-left:129.15pt;margin-top:1.45pt;width:16.5pt;height:18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" adj="11700" fillcolor="white [3212]" strokecolor="#5a5a5a [2109]" strokeweight="2pt"/>
                  </w:pict>
                </mc:Fallback>
              </mc:AlternateContent>
            </w:r>
            <w:r w:rsidR="00F13698" w:rsidRPr="006A4559">
              <w:rPr>
                <w:rFonts w:ascii="Verdana" w:hAnsi="Verdana"/>
                <w:b/>
                <w:color w:val="FFFFFF" w:themeColor="background1"/>
                <w:sz w:val="20"/>
                <w:szCs w:val="20"/>
              </w:rPr>
              <w:t>Factors increasing risk</w:t>
            </w:r>
          </w:p>
        </w:tc>
        <w:tc>
          <w:tcPr>
            <w:tcW w:w="3870" w:type="dxa"/>
            <w:shd w:val="clear" w:color="auto" w:fill="595959" w:themeFill="text1" w:themeFillTint="A6"/>
          </w:tcPr>
          <w:p w14:paraId="74B93E40" w14:textId="1DBCA194" w:rsidR="00F13698" w:rsidRPr="006A4559" w:rsidRDefault="007900D2" w:rsidP="002A1CDA">
            <w:pPr>
              <w:jc w:val="both"/>
              <w:rPr>
                <w:rFonts w:ascii="Verdana" w:hAnsi="Verdana"/>
                <w:b/>
                <w:color w:val="FFFFFF" w:themeColor="background1"/>
                <w:sz w:val="20"/>
                <w:szCs w:val="20"/>
              </w:rPr>
            </w:pPr>
            <w:r w:rsidRPr="006A4559">
              <w:rPr>
                <w:rFonts w:ascii="Verdana" w:hAnsi="Verdana"/>
                <w:b/>
                <w:noProof/>
                <w:sz w:val="20"/>
                <w:szCs w:val="20"/>
              </w:rPr>
              <mc:AlternateContent>
                <mc:Choice Requires="wps">
                  <w:drawing>
                    <wp:anchor distT="0" distB="0" distL="114300" distR="114300" simplePos="0" relativeHeight="251726848" behindDoc="0" locked="0" layoutInCell="1" allowOverlap="1" wp14:anchorId="6345B9C4" wp14:editId="70A993BB">
                      <wp:simplePos x="0" y="0"/>
                      <wp:positionH relativeFrom="column">
                        <wp:posOffset>1669415</wp:posOffset>
                      </wp:positionH>
                      <wp:positionV relativeFrom="paragraph">
                        <wp:posOffset>18415</wp:posOffset>
                      </wp:positionV>
                      <wp:extent cx="219075" cy="247650"/>
                      <wp:effectExtent l="19050" t="0" r="28575" b="38100"/>
                      <wp:wrapNone/>
                      <wp:docPr id="20" name="Down Arrow 47"/>
                      <wp:cNvGraphicFramePr/>
                      <a:graphic xmlns:a="http://schemas.openxmlformats.org/drawingml/2006/main">
                        <a:graphicData uri="http://schemas.microsoft.com/office/word/2010/wordprocessingShape">
                          <wps:wsp>
                            <wps:cNvSpPr/>
                            <wps:spPr>
                              <a:xfrm>
                                <a:off x="0" y="0"/>
                                <a:ext cx="219075" cy="247650"/>
                              </a:xfrm>
                              <a:prstGeom prst="downArrow">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E430" id="Down Arrow 47" o:spid="_x0000_s1026" type="#_x0000_t67" style="position:absolute;margin-left:131.45pt;margin-top:1.45pt;width:17.2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" adj="12046" fillcolor="white [3212]" strokecolor="#5a5a5a [2109]" strokeweight="2pt"/>
                  </w:pict>
                </mc:Fallback>
              </mc:AlternateContent>
            </w:r>
            <w:r w:rsidR="00F13698" w:rsidRPr="006A4559">
              <w:rPr>
                <w:rFonts w:ascii="Verdana" w:hAnsi="Verdana"/>
                <w:b/>
                <w:color w:val="FFFFFF" w:themeColor="background1"/>
                <w:sz w:val="20"/>
                <w:szCs w:val="20"/>
              </w:rPr>
              <w:t>Factors decreasing risk</w:t>
            </w:r>
          </w:p>
        </w:tc>
      </w:tr>
      <w:tr w:rsidR="00F13698" w14:paraId="11C7974F" w14:textId="77777777" w:rsidTr="004D6B97">
        <w:tc>
          <w:tcPr>
            <w:tcW w:w="1913" w:type="dxa"/>
            <w:shd w:val="clear" w:color="auto" w:fill="FFFF00"/>
          </w:tcPr>
          <w:p w14:paraId="276265B6" w14:textId="29423433" w:rsidR="00F13698" w:rsidRPr="006A4559" w:rsidRDefault="00F13698" w:rsidP="002A1CDA">
            <w:pPr>
              <w:rPr>
                <w:rFonts w:ascii="Verdana" w:hAnsi="Verdana"/>
                <w:sz w:val="20"/>
                <w:szCs w:val="20"/>
              </w:rPr>
            </w:pPr>
            <w:r w:rsidRPr="006A4559">
              <w:rPr>
                <w:rFonts w:ascii="Verdana" w:hAnsi="Verdana"/>
                <w:sz w:val="20"/>
                <w:szCs w:val="20"/>
              </w:rPr>
              <w:t>Nature, size and complexity of business</w:t>
            </w:r>
          </w:p>
          <w:p w14:paraId="102222E9" w14:textId="77777777" w:rsidR="0076281E" w:rsidRPr="006A4559" w:rsidRDefault="0076281E" w:rsidP="0076281E">
            <w:pPr>
              <w:rPr>
                <w:rFonts w:ascii="Verdana" w:hAnsi="Verdana"/>
                <w:sz w:val="20"/>
                <w:szCs w:val="20"/>
              </w:rPr>
            </w:pPr>
          </w:p>
          <w:p w14:paraId="72E70BA5" w14:textId="771F8AF0" w:rsidR="0076281E" w:rsidRPr="006A4559" w:rsidRDefault="0076281E" w:rsidP="0076281E">
            <w:pPr>
              <w:rPr>
                <w:rFonts w:ascii="Verdana" w:hAnsi="Verdana"/>
                <w:sz w:val="20"/>
                <w:szCs w:val="20"/>
              </w:rPr>
            </w:pPr>
            <w:r w:rsidRPr="006A4559">
              <w:rPr>
                <w:rFonts w:ascii="Verdana" w:hAnsi="Verdana"/>
                <w:sz w:val="20"/>
                <w:szCs w:val="20"/>
              </w:rPr>
              <w:t>- “</w:t>
            </w:r>
            <w:r w:rsidRPr="006A4559">
              <w:rPr>
                <w:rFonts w:ascii="Verdana" w:hAnsi="Verdana"/>
                <w:b/>
                <w:bCs/>
                <w:sz w:val="20"/>
                <w:szCs w:val="20"/>
              </w:rPr>
              <w:t>Low</w:t>
            </w:r>
            <w:r w:rsidRPr="006A4559">
              <w:rPr>
                <w:rFonts w:ascii="Verdana" w:hAnsi="Verdana"/>
                <w:sz w:val="20"/>
                <w:szCs w:val="20"/>
              </w:rPr>
              <w:t>”</w:t>
            </w:r>
          </w:p>
        </w:tc>
        <w:tc>
          <w:tcPr>
            <w:tcW w:w="3960" w:type="dxa"/>
          </w:tcPr>
          <w:p w14:paraId="24B6BE2B" w14:textId="77777777"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Overreliance on outsourced functions performed by third parties</w:t>
            </w:r>
          </w:p>
          <w:p w14:paraId="11AA34FE" w14:textId="76BAAFF6"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Complex ownership structures involving </w:t>
            </w:r>
            <w:r w:rsidR="0091209D" w:rsidRPr="006A4559">
              <w:rPr>
                <w:rFonts w:ascii="Verdana" w:hAnsi="Verdana"/>
                <w:sz w:val="20"/>
                <w:szCs w:val="20"/>
              </w:rPr>
              <w:t>mutual/</w:t>
            </w:r>
            <w:r w:rsidRPr="006A4559">
              <w:rPr>
                <w:rFonts w:ascii="Verdana" w:hAnsi="Verdana"/>
                <w:sz w:val="20"/>
                <w:szCs w:val="20"/>
              </w:rPr>
              <w:t>hedge/private equity funds and the multitude of unknown individual investors</w:t>
            </w:r>
          </w:p>
          <w:p w14:paraId="49BF9EAF" w14:textId="77777777"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 xml:space="preserve">[D] </w:t>
            </w:r>
            <w:r w:rsidRPr="006A4559">
              <w:rPr>
                <w:rFonts w:ascii="Verdana" w:hAnsi="Verdana"/>
                <w:sz w:val="20"/>
                <w:szCs w:val="20"/>
              </w:rPr>
              <w:t>Stiff competition amongst insurers and intermediaries</w:t>
            </w:r>
          </w:p>
        </w:tc>
        <w:tc>
          <w:tcPr>
            <w:tcW w:w="3870" w:type="dxa"/>
          </w:tcPr>
          <w:p w14:paraId="57377212" w14:textId="77777777"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[D]</w:t>
            </w:r>
            <w:r w:rsidRPr="006A4559">
              <w:rPr>
                <w:rFonts w:ascii="Verdana" w:hAnsi="Verdana"/>
                <w:sz w:val="20"/>
                <w:szCs w:val="20"/>
              </w:rPr>
              <w:t xml:space="preserve"> Domestic customer base</w:t>
            </w:r>
          </w:p>
          <w:p w14:paraId="051FF5DC" w14:textId="77777777"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[D]</w:t>
            </w:r>
            <w:r w:rsidRPr="006A4559">
              <w:rPr>
                <w:rFonts w:ascii="Verdana" w:hAnsi="Verdana"/>
                <w:sz w:val="20"/>
                <w:szCs w:val="20"/>
              </w:rPr>
              <w:t xml:space="preserve"> Unsophisticated insurance products</w:t>
            </w:r>
          </w:p>
          <w:p w14:paraId="362799D1" w14:textId="77777777"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Third-party service providers are licensed or approved</w:t>
            </w:r>
          </w:p>
          <w:p w14:paraId="2844B6CD" w14:textId="6FD42FEE"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Relatively small life insurance sector with </w:t>
            </w:r>
            <w:r w:rsidR="004033D5" w:rsidRPr="006A4559">
              <w:rPr>
                <w:rFonts w:ascii="Verdana" w:hAnsi="Verdana"/>
                <w:sz w:val="20"/>
                <w:szCs w:val="20"/>
              </w:rPr>
              <w:t xml:space="preserve">a </w:t>
            </w:r>
            <w:r w:rsidRPr="006A4559">
              <w:rPr>
                <w:rFonts w:ascii="Verdana" w:hAnsi="Verdana"/>
                <w:sz w:val="20"/>
                <w:szCs w:val="20"/>
              </w:rPr>
              <w:t>large majority providing liability or property coverage</w:t>
            </w:r>
          </w:p>
          <w:p w14:paraId="6F25A213" w14:textId="77777777" w:rsidR="00F13698" w:rsidRPr="006A4559" w:rsidRDefault="00F13698" w:rsidP="004033D5">
            <w:pPr>
              <w:pStyle w:val="ListParagraph"/>
              <w:ind w:left="252"/>
              <w:rPr>
                <w:rFonts w:ascii="Verdana" w:hAnsi="Verdana"/>
                <w:sz w:val="20"/>
                <w:szCs w:val="20"/>
              </w:rPr>
            </w:pPr>
          </w:p>
        </w:tc>
      </w:tr>
      <w:tr w:rsidR="00F13698" w14:paraId="085F9927" w14:textId="77777777" w:rsidTr="004D6B97">
        <w:tc>
          <w:tcPr>
            <w:tcW w:w="1913" w:type="dxa"/>
            <w:shd w:val="clear" w:color="auto" w:fill="F79646" w:themeFill="accent6"/>
          </w:tcPr>
          <w:p w14:paraId="265AB173" w14:textId="35D8BDD7" w:rsidR="00F13698" w:rsidRPr="006A4559" w:rsidRDefault="00F13698" w:rsidP="002A1CDA">
            <w:pPr>
              <w:rPr>
                <w:rFonts w:ascii="Verdana" w:hAnsi="Verdana"/>
                <w:sz w:val="20"/>
                <w:szCs w:val="20"/>
              </w:rPr>
            </w:pPr>
            <w:r w:rsidRPr="006A4559">
              <w:rPr>
                <w:rFonts w:ascii="Verdana" w:hAnsi="Verdana"/>
                <w:sz w:val="20"/>
                <w:szCs w:val="20"/>
              </w:rPr>
              <w:t>Products and services</w:t>
            </w:r>
          </w:p>
          <w:p w14:paraId="47E9983F" w14:textId="77777777" w:rsidR="0076281E" w:rsidRPr="006A4559" w:rsidRDefault="0076281E" w:rsidP="002A1CDA">
            <w:pPr>
              <w:rPr>
                <w:rFonts w:ascii="Verdana" w:hAnsi="Verdana"/>
                <w:sz w:val="20"/>
                <w:szCs w:val="20"/>
              </w:rPr>
            </w:pPr>
          </w:p>
          <w:p w14:paraId="31047476" w14:textId="08A1F2BB" w:rsidR="0076281E" w:rsidRPr="006A4559" w:rsidRDefault="0076281E" w:rsidP="002A1CDA">
            <w:pPr>
              <w:rPr>
                <w:rFonts w:ascii="Verdana" w:hAnsi="Verdana"/>
                <w:sz w:val="20"/>
                <w:szCs w:val="20"/>
              </w:rPr>
            </w:pPr>
            <w:r w:rsidRPr="006A4559">
              <w:rPr>
                <w:rFonts w:ascii="Verdana" w:hAnsi="Verdana"/>
                <w:sz w:val="20"/>
                <w:szCs w:val="20"/>
              </w:rPr>
              <w:t>- “</w:t>
            </w:r>
            <w:r w:rsidRPr="006A4559">
              <w:rPr>
                <w:rFonts w:ascii="Verdana" w:hAnsi="Verdana"/>
                <w:b/>
                <w:bCs/>
                <w:sz w:val="20"/>
                <w:szCs w:val="20"/>
              </w:rPr>
              <w:t>Medium Low</w:t>
            </w:r>
            <w:r w:rsidRPr="006A4559">
              <w:rPr>
                <w:rFonts w:ascii="Verdana" w:hAnsi="Verdana"/>
                <w:sz w:val="20"/>
                <w:szCs w:val="20"/>
              </w:rPr>
              <w:t>”</w:t>
            </w:r>
          </w:p>
        </w:tc>
        <w:tc>
          <w:tcPr>
            <w:tcW w:w="3960" w:type="dxa"/>
          </w:tcPr>
          <w:p w14:paraId="12F4A6A4" w14:textId="77777777" w:rsidR="00F13698" w:rsidRPr="006A4559" w:rsidRDefault="00F13698" w:rsidP="002A1CDA">
            <w:pPr>
              <w:pStyle w:val="ListParagraph"/>
              <w:numPr>
                <w:ilvl w:val="0"/>
                <w:numId w:val="2"/>
              </w:numPr>
              <w:ind w:left="228" w:hanging="228"/>
              <w:rPr>
                <w:rFonts w:ascii="Verdana" w:hAnsi="Verdana"/>
                <w:sz w:val="20"/>
                <w:szCs w:val="20"/>
              </w:rPr>
            </w:pPr>
            <w:r w:rsidRPr="006A4559">
              <w:rPr>
                <w:rFonts w:ascii="Verdana" w:hAnsi="Verdana"/>
                <w:b/>
                <w:sz w:val="20"/>
                <w:szCs w:val="20"/>
              </w:rPr>
              <w:t>[D/I]</w:t>
            </w:r>
            <w:r w:rsidRPr="006A4559">
              <w:rPr>
                <w:rFonts w:ascii="Verdana" w:hAnsi="Verdana"/>
                <w:sz w:val="20"/>
                <w:szCs w:val="20"/>
              </w:rPr>
              <w:t xml:space="preserve"> Life products with investment component and single premium policies with high cash/surrender value</w:t>
            </w:r>
          </w:p>
          <w:p w14:paraId="4EA997E7" w14:textId="77777777" w:rsidR="00F13698" w:rsidRPr="006A4559" w:rsidRDefault="00F13698" w:rsidP="002A1CDA">
            <w:pPr>
              <w:pStyle w:val="ListParagraph"/>
              <w:numPr>
                <w:ilvl w:val="0"/>
                <w:numId w:val="2"/>
              </w:numPr>
              <w:ind w:left="228" w:hanging="228"/>
              <w:rPr>
                <w:rFonts w:ascii="Verdana" w:hAnsi="Verdana"/>
                <w:sz w:val="20"/>
                <w:szCs w:val="20"/>
              </w:rPr>
            </w:pPr>
            <w:r w:rsidRPr="006A4559">
              <w:rPr>
                <w:rFonts w:ascii="Verdana" w:hAnsi="Verdana"/>
                <w:b/>
                <w:sz w:val="20"/>
                <w:szCs w:val="20"/>
              </w:rPr>
              <w:t>[D]</w:t>
            </w:r>
            <w:r w:rsidRPr="006A4559">
              <w:rPr>
                <w:rFonts w:ascii="Verdana" w:hAnsi="Verdana"/>
                <w:sz w:val="20"/>
                <w:szCs w:val="20"/>
              </w:rPr>
              <w:t xml:space="preserve"> Premium payments made in cash</w:t>
            </w:r>
          </w:p>
          <w:p w14:paraId="5B3546D8" w14:textId="77777777" w:rsidR="00F13698" w:rsidRPr="006A4559" w:rsidRDefault="00F13698" w:rsidP="002A1CDA">
            <w:pPr>
              <w:pStyle w:val="ListParagraph"/>
              <w:numPr>
                <w:ilvl w:val="0"/>
                <w:numId w:val="2"/>
              </w:numPr>
              <w:ind w:left="228" w:hanging="228"/>
              <w:rPr>
                <w:rFonts w:ascii="Verdana" w:hAnsi="Verdana"/>
                <w:sz w:val="20"/>
                <w:szCs w:val="20"/>
              </w:rPr>
            </w:pPr>
            <w:r w:rsidRPr="006A4559">
              <w:rPr>
                <w:rFonts w:ascii="Verdana" w:hAnsi="Verdana"/>
                <w:sz w:val="20"/>
                <w:szCs w:val="20"/>
              </w:rPr>
              <w:t xml:space="preserve">[I] Misuse of pure captives by manipulating funding and reserves </w:t>
            </w:r>
          </w:p>
        </w:tc>
        <w:tc>
          <w:tcPr>
            <w:tcW w:w="3870" w:type="dxa"/>
          </w:tcPr>
          <w:p w14:paraId="25EBA2B7" w14:textId="77777777" w:rsidR="00F13698" w:rsidRPr="006A4559" w:rsidRDefault="00F13698" w:rsidP="002A1CDA">
            <w:pPr>
              <w:pStyle w:val="ListParagraph"/>
              <w:numPr>
                <w:ilvl w:val="0"/>
                <w:numId w:val="2"/>
              </w:numPr>
              <w:ind w:left="243" w:hanging="243"/>
              <w:rPr>
                <w:rFonts w:ascii="Verdana" w:hAnsi="Verdana"/>
                <w:sz w:val="20"/>
                <w:szCs w:val="20"/>
              </w:rPr>
            </w:pPr>
            <w:r w:rsidRPr="006A4559">
              <w:rPr>
                <w:rFonts w:ascii="Verdana" w:hAnsi="Verdana"/>
                <w:b/>
                <w:sz w:val="20"/>
                <w:szCs w:val="20"/>
              </w:rPr>
              <w:t>[D/I]</w:t>
            </w:r>
            <w:r w:rsidRPr="006A4559">
              <w:rPr>
                <w:rFonts w:ascii="Verdana" w:hAnsi="Verdana"/>
                <w:sz w:val="20"/>
                <w:szCs w:val="20"/>
              </w:rPr>
              <w:t xml:space="preserve"> Large single premium payments accepted only from funds in the financial system </w:t>
            </w:r>
          </w:p>
          <w:p w14:paraId="0D458967" w14:textId="77777777" w:rsidR="00DD7B79" w:rsidRPr="006A4559" w:rsidRDefault="00F13698" w:rsidP="002A1CDA">
            <w:pPr>
              <w:pStyle w:val="ListParagraph"/>
              <w:numPr>
                <w:ilvl w:val="0"/>
                <w:numId w:val="2"/>
              </w:numPr>
              <w:ind w:left="243" w:hanging="243"/>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Vast majority of international insurers offering liability insurance coverage</w:t>
            </w:r>
          </w:p>
          <w:p w14:paraId="5BCDFC94" w14:textId="3BE70105" w:rsidR="00F13698" w:rsidRPr="006A4559" w:rsidRDefault="00DD7B79" w:rsidP="002A1CDA">
            <w:pPr>
              <w:pStyle w:val="ListParagraph"/>
              <w:numPr>
                <w:ilvl w:val="0"/>
                <w:numId w:val="2"/>
              </w:numPr>
              <w:ind w:left="243" w:hanging="243"/>
              <w:rPr>
                <w:rFonts w:ascii="Verdana" w:hAnsi="Verdana"/>
                <w:sz w:val="20"/>
                <w:szCs w:val="20"/>
              </w:rPr>
            </w:pPr>
            <w:r w:rsidRPr="006A4559">
              <w:rPr>
                <w:rFonts w:ascii="Verdana" w:hAnsi="Verdana"/>
                <w:b/>
                <w:sz w:val="20"/>
                <w:szCs w:val="20"/>
              </w:rPr>
              <w:t xml:space="preserve">[I] </w:t>
            </w:r>
            <w:r w:rsidRPr="006A4559">
              <w:rPr>
                <w:rFonts w:ascii="Verdana" w:hAnsi="Verdana"/>
                <w:bCs/>
                <w:sz w:val="20"/>
                <w:szCs w:val="20"/>
              </w:rPr>
              <w:t>International corporation, exchange of information between Cayman and overseas regulators</w:t>
            </w:r>
            <w:r w:rsidR="00F13698" w:rsidRPr="006A4559">
              <w:rPr>
                <w:rFonts w:ascii="Verdana" w:hAnsi="Verdana"/>
                <w:sz w:val="20"/>
                <w:szCs w:val="20"/>
              </w:rPr>
              <w:t xml:space="preserve"> </w:t>
            </w:r>
          </w:p>
        </w:tc>
      </w:tr>
      <w:tr w:rsidR="00F13698" w14:paraId="6E5629F5" w14:textId="77777777" w:rsidTr="004D6B97">
        <w:tc>
          <w:tcPr>
            <w:tcW w:w="1913" w:type="dxa"/>
            <w:shd w:val="clear" w:color="auto" w:fill="E36C0A" w:themeFill="accent6" w:themeFillShade="BF"/>
          </w:tcPr>
          <w:p w14:paraId="59BAB8E0" w14:textId="77777777" w:rsidR="00F13698" w:rsidRPr="006A4559" w:rsidRDefault="00F13698" w:rsidP="002A1CDA">
            <w:pPr>
              <w:rPr>
                <w:rFonts w:ascii="Verdana" w:hAnsi="Verdana"/>
                <w:sz w:val="20"/>
                <w:szCs w:val="20"/>
              </w:rPr>
            </w:pPr>
            <w:r w:rsidRPr="006A4559">
              <w:rPr>
                <w:rFonts w:ascii="Verdana" w:hAnsi="Verdana"/>
                <w:sz w:val="20"/>
                <w:szCs w:val="20"/>
              </w:rPr>
              <w:t>Delivery channels for products and services</w:t>
            </w:r>
          </w:p>
          <w:p w14:paraId="1345BD9C" w14:textId="77777777" w:rsidR="0076281E" w:rsidRPr="006A4559" w:rsidRDefault="0076281E" w:rsidP="002A1CDA">
            <w:pPr>
              <w:rPr>
                <w:rFonts w:ascii="Verdana" w:hAnsi="Verdana"/>
                <w:sz w:val="20"/>
                <w:szCs w:val="20"/>
              </w:rPr>
            </w:pPr>
          </w:p>
          <w:p w14:paraId="56832969" w14:textId="67827815" w:rsidR="0076281E" w:rsidRPr="006A4559" w:rsidRDefault="0076281E" w:rsidP="002A1CDA">
            <w:pPr>
              <w:rPr>
                <w:rFonts w:ascii="Verdana" w:hAnsi="Verdana"/>
                <w:sz w:val="20"/>
                <w:szCs w:val="20"/>
              </w:rPr>
            </w:pPr>
            <w:r w:rsidRPr="006A4559">
              <w:rPr>
                <w:rFonts w:ascii="Verdana" w:hAnsi="Verdana"/>
                <w:sz w:val="20"/>
                <w:szCs w:val="20"/>
              </w:rPr>
              <w:t>- “</w:t>
            </w:r>
            <w:r w:rsidRPr="006A4559">
              <w:rPr>
                <w:rFonts w:ascii="Verdana" w:hAnsi="Verdana"/>
                <w:b/>
                <w:bCs/>
                <w:sz w:val="20"/>
                <w:szCs w:val="20"/>
              </w:rPr>
              <w:t>Medium-High</w:t>
            </w:r>
            <w:r w:rsidRPr="006A4559">
              <w:rPr>
                <w:rFonts w:ascii="Verdana" w:hAnsi="Verdana"/>
                <w:sz w:val="20"/>
                <w:szCs w:val="20"/>
              </w:rPr>
              <w:t>”</w:t>
            </w:r>
          </w:p>
        </w:tc>
        <w:tc>
          <w:tcPr>
            <w:tcW w:w="3960" w:type="dxa"/>
          </w:tcPr>
          <w:p w14:paraId="00D87C7C" w14:textId="77777777" w:rsidR="00F13698" w:rsidRPr="006A4559" w:rsidRDefault="00F13698" w:rsidP="002A1CDA">
            <w:pPr>
              <w:pStyle w:val="ListParagraph"/>
              <w:numPr>
                <w:ilvl w:val="0"/>
                <w:numId w:val="2"/>
              </w:numPr>
              <w:ind w:left="252" w:hanging="270"/>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Non face-to-face business, eligible introducers, unlicensed intermediaries, online platforms, independent distributors</w:t>
            </w:r>
          </w:p>
          <w:p w14:paraId="0C2C64A3" w14:textId="77777777" w:rsidR="00F13698" w:rsidRPr="006A4559" w:rsidRDefault="00F13698" w:rsidP="002A1CDA">
            <w:pPr>
              <w:pStyle w:val="ListParagraph"/>
              <w:numPr>
                <w:ilvl w:val="0"/>
                <w:numId w:val="2"/>
              </w:numPr>
              <w:ind w:left="252" w:hanging="270"/>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Underlying policies issued by unrelated fronting carriers or brokers</w:t>
            </w:r>
          </w:p>
        </w:tc>
        <w:tc>
          <w:tcPr>
            <w:tcW w:w="3870" w:type="dxa"/>
          </w:tcPr>
          <w:p w14:paraId="1E1D6E8D" w14:textId="77777777" w:rsidR="00F13698" w:rsidRPr="006A4559" w:rsidRDefault="00F13698" w:rsidP="002A1CDA">
            <w:pPr>
              <w:pStyle w:val="ListParagraph"/>
              <w:numPr>
                <w:ilvl w:val="0"/>
                <w:numId w:val="2"/>
              </w:numPr>
              <w:ind w:left="243" w:hanging="243"/>
              <w:rPr>
                <w:rFonts w:ascii="Verdana" w:hAnsi="Verdana"/>
                <w:sz w:val="20"/>
                <w:szCs w:val="20"/>
              </w:rPr>
            </w:pPr>
            <w:r w:rsidRPr="006A4559">
              <w:rPr>
                <w:rFonts w:ascii="Verdana" w:hAnsi="Verdana"/>
                <w:b/>
                <w:sz w:val="20"/>
                <w:szCs w:val="20"/>
              </w:rPr>
              <w:t>[D]</w:t>
            </w:r>
            <w:r w:rsidRPr="006A4559">
              <w:rPr>
                <w:rFonts w:ascii="Verdana" w:hAnsi="Verdana"/>
                <w:sz w:val="20"/>
                <w:szCs w:val="20"/>
              </w:rPr>
              <w:t xml:space="preserve"> face to face business, business via licensed brokers/agents</w:t>
            </w:r>
          </w:p>
          <w:p w14:paraId="466242C8" w14:textId="77777777" w:rsidR="00F13698" w:rsidRPr="006A4559" w:rsidRDefault="00F13698" w:rsidP="002A1CDA">
            <w:pPr>
              <w:pStyle w:val="ListParagraph"/>
              <w:numPr>
                <w:ilvl w:val="0"/>
                <w:numId w:val="2"/>
              </w:numPr>
              <w:ind w:left="243" w:hanging="243"/>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involvement of licensed insurance managers</w:t>
            </w:r>
          </w:p>
          <w:p w14:paraId="6A26D214" w14:textId="584204C6" w:rsidR="00DD7B79" w:rsidRPr="006A4559" w:rsidRDefault="00DD7B79" w:rsidP="002A1CDA">
            <w:pPr>
              <w:pStyle w:val="ListParagraph"/>
              <w:numPr>
                <w:ilvl w:val="0"/>
                <w:numId w:val="2"/>
              </w:numPr>
              <w:ind w:left="243" w:hanging="243"/>
              <w:rPr>
                <w:rFonts w:ascii="Verdana" w:hAnsi="Verdana"/>
                <w:sz w:val="20"/>
                <w:szCs w:val="20"/>
              </w:rPr>
            </w:pPr>
            <w:r w:rsidRPr="006A4559">
              <w:rPr>
                <w:rFonts w:ascii="Verdana" w:hAnsi="Verdana"/>
                <w:b/>
                <w:bCs/>
                <w:sz w:val="20"/>
                <w:szCs w:val="20"/>
              </w:rPr>
              <w:t>[I]</w:t>
            </w:r>
            <w:r w:rsidRPr="006A4559">
              <w:rPr>
                <w:rFonts w:ascii="Verdana" w:hAnsi="Verdana"/>
                <w:sz w:val="20"/>
                <w:szCs w:val="20"/>
              </w:rPr>
              <w:t xml:space="preserve"> Requirement to use licensed/regulated intermediaries</w:t>
            </w:r>
          </w:p>
        </w:tc>
      </w:tr>
      <w:tr w:rsidR="00F13698" w14:paraId="553385BF" w14:textId="77777777" w:rsidTr="004D6B97">
        <w:tc>
          <w:tcPr>
            <w:tcW w:w="1913" w:type="dxa"/>
            <w:shd w:val="clear" w:color="auto" w:fill="F79646" w:themeFill="accent6"/>
          </w:tcPr>
          <w:p w14:paraId="6C4C8C69" w14:textId="77777777" w:rsidR="00F13698" w:rsidRPr="006A4559" w:rsidRDefault="00F13698" w:rsidP="002A1CDA">
            <w:pPr>
              <w:rPr>
                <w:rFonts w:ascii="Verdana" w:hAnsi="Verdana"/>
                <w:sz w:val="20"/>
                <w:szCs w:val="20"/>
              </w:rPr>
            </w:pPr>
            <w:r w:rsidRPr="006A4559">
              <w:rPr>
                <w:rFonts w:ascii="Verdana" w:hAnsi="Verdana"/>
                <w:sz w:val="20"/>
                <w:szCs w:val="20"/>
              </w:rPr>
              <w:t>Customer types</w:t>
            </w:r>
          </w:p>
          <w:p w14:paraId="0B780A22" w14:textId="77777777" w:rsidR="0076281E" w:rsidRPr="006A4559" w:rsidRDefault="0076281E" w:rsidP="002A1CDA">
            <w:pPr>
              <w:rPr>
                <w:rFonts w:ascii="Verdana" w:hAnsi="Verdana"/>
                <w:sz w:val="20"/>
                <w:szCs w:val="20"/>
              </w:rPr>
            </w:pPr>
          </w:p>
          <w:p w14:paraId="7A9498AE" w14:textId="74E8364C" w:rsidR="0076281E" w:rsidRPr="006A4559" w:rsidRDefault="0076281E" w:rsidP="002A1CDA">
            <w:pPr>
              <w:rPr>
                <w:rFonts w:ascii="Verdana" w:hAnsi="Verdana"/>
                <w:sz w:val="20"/>
                <w:szCs w:val="20"/>
              </w:rPr>
            </w:pPr>
            <w:r w:rsidRPr="006A4559">
              <w:rPr>
                <w:rFonts w:ascii="Verdana" w:hAnsi="Verdana"/>
                <w:sz w:val="20"/>
                <w:szCs w:val="20"/>
              </w:rPr>
              <w:lastRenderedPageBreak/>
              <w:t>- “</w:t>
            </w:r>
            <w:r w:rsidRPr="006A4559">
              <w:rPr>
                <w:rFonts w:ascii="Verdana" w:hAnsi="Verdana"/>
                <w:b/>
                <w:bCs/>
                <w:sz w:val="20"/>
                <w:szCs w:val="20"/>
              </w:rPr>
              <w:t>Medium Low</w:t>
            </w:r>
            <w:r w:rsidRPr="006A4559">
              <w:rPr>
                <w:rFonts w:ascii="Verdana" w:hAnsi="Verdana"/>
                <w:sz w:val="20"/>
                <w:szCs w:val="20"/>
              </w:rPr>
              <w:t>”</w:t>
            </w:r>
          </w:p>
        </w:tc>
        <w:tc>
          <w:tcPr>
            <w:tcW w:w="3960" w:type="dxa"/>
          </w:tcPr>
          <w:p w14:paraId="31B25501" w14:textId="281A675F"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lastRenderedPageBreak/>
              <w:t>[I]</w:t>
            </w:r>
            <w:r w:rsidRPr="006A4559">
              <w:rPr>
                <w:rFonts w:ascii="Verdana" w:hAnsi="Verdana"/>
                <w:sz w:val="20"/>
                <w:szCs w:val="20"/>
              </w:rPr>
              <w:t xml:space="preserve"> </w:t>
            </w:r>
            <w:r w:rsidR="00551D5C" w:rsidRPr="006A4559">
              <w:rPr>
                <w:rFonts w:ascii="Verdana" w:eastAsia="Times New Roman" w:hAnsi="Verdana" w:cs="Times New Roman"/>
                <w:color w:val="191919"/>
                <w:sz w:val="20"/>
                <w:szCs w:val="20"/>
                <w:lang w:eastAsia="en-GB"/>
              </w:rPr>
              <w:t>Politically Exposed Persons</w:t>
            </w:r>
            <w:r w:rsidR="00551D5C" w:rsidRPr="006A4559">
              <w:rPr>
                <w:rFonts w:ascii="Verdana" w:hAnsi="Verdana"/>
                <w:sz w:val="20"/>
                <w:szCs w:val="20"/>
              </w:rPr>
              <w:t xml:space="preserve"> (</w:t>
            </w:r>
            <w:r w:rsidRPr="006A4559">
              <w:rPr>
                <w:rFonts w:ascii="Verdana" w:hAnsi="Verdana"/>
                <w:sz w:val="20"/>
                <w:szCs w:val="20"/>
              </w:rPr>
              <w:t>PEP</w:t>
            </w:r>
            <w:r w:rsidR="00551D5C" w:rsidRPr="006A4559">
              <w:rPr>
                <w:rFonts w:ascii="Verdana" w:hAnsi="Verdana"/>
                <w:sz w:val="20"/>
                <w:szCs w:val="20"/>
              </w:rPr>
              <w:t>)</w:t>
            </w:r>
            <w:r w:rsidRPr="006A4559">
              <w:rPr>
                <w:rFonts w:ascii="Verdana" w:hAnsi="Verdana"/>
                <w:sz w:val="20"/>
                <w:szCs w:val="20"/>
              </w:rPr>
              <w:t xml:space="preserve">, cash intensive, charitable </w:t>
            </w:r>
            <w:r w:rsidRPr="006A4559">
              <w:rPr>
                <w:rFonts w:ascii="Verdana" w:hAnsi="Verdana"/>
                <w:sz w:val="20"/>
                <w:szCs w:val="20"/>
              </w:rPr>
              <w:lastRenderedPageBreak/>
              <w:t>trusts as beneficiaries, high risk industries</w:t>
            </w:r>
          </w:p>
          <w:p w14:paraId="2173E2B4" w14:textId="77777777"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Customers breaching international sanctions</w:t>
            </w:r>
          </w:p>
        </w:tc>
        <w:tc>
          <w:tcPr>
            <w:tcW w:w="3870" w:type="dxa"/>
          </w:tcPr>
          <w:p w14:paraId="75CCD6F9" w14:textId="64E3E0E5" w:rsidR="00F13698" w:rsidRPr="006A4559" w:rsidRDefault="00F13698" w:rsidP="002A1CDA">
            <w:pPr>
              <w:pStyle w:val="ListParagraph"/>
              <w:numPr>
                <w:ilvl w:val="0"/>
                <w:numId w:val="2"/>
              </w:numPr>
              <w:ind w:left="243" w:hanging="243"/>
              <w:rPr>
                <w:rFonts w:ascii="Verdana" w:hAnsi="Verdana"/>
                <w:sz w:val="20"/>
                <w:szCs w:val="20"/>
              </w:rPr>
            </w:pPr>
            <w:r w:rsidRPr="006A4559">
              <w:rPr>
                <w:rFonts w:ascii="Verdana" w:hAnsi="Verdana"/>
                <w:b/>
                <w:sz w:val="20"/>
                <w:szCs w:val="20"/>
              </w:rPr>
              <w:lastRenderedPageBreak/>
              <w:t>[I]</w:t>
            </w:r>
            <w:r w:rsidRPr="006A4559">
              <w:rPr>
                <w:rFonts w:ascii="Verdana" w:hAnsi="Verdana"/>
                <w:sz w:val="20"/>
                <w:szCs w:val="20"/>
              </w:rPr>
              <w:t xml:space="preserve"> Largely dealing with institutional clients (pure captives </w:t>
            </w:r>
            <w:r w:rsidRPr="006A4559">
              <w:rPr>
                <w:rFonts w:ascii="Verdana" w:hAnsi="Verdana"/>
                <w:sz w:val="20"/>
                <w:szCs w:val="20"/>
              </w:rPr>
              <w:lastRenderedPageBreak/>
              <w:t>and Cat</w:t>
            </w:r>
            <w:r w:rsidR="00DD7B79" w:rsidRPr="006A4559">
              <w:rPr>
                <w:rFonts w:ascii="Verdana" w:hAnsi="Verdana"/>
                <w:sz w:val="20"/>
                <w:szCs w:val="20"/>
              </w:rPr>
              <w:t>astrophe B</w:t>
            </w:r>
            <w:r w:rsidRPr="006A4559">
              <w:rPr>
                <w:rFonts w:ascii="Verdana" w:hAnsi="Verdana"/>
                <w:sz w:val="20"/>
                <w:szCs w:val="20"/>
              </w:rPr>
              <w:t>onds) or own group (group captives)</w:t>
            </w:r>
          </w:p>
          <w:p w14:paraId="4E600884" w14:textId="77777777" w:rsidR="00F13698" w:rsidRPr="006A4559" w:rsidRDefault="00F13698" w:rsidP="002A1CDA">
            <w:pPr>
              <w:pStyle w:val="ListParagraph"/>
              <w:ind w:left="243"/>
              <w:rPr>
                <w:rFonts w:ascii="Verdana" w:hAnsi="Verdana"/>
                <w:sz w:val="20"/>
                <w:szCs w:val="20"/>
              </w:rPr>
            </w:pPr>
          </w:p>
        </w:tc>
      </w:tr>
      <w:tr w:rsidR="00F13698" w14:paraId="41E6E4BB" w14:textId="77777777" w:rsidTr="004D6B97">
        <w:tc>
          <w:tcPr>
            <w:tcW w:w="1913" w:type="dxa"/>
            <w:shd w:val="clear" w:color="auto" w:fill="FFFF00"/>
          </w:tcPr>
          <w:p w14:paraId="2B2232CB" w14:textId="77777777" w:rsidR="00F13698" w:rsidRPr="006A4559" w:rsidRDefault="00F13698" w:rsidP="002A1CDA">
            <w:pPr>
              <w:rPr>
                <w:rFonts w:ascii="Verdana" w:hAnsi="Verdana"/>
                <w:sz w:val="20"/>
                <w:szCs w:val="20"/>
              </w:rPr>
            </w:pPr>
            <w:r w:rsidRPr="006A4559">
              <w:rPr>
                <w:rFonts w:ascii="Verdana" w:hAnsi="Verdana"/>
                <w:sz w:val="20"/>
                <w:szCs w:val="20"/>
              </w:rPr>
              <w:lastRenderedPageBreak/>
              <w:t>Geographical risk</w:t>
            </w:r>
          </w:p>
          <w:p w14:paraId="72F62371" w14:textId="77777777" w:rsidR="0076281E" w:rsidRPr="006A4559" w:rsidRDefault="0076281E" w:rsidP="002A1CDA">
            <w:pPr>
              <w:rPr>
                <w:rFonts w:ascii="Verdana" w:hAnsi="Verdana"/>
                <w:sz w:val="20"/>
                <w:szCs w:val="20"/>
              </w:rPr>
            </w:pPr>
          </w:p>
          <w:p w14:paraId="349EC967" w14:textId="09F0B901" w:rsidR="0076281E" w:rsidRPr="006A4559" w:rsidRDefault="0076281E" w:rsidP="002A1CDA">
            <w:pPr>
              <w:rPr>
                <w:rFonts w:ascii="Verdana" w:hAnsi="Verdana"/>
                <w:sz w:val="20"/>
                <w:szCs w:val="20"/>
              </w:rPr>
            </w:pPr>
            <w:r w:rsidRPr="006A4559">
              <w:rPr>
                <w:rFonts w:ascii="Verdana" w:hAnsi="Verdana"/>
                <w:sz w:val="20"/>
                <w:szCs w:val="20"/>
              </w:rPr>
              <w:t>- “</w:t>
            </w:r>
            <w:r w:rsidRPr="006A4559">
              <w:rPr>
                <w:rFonts w:ascii="Verdana" w:hAnsi="Verdana"/>
                <w:b/>
                <w:bCs/>
                <w:sz w:val="20"/>
                <w:szCs w:val="20"/>
              </w:rPr>
              <w:t>Low</w:t>
            </w:r>
            <w:r w:rsidRPr="006A4559">
              <w:rPr>
                <w:rFonts w:ascii="Verdana" w:hAnsi="Verdana"/>
                <w:sz w:val="20"/>
                <w:szCs w:val="20"/>
              </w:rPr>
              <w:t>”</w:t>
            </w:r>
          </w:p>
        </w:tc>
        <w:tc>
          <w:tcPr>
            <w:tcW w:w="3960" w:type="dxa"/>
          </w:tcPr>
          <w:p w14:paraId="4AA1462A" w14:textId="77777777"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Many or high $ volume customers in high risk jurisdictions</w:t>
            </w:r>
          </w:p>
          <w:p w14:paraId="280D999E" w14:textId="77777777" w:rsidR="00F13698" w:rsidRPr="006A4559" w:rsidRDefault="00F13698" w:rsidP="002A1CDA">
            <w:pPr>
              <w:pStyle w:val="ListParagraph"/>
              <w:numPr>
                <w:ilvl w:val="0"/>
                <w:numId w:val="2"/>
              </w:numPr>
              <w:ind w:left="252" w:hanging="252"/>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Shareholders, subsidiaries, beneficial owners, trust beneficiaries and settlors in high risk jurisdictions</w:t>
            </w:r>
          </w:p>
        </w:tc>
        <w:tc>
          <w:tcPr>
            <w:tcW w:w="3870" w:type="dxa"/>
          </w:tcPr>
          <w:p w14:paraId="2CCB0C81" w14:textId="77777777" w:rsidR="00F13698" w:rsidRPr="006A4559" w:rsidRDefault="00F13698" w:rsidP="002A1CDA">
            <w:pPr>
              <w:pStyle w:val="ListParagraph"/>
              <w:numPr>
                <w:ilvl w:val="0"/>
                <w:numId w:val="2"/>
              </w:numPr>
              <w:ind w:left="243" w:hanging="243"/>
              <w:rPr>
                <w:rFonts w:ascii="Verdana" w:hAnsi="Verdana"/>
                <w:sz w:val="20"/>
                <w:szCs w:val="20"/>
              </w:rPr>
            </w:pPr>
            <w:r w:rsidRPr="006A4559">
              <w:rPr>
                <w:rFonts w:ascii="Verdana" w:hAnsi="Verdana"/>
                <w:b/>
                <w:sz w:val="20"/>
                <w:szCs w:val="20"/>
              </w:rPr>
              <w:t>[I]</w:t>
            </w:r>
            <w:r w:rsidRPr="006A4559">
              <w:rPr>
                <w:rFonts w:ascii="Verdana" w:hAnsi="Verdana"/>
                <w:sz w:val="20"/>
                <w:szCs w:val="20"/>
              </w:rPr>
              <w:t xml:space="preserve"> Largely dealing with ‘low’ risk jurisdictions </w:t>
            </w:r>
          </w:p>
          <w:p w14:paraId="04AB7CFF" w14:textId="77777777" w:rsidR="00F13698" w:rsidRPr="006A4559" w:rsidRDefault="00F13698" w:rsidP="002A1CDA">
            <w:pPr>
              <w:pStyle w:val="ListParagraph"/>
              <w:numPr>
                <w:ilvl w:val="0"/>
                <w:numId w:val="2"/>
              </w:numPr>
              <w:ind w:left="243" w:hanging="243"/>
              <w:rPr>
                <w:rFonts w:ascii="Verdana" w:hAnsi="Verdana"/>
                <w:sz w:val="20"/>
                <w:szCs w:val="20"/>
              </w:rPr>
            </w:pPr>
            <w:r w:rsidRPr="006A4559">
              <w:rPr>
                <w:rFonts w:ascii="Verdana" w:hAnsi="Verdana"/>
                <w:b/>
                <w:sz w:val="20"/>
                <w:szCs w:val="20"/>
              </w:rPr>
              <w:t>[D]</w:t>
            </w:r>
            <w:r w:rsidRPr="006A4559">
              <w:rPr>
                <w:rFonts w:ascii="Verdana" w:hAnsi="Verdana"/>
                <w:sz w:val="20"/>
                <w:szCs w:val="20"/>
              </w:rPr>
              <w:t xml:space="preserve"> Largely a domestic customer base</w:t>
            </w:r>
          </w:p>
        </w:tc>
      </w:tr>
    </w:tbl>
    <w:p w14:paraId="78FF9204" w14:textId="77777777" w:rsidR="003E3CE2" w:rsidRDefault="00F13698" w:rsidP="00F13698">
      <w:pPr>
        <w:jc w:val="both"/>
        <w:rPr>
          <w:rFonts w:ascii="Verdana" w:hAnsi="Verdana"/>
          <w:sz w:val="16"/>
          <w:szCs w:val="16"/>
        </w:rPr>
      </w:pPr>
      <w:r w:rsidRPr="000A6679">
        <w:rPr>
          <w:rFonts w:ascii="Verdana" w:hAnsi="Verdana"/>
          <w:sz w:val="16"/>
          <w:szCs w:val="16"/>
        </w:rPr>
        <w:t xml:space="preserve">[D] – Mostly applicable to the Domestic insurance sector </w:t>
      </w:r>
      <w:r w:rsidR="000A6679">
        <w:rPr>
          <w:rFonts w:ascii="Verdana" w:hAnsi="Verdana"/>
          <w:sz w:val="16"/>
          <w:szCs w:val="16"/>
        </w:rPr>
        <w:t xml:space="preserve"> </w:t>
      </w:r>
    </w:p>
    <w:p w14:paraId="51E1A636" w14:textId="74DA6271" w:rsidR="00F13698" w:rsidRPr="000A6679" w:rsidRDefault="00F13698" w:rsidP="00F13698">
      <w:pPr>
        <w:jc w:val="both"/>
        <w:rPr>
          <w:rFonts w:ascii="Verdana" w:hAnsi="Verdana"/>
          <w:sz w:val="16"/>
          <w:szCs w:val="16"/>
        </w:rPr>
      </w:pPr>
      <w:r w:rsidRPr="000A6679">
        <w:rPr>
          <w:rFonts w:ascii="Verdana" w:hAnsi="Verdana"/>
          <w:sz w:val="16"/>
          <w:szCs w:val="16"/>
        </w:rPr>
        <w:t>[I] Mostly applicable to the International insurance sector</w:t>
      </w:r>
    </w:p>
    <w:p w14:paraId="5F926280" w14:textId="77777777" w:rsidR="00F13698" w:rsidRDefault="00F13698" w:rsidP="008426E4">
      <w:pPr>
        <w:jc w:val="both"/>
        <w:rPr>
          <w:rFonts w:ascii="Verdana" w:hAnsi="Verdana"/>
          <w:sz w:val="24"/>
          <w:szCs w:val="24"/>
        </w:rPr>
      </w:pPr>
    </w:p>
    <w:p w14:paraId="215704F5" w14:textId="160C5D4F" w:rsidR="00005AA4" w:rsidRPr="00CA3351" w:rsidRDefault="001E040B" w:rsidP="00005AA4">
      <w:pPr>
        <w:jc w:val="both"/>
        <w:rPr>
          <w:rFonts w:ascii="Verdana" w:hAnsi="Verdana"/>
          <w:b/>
          <w:bCs/>
          <w:sz w:val="24"/>
          <w:szCs w:val="24"/>
        </w:rPr>
      </w:pPr>
      <w:r>
        <w:rPr>
          <w:rFonts w:ascii="Verdana" w:hAnsi="Verdana"/>
          <w:b/>
          <w:bCs/>
          <w:sz w:val="24"/>
          <w:szCs w:val="24"/>
        </w:rPr>
        <w:t xml:space="preserve">3.2 </w:t>
      </w:r>
      <w:r w:rsidR="00005AA4" w:rsidRPr="0073382B">
        <w:rPr>
          <w:rFonts w:ascii="Verdana" w:hAnsi="Verdana"/>
          <w:b/>
          <w:bCs/>
          <w:sz w:val="24"/>
          <w:szCs w:val="24"/>
        </w:rPr>
        <w:t xml:space="preserve">Money Laundering (ML)/Terrorist Financing (TF) </w:t>
      </w:r>
      <w:r w:rsidR="00005AA4">
        <w:rPr>
          <w:rFonts w:ascii="Verdana" w:hAnsi="Verdana"/>
          <w:b/>
          <w:bCs/>
          <w:sz w:val="24"/>
          <w:szCs w:val="24"/>
        </w:rPr>
        <w:t xml:space="preserve">– </w:t>
      </w:r>
      <w:r w:rsidR="00A86D88">
        <w:rPr>
          <w:rFonts w:ascii="Verdana" w:hAnsi="Verdana"/>
          <w:b/>
          <w:bCs/>
          <w:sz w:val="24"/>
          <w:szCs w:val="24"/>
        </w:rPr>
        <w:t>Risk-Based Mitigation Measures</w:t>
      </w:r>
    </w:p>
    <w:p w14:paraId="3D09DD0E" w14:textId="1DC1FD75" w:rsidR="007F1F48" w:rsidRDefault="007F1F48" w:rsidP="00D16BCE">
      <w:pPr>
        <w:jc w:val="both"/>
        <w:rPr>
          <w:rFonts w:ascii="Verdana" w:hAnsi="Verdana"/>
          <w:sz w:val="20"/>
          <w:szCs w:val="20"/>
        </w:rPr>
      </w:pPr>
      <w:r>
        <w:rPr>
          <w:rFonts w:ascii="Verdana" w:hAnsi="Verdana"/>
          <w:sz w:val="20"/>
          <w:szCs w:val="20"/>
        </w:rPr>
        <w:t xml:space="preserve">The Authority has taken several steps to mitigate the ML/TF exposures of its insurance licensees. </w:t>
      </w:r>
      <w:r w:rsidR="00066FF0">
        <w:rPr>
          <w:rFonts w:ascii="Verdana" w:hAnsi="Verdana"/>
          <w:sz w:val="20"/>
          <w:szCs w:val="20"/>
        </w:rPr>
        <w:t>Some of these steps include:</w:t>
      </w:r>
    </w:p>
    <w:p w14:paraId="362538C3" w14:textId="4997B796" w:rsidR="00066FF0" w:rsidRDefault="00066FF0" w:rsidP="00066FF0">
      <w:pPr>
        <w:pStyle w:val="ListParagraph"/>
        <w:numPr>
          <w:ilvl w:val="0"/>
          <w:numId w:val="15"/>
        </w:numPr>
        <w:jc w:val="both"/>
        <w:rPr>
          <w:rFonts w:ascii="Verdana" w:hAnsi="Verdana"/>
          <w:sz w:val="20"/>
          <w:szCs w:val="20"/>
        </w:rPr>
      </w:pPr>
      <w:r>
        <w:rPr>
          <w:rFonts w:ascii="Verdana" w:hAnsi="Verdana"/>
          <w:sz w:val="20"/>
          <w:szCs w:val="20"/>
        </w:rPr>
        <w:t>Enhanced risk-based supervis</w:t>
      </w:r>
      <w:r w:rsidR="00183C7F">
        <w:rPr>
          <w:rFonts w:ascii="Verdana" w:hAnsi="Verdana"/>
          <w:sz w:val="20"/>
          <w:szCs w:val="20"/>
        </w:rPr>
        <w:t xml:space="preserve">ory framework </w:t>
      </w:r>
      <w:r>
        <w:rPr>
          <w:rFonts w:ascii="Verdana" w:hAnsi="Verdana"/>
          <w:sz w:val="20"/>
          <w:szCs w:val="20"/>
        </w:rPr>
        <w:t>including risk assessment of licensees for their ML/TF exposure</w:t>
      </w:r>
    </w:p>
    <w:p w14:paraId="33204551" w14:textId="1A82DAFE" w:rsidR="00066FF0" w:rsidRDefault="00183C7F" w:rsidP="00066FF0">
      <w:pPr>
        <w:pStyle w:val="ListParagraph"/>
        <w:numPr>
          <w:ilvl w:val="0"/>
          <w:numId w:val="15"/>
        </w:numPr>
        <w:jc w:val="both"/>
        <w:rPr>
          <w:rFonts w:ascii="Verdana" w:hAnsi="Verdana"/>
          <w:sz w:val="20"/>
          <w:szCs w:val="20"/>
        </w:rPr>
      </w:pPr>
      <w:r>
        <w:rPr>
          <w:rFonts w:ascii="Verdana" w:hAnsi="Verdana"/>
          <w:sz w:val="20"/>
          <w:szCs w:val="20"/>
        </w:rPr>
        <w:t xml:space="preserve">Enhanced international corporation with overseas regulators </w:t>
      </w:r>
    </w:p>
    <w:p w14:paraId="2917F587" w14:textId="31F05759" w:rsidR="00183C7F" w:rsidRDefault="002B30FF" w:rsidP="00066FF0">
      <w:pPr>
        <w:pStyle w:val="ListParagraph"/>
        <w:numPr>
          <w:ilvl w:val="0"/>
          <w:numId w:val="15"/>
        </w:numPr>
        <w:jc w:val="both"/>
        <w:rPr>
          <w:rFonts w:ascii="Verdana" w:hAnsi="Verdana"/>
          <w:sz w:val="20"/>
          <w:szCs w:val="20"/>
        </w:rPr>
      </w:pPr>
      <w:r>
        <w:rPr>
          <w:rFonts w:ascii="Verdana" w:hAnsi="Verdana"/>
          <w:sz w:val="20"/>
          <w:szCs w:val="20"/>
        </w:rPr>
        <w:t>More AML/CFT focused onsite inspections</w:t>
      </w:r>
    </w:p>
    <w:p w14:paraId="6C53CB2B" w14:textId="3640777B" w:rsidR="002B30FF" w:rsidRDefault="009105F6" w:rsidP="00066FF0">
      <w:pPr>
        <w:pStyle w:val="ListParagraph"/>
        <w:numPr>
          <w:ilvl w:val="0"/>
          <w:numId w:val="15"/>
        </w:numPr>
        <w:jc w:val="both"/>
        <w:rPr>
          <w:rFonts w:ascii="Verdana" w:hAnsi="Verdana"/>
          <w:sz w:val="20"/>
          <w:szCs w:val="20"/>
        </w:rPr>
      </w:pPr>
      <w:r>
        <w:rPr>
          <w:rFonts w:ascii="Verdana" w:hAnsi="Verdana"/>
          <w:sz w:val="20"/>
          <w:szCs w:val="20"/>
        </w:rPr>
        <w:t>Issuing Insurance sector specific Guidance Notes</w:t>
      </w:r>
    </w:p>
    <w:p w14:paraId="62346F24" w14:textId="2C8791D6" w:rsidR="009105F6" w:rsidRDefault="00A17195" w:rsidP="00066FF0">
      <w:pPr>
        <w:pStyle w:val="ListParagraph"/>
        <w:numPr>
          <w:ilvl w:val="0"/>
          <w:numId w:val="15"/>
        </w:numPr>
        <w:jc w:val="both"/>
        <w:rPr>
          <w:rFonts w:ascii="Verdana" w:hAnsi="Verdana"/>
          <w:sz w:val="20"/>
          <w:szCs w:val="20"/>
        </w:rPr>
      </w:pPr>
      <w:r>
        <w:rPr>
          <w:rFonts w:ascii="Verdana" w:hAnsi="Verdana"/>
          <w:sz w:val="20"/>
          <w:szCs w:val="20"/>
        </w:rPr>
        <w:t>AML/CFT Training and outreach programs</w:t>
      </w:r>
    </w:p>
    <w:p w14:paraId="0F983BB4" w14:textId="77777777" w:rsidR="003E3CE2" w:rsidRDefault="003E3CE2" w:rsidP="00D16BCE">
      <w:pPr>
        <w:jc w:val="both"/>
        <w:rPr>
          <w:rFonts w:ascii="Verdana" w:hAnsi="Verdana"/>
          <w:b/>
          <w:bCs/>
        </w:rPr>
      </w:pPr>
    </w:p>
    <w:p w14:paraId="0BF2E236" w14:textId="39B603A9" w:rsidR="00D16BCE" w:rsidRPr="00D16BCE" w:rsidRDefault="001E040B" w:rsidP="00D16BCE">
      <w:pPr>
        <w:jc w:val="both"/>
        <w:rPr>
          <w:rFonts w:ascii="Verdana" w:hAnsi="Verdana"/>
          <w:b/>
          <w:bCs/>
        </w:rPr>
      </w:pPr>
      <w:r>
        <w:rPr>
          <w:rFonts w:ascii="Verdana" w:hAnsi="Verdana"/>
          <w:b/>
          <w:bCs/>
        </w:rPr>
        <w:t xml:space="preserve">3.2.1 </w:t>
      </w:r>
      <w:r w:rsidR="00676A69" w:rsidRPr="00676A69">
        <w:rPr>
          <w:rFonts w:ascii="Verdana" w:hAnsi="Verdana"/>
          <w:b/>
          <w:bCs/>
        </w:rPr>
        <w:t>Enhanced risk-based supervisory framework including risk assessment of licensees for their ML/TF exposure</w:t>
      </w:r>
    </w:p>
    <w:p w14:paraId="7FDCF07A" w14:textId="77777777" w:rsidR="00D16BCE" w:rsidRDefault="00D16BCE" w:rsidP="00D16BCE">
      <w:pPr>
        <w:jc w:val="both"/>
        <w:rPr>
          <w:rFonts w:ascii="Verdana" w:hAnsi="Verdana"/>
          <w:sz w:val="20"/>
          <w:szCs w:val="20"/>
        </w:rPr>
      </w:pPr>
      <w:r w:rsidRPr="00803701">
        <w:rPr>
          <w:rFonts w:ascii="Verdana" w:hAnsi="Verdana"/>
          <w:sz w:val="20"/>
          <w:szCs w:val="20"/>
        </w:rPr>
        <w:t xml:space="preserve">Risk-based approaches to supervision have been the international standard for financial services regulation and the dominant approach globally for the last decade. </w:t>
      </w:r>
      <w:r>
        <w:rPr>
          <w:rFonts w:ascii="Verdana" w:hAnsi="Verdana"/>
          <w:sz w:val="20"/>
          <w:szCs w:val="20"/>
        </w:rPr>
        <w:t xml:space="preserve">The Authority has taken a risk-based approach in supervising its insurance licensees from the time an entity becomes a licensee until the </w:t>
      </w:r>
      <w:proofErr w:type="spellStart"/>
      <w:r>
        <w:rPr>
          <w:rFonts w:ascii="Verdana" w:hAnsi="Verdana"/>
          <w:sz w:val="20"/>
          <w:szCs w:val="20"/>
        </w:rPr>
        <w:t>licence</w:t>
      </w:r>
      <w:proofErr w:type="spellEnd"/>
      <w:r>
        <w:rPr>
          <w:rFonts w:ascii="Verdana" w:hAnsi="Verdana"/>
          <w:sz w:val="20"/>
          <w:szCs w:val="20"/>
        </w:rPr>
        <w:t xml:space="preserve"> is surrendered. In addition, the Authority has adopted a comprehensive risk-based, </w:t>
      </w:r>
      <w:r w:rsidRPr="00DF41F6">
        <w:rPr>
          <w:rFonts w:ascii="Verdana" w:hAnsi="Verdana" w:cs="CenturyGothic"/>
          <w:sz w:val="20"/>
          <w:szCs w:val="20"/>
        </w:rPr>
        <w:t xml:space="preserve">structured methodology designed to facilitate proactive and dynamic assessment of </w:t>
      </w:r>
      <w:r>
        <w:rPr>
          <w:rFonts w:ascii="Verdana" w:hAnsi="Verdana" w:cs="CenturyGothic"/>
          <w:sz w:val="20"/>
          <w:szCs w:val="20"/>
        </w:rPr>
        <w:t>its insurance licensees</w:t>
      </w:r>
      <w:r w:rsidRPr="00DF41F6">
        <w:rPr>
          <w:rFonts w:ascii="Verdana" w:hAnsi="Verdana" w:cs="CenturyGothic"/>
          <w:sz w:val="20"/>
          <w:szCs w:val="20"/>
        </w:rPr>
        <w:t>.</w:t>
      </w:r>
      <w:r>
        <w:rPr>
          <w:rFonts w:ascii="Verdana" w:hAnsi="Verdana" w:cs="CenturyGothic"/>
          <w:sz w:val="20"/>
          <w:szCs w:val="20"/>
        </w:rPr>
        <w:t xml:space="preserve"> </w:t>
      </w:r>
      <w:r w:rsidRPr="00B66F27">
        <w:rPr>
          <w:rFonts w:ascii="Verdana" w:hAnsi="Verdana" w:cs="CenturyGothic"/>
          <w:sz w:val="20"/>
          <w:szCs w:val="20"/>
        </w:rPr>
        <w:t xml:space="preserve">The framework provides a structured approach for </w:t>
      </w:r>
      <w:r>
        <w:rPr>
          <w:rFonts w:ascii="Verdana" w:hAnsi="Verdana" w:cs="CenturyGothic"/>
          <w:sz w:val="20"/>
          <w:szCs w:val="20"/>
        </w:rPr>
        <w:t xml:space="preserve">a) </w:t>
      </w:r>
      <w:r w:rsidRPr="003F6870">
        <w:rPr>
          <w:rFonts w:ascii="Verdana" w:hAnsi="Verdana"/>
          <w:sz w:val="20"/>
          <w:szCs w:val="20"/>
        </w:rPr>
        <w:t xml:space="preserve">the materiality of the harm that a regulatory risk problem </w:t>
      </w:r>
      <w:r>
        <w:rPr>
          <w:rFonts w:ascii="Verdana" w:hAnsi="Verdana"/>
          <w:sz w:val="20"/>
          <w:szCs w:val="20"/>
        </w:rPr>
        <w:t xml:space="preserve">of an insurance licensee </w:t>
      </w:r>
      <w:r w:rsidRPr="003F6870">
        <w:rPr>
          <w:rFonts w:ascii="Verdana" w:hAnsi="Verdana"/>
          <w:sz w:val="20"/>
          <w:szCs w:val="20"/>
        </w:rPr>
        <w:t xml:space="preserve">would cause with respect to the regulatory objectives of the </w:t>
      </w:r>
      <w:r>
        <w:rPr>
          <w:rFonts w:ascii="Verdana" w:hAnsi="Verdana"/>
          <w:sz w:val="20"/>
          <w:szCs w:val="20"/>
        </w:rPr>
        <w:t>Authority, i</w:t>
      </w:r>
      <w:r w:rsidRPr="005C7DEC">
        <w:rPr>
          <w:rFonts w:ascii="Verdana" w:hAnsi="Verdana"/>
          <w:sz w:val="20"/>
          <w:szCs w:val="20"/>
        </w:rPr>
        <w:t xml:space="preserve">f </w:t>
      </w:r>
      <w:proofErr w:type="spellStart"/>
      <w:r>
        <w:rPr>
          <w:rFonts w:ascii="Verdana" w:hAnsi="Verdana"/>
          <w:sz w:val="20"/>
          <w:szCs w:val="20"/>
        </w:rPr>
        <w:t>realise</w:t>
      </w:r>
      <w:r w:rsidRPr="005C7DEC">
        <w:rPr>
          <w:rFonts w:ascii="Verdana" w:hAnsi="Verdana"/>
          <w:sz w:val="20"/>
          <w:szCs w:val="20"/>
        </w:rPr>
        <w:t>d</w:t>
      </w:r>
      <w:proofErr w:type="spellEnd"/>
      <w:r w:rsidRPr="005C7DEC">
        <w:rPr>
          <w:rFonts w:ascii="Verdana" w:hAnsi="Verdana"/>
          <w:sz w:val="20"/>
          <w:szCs w:val="20"/>
        </w:rPr>
        <w:t xml:space="preserve"> in a</w:t>
      </w:r>
      <w:r>
        <w:rPr>
          <w:rFonts w:ascii="Verdana" w:hAnsi="Verdana"/>
          <w:sz w:val="20"/>
          <w:szCs w:val="20"/>
        </w:rPr>
        <w:t>n</w:t>
      </w:r>
      <w:r w:rsidRPr="005C7DEC">
        <w:rPr>
          <w:rFonts w:ascii="Verdana" w:hAnsi="Verdana"/>
          <w:sz w:val="20"/>
          <w:szCs w:val="20"/>
        </w:rPr>
        <w:t xml:space="preserve"> </w:t>
      </w:r>
      <w:r>
        <w:rPr>
          <w:rFonts w:ascii="Verdana" w:hAnsi="Verdana"/>
          <w:sz w:val="20"/>
          <w:szCs w:val="20"/>
        </w:rPr>
        <w:t xml:space="preserve">entity and b) </w:t>
      </w:r>
      <w:r w:rsidRPr="0026148E">
        <w:rPr>
          <w:rFonts w:ascii="Verdana" w:hAnsi="Verdana"/>
          <w:sz w:val="20"/>
          <w:szCs w:val="20"/>
        </w:rPr>
        <w:t xml:space="preserve">understanding and assessing the key risks, including AML/CFT risks inherent in an insurance entity’s activities. </w:t>
      </w:r>
    </w:p>
    <w:p w14:paraId="5A0287BB" w14:textId="77777777" w:rsidR="00D16BCE" w:rsidRDefault="00D16BCE" w:rsidP="00D16BCE">
      <w:pPr>
        <w:jc w:val="both"/>
        <w:rPr>
          <w:rFonts w:ascii="Verdana" w:hAnsi="Verdana"/>
          <w:sz w:val="20"/>
          <w:szCs w:val="20"/>
        </w:rPr>
      </w:pPr>
      <w:r>
        <w:rPr>
          <w:rFonts w:ascii="Verdana" w:hAnsi="Verdana"/>
          <w:sz w:val="20"/>
          <w:szCs w:val="20"/>
        </w:rPr>
        <w:t xml:space="preserve">An insurance licensee’s impact score is a combination of (1) total assets, (2) total liabilities, (3) total gross written premium, (4) total reinsurance premium assumed and (5) the </w:t>
      </w:r>
      <w:proofErr w:type="spellStart"/>
      <w:r>
        <w:rPr>
          <w:rFonts w:ascii="Verdana" w:hAnsi="Verdana"/>
          <w:sz w:val="20"/>
          <w:szCs w:val="20"/>
        </w:rPr>
        <w:t>licence</w:t>
      </w:r>
      <w:proofErr w:type="spellEnd"/>
      <w:r>
        <w:rPr>
          <w:rFonts w:ascii="Verdana" w:hAnsi="Verdana"/>
          <w:sz w:val="20"/>
          <w:szCs w:val="20"/>
        </w:rPr>
        <w:t xml:space="preserve"> category. A licensee’s probability of failure is then assessed using the nature and scale of </w:t>
      </w:r>
      <w:r>
        <w:rPr>
          <w:rFonts w:ascii="Verdana" w:hAnsi="Verdana"/>
          <w:sz w:val="20"/>
          <w:szCs w:val="20"/>
        </w:rPr>
        <w:lastRenderedPageBreak/>
        <w:t xml:space="preserve">business risks to which the insurance entity is exposed to (inherent risk) and assessing the extent to which the entity controls these risks. These business risks include, (1) strategic risk, (2) operational risk, (3) credit risk, (4) market risk, (5) liquidity risk, (6) insurance risk, (7) capital risk, (8) fiduciary risk, (9) AML/CFT risk and (10) conduct risk. Using the risk assessment methodology, each insurance licensee is assessed and given (1) an impact rating, (2) an AML/CFT risk rating, (3) an overall risk rating and (4) an outlook. </w:t>
      </w:r>
    </w:p>
    <w:p w14:paraId="1EE4B32A" w14:textId="2BCD8B2D" w:rsidR="00D16BCE" w:rsidRPr="00DF3166" w:rsidRDefault="00D16BCE" w:rsidP="00D16BCE">
      <w:pPr>
        <w:jc w:val="both"/>
        <w:rPr>
          <w:rFonts w:ascii="Verdana" w:hAnsi="Verdana"/>
          <w:sz w:val="20"/>
          <w:szCs w:val="20"/>
        </w:rPr>
      </w:pPr>
      <w:r>
        <w:rPr>
          <w:rFonts w:ascii="Verdana" w:hAnsi="Verdana"/>
          <w:sz w:val="20"/>
          <w:szCs w:val="20"/>
        </w:rPr>
        <w:t>As mentioned above, e</w:t>
      </w:r>
      <w:r w:rsidRPr="00DF3166">
        <w:rPr>
          <w:rFonts w:ascii="Verdana" w:hAnsi="Verdana"/>
          <w:sz w:val="20"/>
          <w:szCs w:val="20"/>
        </w:rPr>
        <w:t xml:space="preserve">ach </w:t>
      </w:r>
      <w:r>
        <w:rPr>
          <w:rFonts w:ascii="Verdana" w:hAnsi="Verdana"/>
          <w:sz w:val="20"/>
          <w:szCs w:val="20"/>
        </w:rPr>
        <w:t xml:space="preserve">insurance licensee is separately assessed for its ML/TF inherent exposure and controls in place to </w:t>
      </w:r>
      <w:r w:rsidRPr="00DF3166">
        <w:rPr>
          <w:rFonts w:ascii="Verdana" w:hAnsi="Verdana"/>
          <w:sz w:val="20"/>
          <w:szCs w:val="20"/>
        </w:rPr>
        <w:t>decreas</w:t>
      </w:r>
      <w:r>
        <w:rPr>
          <w:rFonts w:ascii="Verdana" w:hAnsi="Verdana"/>
          <w:sz w:val="20"/>
          <w:szCs w:val="20"/>
        </w:rPr>
        <w:t>e this exposure.</w:t>
      </w:r>
      <w:r w:rsidRPr="00DF3166">
        <w:rPr>
          <w:rFonts w:ascii="Verdana" w:hAnsi="Verdana"/>
          <w:sz w:val="20"/>
          <w:szCs w:val="20"/>
        </w:rPr>
        <w:t xml:space="preserve"> </w:t>
      </w:r>
    </w:p>
    <w:p w14:paraId="46BA0668" w14:textId="04617853" w:rsidR="00D16BCE" w:rsidRPr="00134BE2" w:rsidRDefault="00D16BCE" w:rsidP="00D16BCE">
      <w:pPr>
        <w:jc w:val="both"/>
        <w:rPr>
          <w:rFonts w:ascii="Verdana" w:hAnsi="Verdana"/>
          <w:b/>
          <w:bCs/>
          <w:sz w:val="16"/>
          <w:szCs w:val="16"/>
        </w:rPr>
      </w:pPr>
      <w:r w:rsidRPr="00134BE2">
        <w:rPr>
          <w:rFonts w:ascii="Verdana" w:hAnsi="Verdana"/>
          <w:b/>
          <w:bCs/>
          <w:sz w:val="16"/>
          <w:szCs w:val="16"/>
        </w:rPr>
        <w:t xml:space="preserve">Table </w:t>
      </w:r>
      <w:r w:rsidR="00C27753">
        <w:rPr>
          <w:rFonts w:ascii="Verdana" w:hAnsi="Verdana"/>
          <w:b/>
          <w:bCs/>
          <w:sz w:val="16"/>
          <w:szCs w:val="16"/>
        </w:rPr>
        <w:t>4</w:t>
      </w:r>
      <w:r w:rsidRPr="00134BE2">
        <w:rPr>
          <w:rFonts w:ascii="Verdana" w:hAnsi="Verdana"/>
          <w:b/>
          <w:bCs/>
          <w:sz w:val="16"/>
          <w:szCs w:val="16"/>
        </w:rPr>
        <w:t xml:space="preserve">: </w:t>
      </w:r>
      <w:r w:rsidR="00EC5AAA">
        <w:rPr>
          <w:rFonts w:ascii="Verdana" w:hAnsi="Verdana"/>
          <w:b/>
          <w:bCs/>
          <w:sz w:val="16"/>
          <w:szCs w:val="16"/>
        </w:rPr>
        <w:t>Key f</w:t>
      </w:r>
      <w:r w:rsidR="00003060">
        <w:rPr>
          <w:rFonts w:ascii="Verdana" w:hAnsi="Verdana"/>
          <w:b/>
          <w:bCs/>
          <w:sz w:val="16"/>
          <w:szCs w:val="16"/>
        </w:rPr>
        <w:t xml:space="preserve">actors considered in measuring the </w:t>
      </w:r>
      <w:r w:rsidR="00B834E4">
        <w:rPr>
          <w:rFonts w:ascii="Verdana" w:hAnsi="Verdana"/>
          <w:b/>
          <w:bCs/>
          <w:sz w:val="16"/>
          <w:szCs w:val="16"/>
        </w:rPr>
        <w:t xml:space="preserve">Inherent </w:t>
      </w:r>
      <w:r w:rsidR="00C27753">
        <w:rPr>
          <w:rFonts w:ascii="Verdana" w:hAnsi="Verdana"/>
          <w:b/>
          <w:bCs/>
          <w:sz w:val="16"/>
          <w:szCs w:val="16"/>
        </w:rPr>
        <w:t xml:space="preserve">AML/CFT </w:t>
      </w:r>
      <w:r w:rsidR="00003060">
        <w:rPr>
          <w:rFonts w:ascii="Verdana" w:hAnsi="Verdana"/>
          <w:b/>
          <w:bCs/>
          <w:sz w:val="16"/>
          <w:szCs w:val="16"/>
        </w:rPr>
        <w:t>r</w:t>
      </w:r>
      <w:r w:rsidR="00C27753">
        <w:rPr>
          <w:rFonts w:ascii="Verdana" w:hAnsi="Verdana"/>
          <w:b/>
          <w:bCs/>
          <w:sz w:val="16"/>
          <w:szCs w:val="16"/>
        </w:rPr>
        <w:t xml:space="preserve">isk </w:t>
      </w:r>
      <w:r w:rsidR="00003060">
        <w:rPr>
          <w:rFonts w:ascii="Verdana" w:hAnsi="Verdana"/>
          <w:b/>
          <w:bCs/>
          <w:sz w:val="16"/>
          <w:szCs w:val="16"/>
        </w:rPr>
        <w:t xml:space="preserve">of </w:t>
      </w:r>
      <w:r w:rsidR="00C27753">
        <w:rPr>
          <w:rFonts w:ascii="Verdana" w:hAnsi="Verdana"/>
          <w:b/>
          <w:bCs/>
          <w:sz w:val="16"/>
          <w:szCs w:val="16"/>
        </w:rPr>
        <w:t>Insurance Licensees</w:t>
      </w:r>
      <w:r w:rsidRPr="00134BE2">
        <w:rPr>
          <w:rFonts w:ascii="Verdana" w:hAnsi="Verdana"/>
          <w:b/>
          <w:bCs/>
          <w:sz w:val="16"/>
          <w:szCs w:val="16"/>
        </w:rPr>
        <w:t xml:space="preserve"> </w:t>
      </w:r>
    </w:p>
    <w:tbl>
      <w:tblPr>
        <w:tblStyle w:val="TableGrid"/>
        <w:tblW w:w="9355" w:type="dxa"/>
        <w:tblLook w:val="04A0" w:firstRow="1" w:lastRow="0" w:firstColumn="1" w:lastColumn="0" w:noHBand="0" w:noVBand="1"/>
      </w:tblPr>
      <w:tblGrid>
        <w:gridCol w:w="1692"/>
        <w:gridCol w:w="3490"/>
        <w:gridCol w:w="4173"/>
      </w:tblGrid>
      <w:tr w:rsidR="00470F11" w:rsidRPr="00654100" w14:paraId="33ED0A19" w14:textId="5C2A43BA" w:rsidTr="00470F11">
        <w:tc>
          <w:tcPr>
            <w:tcW w:w="1397" w:type="dxa"/>
            <w:shd w:val="clear" w:color="auto" w:fill="DBE5F1" w:themeFill="accent1" w:themeFillTint="33"/>
          </w:tcPr>
          <w:p w14:paraId="6994ADCD" w14:textId="77777777" w:rsidR="00470F11" w:rsidRPr="00470F11" w:rsidRDefault="00470F11" w:rsidP="00A32961">
            <w:pPr>
              <w:pStyle w:val="NormalWeb"/>
              <w:jc w:val="both"/>
              <w:rPr>
                <w:rFonts w:ascii="Verdana" w:hAnsi="Verdana"/>
                <w:b/>
                <w:bCs/>
                <w:color w:val="191919"/>
                <w:sz w:val="20"/>
                <w:szCs w:val="20"/>
              </w:rPr>
            </w:pPr>
            <w:r w:rsidRPr="00470F11">
              <w:rPr>
                <w:rFonts w:ascii="Verdana" w:hAnsi="Verdana"/>
                <w:b/>
                <w:bCs/>
                <w:color w:val="191919"/>
                <w:sz w:val="20"/>
                <w:szCs w:val="20"/>
              </w:rPr>
              <w:t>Inherent Risks</w:t>
            </w:r>
          </w:p>
        </w:tc>
        <w:tc>
          <w:tcPr>
            <w:tcW w:w="3458" w:type="dxa"/>
            <w:shd w:val="clear" w:color="auto" w:fill="DBE5F1" w:themeFill="accent1" w:themeFillTint="33"/>
          </w:tcPr>
          <w:p w14:paraId="54B736C1" w14:textId="7EE0179E" w:rsidR="00470F11" w:rsidRPr="00470F11" w:rsidRDefault="00470F11" w:rsidP="00A32961">
            <w:pPr>
              <w:pStyle w:val="NormalWeb"/>
              <w:jc w:val="both"/>
              <w:rPr>
                <w:rFonts w:ascii="Verdana" w:hAnsi="Verdana"/>
                <w:b/>
                <w:bCs/>
                <w:sz w:val="20"/>
                <w:szCs w:val="20"/>
              </w:rPr>
            </w:pPr>
            <w:r w:rsidRPr="00470F11">
              <w:rPr>
                <w:rFonts w:ascii="Verdana" w:hAnsi="Verdana"/>
                <w:b/>
                <w:bCs/>
                <w:sz w:val="20"/>
                <w:szCs w:val="20"/>
              </w:rPr>
              <w:t>Factors to consider</w:t>
            </w:r>
          </w:p>
        </w:tc>
        <w:tc>
          <w:tcPr>
            <w:tcW w:w="4500" w:type="dxa"/>
            <w:shd w:val="clear" w:color="auto" w:fill="DBE5F1" w:themeFill="accent1" w:themeFillTint="33"/>
          </w:tcPr>
          <w:p w14:paraId="7B1C3ECF" w14:textId="2BA46492" w:rsidR="00470F11" w:rsidRPr="00470F11" w:rsidRDefault="00470F11" w:rsidP="00A32961">
            <w:pPr>
              <w:pStyle w:val="NormalWeb"/>
              <w:jc w:val="both"/>
              <w:rPr>
                <w:rFonts w:ascii="Verdana" w:hAnsi="Verdana"/>
                <w:b/>
                <w:bCs/>
                <w:sz w:val="20"/>
                <w:szCs w:val="20"/>
              </w:rPr>
            </w:pPr>
            <w:r w:rsidRPr="00470F11">
              <w:rPr>
                <w:rFonts w:ascii="Verdana" w:hAnsi="Verdana"/>
                <w:b/>
                <w:bCs/>
                <w:sz w:val="20"/>
                <w:szCs w:val="20"/>
              </w:rPr>
              <w:t>Risk Decreasing factors</w:t>
            </w:r>
          </w:p>
        </w:tc>
      </w:tr>
      <w:tr w:rsidR="00470F11" w:rsidRPr="00654100" w14:paraId="712C770B" w14:textId="12091D90" w:rsidTr="00470F11">
        <w:tc>
          <w:tcPr>
            <w:tcW w:w="1397" w:type="dxa"/>
          </w:tcPr>
          <w:p w14:paraId="7B7F13D6" w14:textId="68F51A51" w:rsidR="00470F11" w:rsidRPr="00470F11" w:rsidRDefault="00470F11" w:rsidP="00A32961">
            <w:pPr>
              <w:spacing w:before="100" w:beforeAutospacing="1" w:after="100" w:afterAutospacing="1"/>
              <w:rPr>
                <w:rFonts w:ascii="Verdana" w:eastAsia="Times New Roman" w:hAnsi="Verdana" w:cs="Times New Roman"/>
                <w:b/>
                <w:bCs/>
                <w:color w:val="191919"/>
                <w:sz w:val="20"/>
                <w:szCs w:val="20"/>
                <w:lang w:eastAsia="en-GB"/>
              </w:rPr>
            </w:pPr>
            <w:r w:rsidRPr="00470F11">
              <w:rPr>
                <w:rFonts w:ascii="Verdana" w:hAnsi="Verdana"/>
                <w:b/>
                <w:bCs/>
                <w:sz w:val="20"/>
                <w:szCs w:val="20"/>
              </w:rPr>
              <w:t>Nature, size and complexity of business</w:t>
            </w:r>
          </w:p>
        </w:tc>
        <w:tc>
          <w:tcPr>
            <w:tcW w:w="3458" w:type="dxa"/>
          </w:tcPr>
          <w:p w14:paraId="32B4EE14" w14:textId="45440487" w:rsidR="00470F11" w:rsidRPr="00470F11" w:rsidRDefault="009E6E62"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E</w:t>
            </w:r>
            <w:r w:rsidR="00470F11" w:rsidRPr="00470F11">
              <w:rPr>
                <w:rFonts w:ascii="Verdana" w:eastAsia="Times New Roman" w:hAnsi="Verdana" w:cs="Times New Roman"/>
                <w:color w:val="191919"/>
                <w:sz w:val="20"/>
                <w:szCs w:val="20"/>
                <w:lang w:eastAsia="en-GB"/>
              </w:rPr>
              <w:t>ngaged in life insurance with products such as single premium life products or investment-linked insurance products with higher surrender value</w:t>
            </w:r>
            <w:r>
              <w:rPr>
                <w:rFonts w:ascii="Verdana" w:eastAsia="Times New Roman" w:hAnsi="Verdana" w:cs="Times New Roman"/>
                <w:color w:val="191919"/>
                <w:sz w:val="20"/>
                <w:szCs w:val="20"/>
                <w:lang w:eastAsia="en-GB"/>
              </w:rPr>
              <w:t xml:space="preserve"> by insurers and intermediaries</w:t>
            </w:r>
          </w:p>
          <w:p w14:paraId="50631087" w14:textId="44FE229F" w:rsidR="00470F11" w:rsidRPr="00470F11" w:rsidRDefault="009E6E62"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A</w:t>
            </w:r>
            <w:r w:rsidR="00470F11" w:rsidRPr="00470F11">
              <w:rPr>
                <w:rFonts w:ascii="Verdana" w:eastAsia="Times New Roman" w:hAnsi="Verdana" w:cs="Times New Roman"/>
                <w:color w:val="191919"/>
                <w:sz w:val="20"/>
                <w:szCs w:val="20"/>
                <w:lang w:eastAsia="en-GB"/>
              </w:rPr>
              <w:t>ppear</w:t>
            </w:r>
            <w:r>
              <w:rPr>
                <w:rFonts w:ascii="Verdana" w:eastAsia="Times New Roman" w:hAnsi="Verdana" w:cs="Times New Roman"/>
                <w:color w:val="191919"/>
                <w:sz w:val="20"/>
                <w:szCs w:val="20"/>
                <w:lang w:eastAsia="en-GB"/>
              </w:rPr>
              <w:t xml:space="preserve">ance of ownership structure of a new licensee applicant/customer </w:t>
            </w:r>
            <w:r w:rsidR="00C65B87">
              <w:rPr>
                <w:rFonts w:ascii="Verdana" w:eastAsia="Times New Roman" w:hAnsi="Verdana" w:cs="Times New Roman"/>
                <w:color w:val="191919"/>
                <w:sz w:val="20"/>
                <w:szCs w:val="20"/>
                <w:lang w:eastAsia="en-GB"/>
              </w:rPr>
              <w:t xml:space="preserve">being </w:t>
            </w:r>
            <w:r w:rsidR="00470F11" w:rsidRPr="00470F11">
              <w:rPr>
                <w:rFonts w:ascii="Verdana" w:eastAsia="Times New Roman" w:hAnsi="Verdana" w:cs="Times New Roman"/>
                <w:color w:val="191919"/>
                <w:sz w:val="20"/>
                <w:szCs w:val="20"/>
                <w:lang w:eastAsia="en-GB"/>
              </w:rPr>
              <w:t>unusual or excessively complex given the nature of the applicant/customer’s business</w:t>
            </w:r>
          </w:p>
          <w:p w14:paraId="3AEE0853" w14:textId="6762D4F4" w:rsidR="00470F11" w:rsidRPr="00470F11" w:rsidRDefault="009E6E62"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U</w:t>
            </w:r>
            <w:r w:rsidR="00470F11" w:rsidRPr="00470F11">
              <w:rPr>
                <w:rFonts w:ascii="Verdana" w:eastAsia="Times New Roman" w:hAnsi="Verdana" w:cs="Times New Roman"/>
                <w:color w:val="191919"/>
                <w:sz w:val="20"/>
                <w:szCs w:val="20"/>
                <w:lang w:eastAsia="en-GB"/>
              </w:rPr>
              <w:t>ltimate owne</w:t>
            </w:r>
            <w:r>
              <w:rPr>
                <w:rFonts w:ascii="Verdana" w:eastAsia="Times New Roman" w:hAnsi="Verdana" w:cs="Times New Roman"/>
                <w:color w:val="191919"/>
                <w:sz w:val="20"/>
                <w:szCs w:val="20"/>
                <w:lang w:eastAsia="en-GB"/>
              </w:rPr>
              <w:t xml:space="preserve">rship </w:t>
            </w:r>
            <w:r w:rsidR="00470F11" w:rsidRPr="00470F11">
              <w:rPr>
                <w:rFonts w:ascii="Verdana" w:eastAsia="Times New Roman" w:hAnsi="Verdana" w:cs="Times New Roman"/>
                <w:color w:val="191919"/>
                <w:sz w:val="20"/>
                <w:szCs w:val="20"/>
                <w:lang w:eastAsia="en-GB"/>
              </w:rPr>
              <w:t>by a fund (mutual fund, hedge fund or private equity fund)</w:t>
            </w:r>
          </w:p>
          <w:p w14:paraId="13A53DEE" w14:textId="2588A134" w:rsidR="00470F11" w:rsidRPr="00470F11" w:rsidRDefault="009E6E62"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L</w:t>
            </w:r>
            <w:r w:rsidR="00470F11" w:rsidRPr="00470F11">
              <w:rPr>
                <w:rFonts w:ascii="Verdana" w:eastAsia="Times New Roman" w:hAnsi="Verdana" w:cs="Times New Roman"/>
                <w:color w:val="191919"/>
                <w:sz w:val="20"/>
                <w:szCs w:val="20"/>
                <w:lang w:eastAsia="en-GB"/>
              </w:rPr>
              <w:t>egitimate and meaningful business reason to own a Cayman-based insurance entity</w:t>
            </w:r>
          </w:p>
          <w:p w14:paraId="05318664" w14:textId="50CBC2C6" w:rsidR="00470F11" w:rsidRPr="00470F11" w:rsidRDefault="009E6E62"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C</w:t>
            </w:r>
            <w:r w:rsidR="00470F11" w:rsidRPr="00470F11">
              <w:rPr>
                <w:rFonts w:ascii="Verdana" w:eastAsia="Times New Roman" w:hAnsi="Verdana" w:cs="Times New Roman"/>
                <w:color w:val="191919"/>
                <w:sz w:val="20"/>
                <w:szCs w:val="20"/>
                <w:lang w:eastAsia="en-GB"/>
              </w:rPr>
              <w:t>ompany’s operation in the Cayman Islands self-managed or outsourced (fully or partially)</w:t>
            </w:r>
          </w:p>
          <w:p w14:paraId="3D985636" w14:textId="64830820" w:rsidR="00470F11" w:rsidRPr="00470F11" w:rsidRDefault="009E6E62"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 xml:space="preserve">Level of </w:t>
            </w:r>
            <w:r w:rsidR="00470F11" w:rsidRPr="00470F11">
              <w:rPr>
                <w:rFonts w:ascii="Verdana" w:eastAsia="Times New Roman" w:hAnsi="Verdana" w:cs="Times New Roman"/>
                <w:color w:val="191919"/>
                <w:sz w:val="20"/>
                <w:szCs w:val="20"/>
                <w:lang w:eastAsia="en-GB"/>
              </w:rPr>
              <w:t>business dealings with regulated/non-regulated service providers</w:t>
            </w:r>
          </w:p>
        </w:tc>
        <w:tc>
          <w:tcPr>
            <w:tcW w:w="4500" w:type="dxa"/>
          </w:tcPr>
          <w:p w14:paraId="4A04F461" w14:textId="5BB92622"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Ability to explain the business reason for complex ownership structures</w:t>
            </w:r>
          </w:p>
          <w:p w14:paraId="145EFD58" w14:textId="3C1C61AF"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The ultimate shareholders and UBOs with more than 10% ownership/control are recorded and up to date</w:t>
            </w:r>
          </w:p>
          <w:p w14:paraId="3AC3C2F6" w14:textId="1530DEF4"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Real insurance/risk transfer activities taking place</w:t>
            </w:r>
          </w:p>
          <w:p w14:paraId="0E9F4FB1" w14:textId="28053389"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Independence and competence of the board of directors</w:t>
            </w:r>
          </w:p>
          <w:p w14:paraId="248C2B0D" w14:textId="6A96CA2F"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Overseas regulatory checks on regulated shareholders and affiliates</w:t>
            </w:r>
          </w:p>
          <w:p w14:paraId="531C95C9"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Checks on outsourced service providers</w:t>
            </w:r>
          </w:p>
          <w:p w14:paraId="45D696AB" w14:textId="7B95FB1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Using regulated/reputable external service providers</w:t>
            </w:r>
          </w:p>
        </w:tc>
      </w:tr>
      <w:tr w:rsidR="00470F11" w:rsidRPr="00654100" w14:paraId="12C48EE1" w14:textId="126C360F" w:rsidTr="00470F11">
        <w:tc>
          <w:tcPr>
            <w:tcW w:w="1397" w:type="dxa"/>
          </w:tcPr>
          <w:p w14:paraId="6FD5A871" w14:textId="55075BB3" w:rsidR="00470F11" w:rsidRPr="00470F11" w:rsidRDefault="00470F11" w:rsidP="00A32961">
            <w:pPr>
              <w:spacing w:before="100" w:beforeAutospacing="1" w:after="100" w:afterAutospacing="1"/>
              <w:rPr>
                <w:rFonts w:ascii="Verdana" w:hAnsi="Verdana"/>
                <w:b/>
                <w:bCs/>
                <w:sz w:val="20"/>
                <w:szCs w:val="20"/>
              </w:rPr>
            </w:pPr>
            <w:r w:rsidRPr="00470F11">
              <w:rPr>
                <w:rFonts w:ascii="Verdana" w:hAnsi="Verdana"/>
                <w:b/>
                <w:bCs/>
                <w:sz w:val="20"/>
                <w:szCs w:val="20"/>
              </w:rPr>
              <w:t>Geographical reach</w:t>
            </w:r>
          </w:p>
        </w:tc>
        <w:tc>
          <w:tcPr>
            <w:tcW w:w="3458" w:type="dxa"/>
          </w:tcPr>
          <w:p w14:paraId="7CA1B255"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Location of immediate, ultimate and UBOs of licensees</w:t>
            </w:r>
          </w:p>
          <w:p w14:paraId="000E0D03"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 xml:space="preserve">Location of the policyholders </w:t>
            </w:r>
          </w:p>
          <w:p w14:paraId="74CD93F6" w14:textId="7F83B94A" w:rsidR="00470F11" w:rsidRPr="00470F11" w:rsidRDefault="00EA73BD"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 xml:space="preserve">Level </w:t>
            </w:r>
            <w:r w:rsidR="00C65B87">
              <w:rPr>
                <w:rFonts w:ascii="Verdana" w:eastAsia="Times New Roman" w:hAnsi="Verdana" w:cs="Times New Roman"/>
                <w:color w:val="191919"/>
                <w:sz w:val="20"/>
                <w:szCs w:val="20"/>
                <w:lang w:eastAsia="en-GB"/>
              </w:rPr>
              <w:t xml:space="preserve">of </w:t>
            </w:r>
            <w:r w:rsidR="00C65B87" w:rsidRPr="00470F11">
              <w:rPr>
                <w:rFonts w:ascii="Verdana" w:eastAsia="Times New Roman" w:hAnsi="Verdana" w:cs="Times New Roman"/>
                <w:color w:val="191919"/>
                <w:sz w:val="20"/>
                <w:szCs w:val="20"/>
                <w:lang w:eastAsia="en-GB"/>
              </w:rPr>
              <w:t>business</w:t>
            </w:r>
            <w:r w:rsidR="00470F11" w:rsidRPr="00470F11">
              <w:rPr>
                <w:rFonts w:ascii="Verdana" w:eastAsia="Times New Roman" w:hAnsi="Verdana" w:cs="Times New Roman"/>
                <w:color w:val="191919"/>
                <w:sz w:val="20"/>
                <w:szCs w:val="20"/>
                <w:lang w:eastAsia="en-GB"/>
              </w:rPr>
              <w:t xml:space="preserve"> transactions with countries with weak AML/CFT framework </w:t>
            </w:r>
          </w:p>
          <w:p w14:paraId="72ABFC1F" w14:textId="41E2746D" w:rsidR="00470F11" w:rsidRPr="00470F11" w:rsidRDefault="00EA73BD"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 xml:space="preserve">Level of </w:t>
            </w:r>
            <w:r w:rsidR="00470F11" w:rsidRPr="00470F11">
              <w:rPr>
                <w:rFonts w:ascii="Verdana" w:eastAsia="Times New Roman" w:hAnsi="Verdana" w:cs="Times New Roman"/>
                <w:color w:val="191919"/>
                <w:sz w:val="20"/>
                <w:szCs w:val="20"/>
                <w:lang w:eastAsia="en-GB"/>
              </w:rPr>
              <w:t>business transactions with countries subject to sanctions</w:t>
            </w:r>
          </w:p>
        </w:tc>
        <w:tc>
          <w:tcPr>
            <w:tcW w:w="4500" w:type="dxa"/>
          </w:tcPr>
          <w:p w14:paraId="298BC195" w14:textId="2D3F0374"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Licensee located in countries with robust AML/CFT framework</w:t>
            </w:r>
          </w:p>
          <w:p w14:paraId="213C260C" w14:textId="24C46BC0"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Policyholders reside/located in countries with robust AML/CFT framework</w:t>
            </w:r>
          </w:p>
          <w:p w14:paraId="4AF421E1" w14:textId="35D76EDA"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Overseas regulatory checks on regulated shareholders and affiliates</w:t>
            </w:r>
          </w:p>
        </w:tc>
      </w:tr>
      <w:tr w:rsidR="00470F11" w:rsidRPr="00654100" w14:paraId="1553F90E" w14:textId="4EF3DF07" w:rsidTr="00470F11">
        <w:tc>
          <w:tcPr>
            <w:tcW w:w="1397" w:type="dxa"/>
          </w:tcPr>
          <w:p w14:paraId="23002185" w14:textId="6B6AC385" w:rsidR="00470F11" w:rsidRPr="00470F11" w:rsidRDefault="00470F11" w:rsidP="00A32961">
            <w:pPr>
              <w:spacing w:before="100" w:beforeAutospacing="1" w:after="100" w:afterAutospacing="1"/>
              <w:rPr>
                <w:rFonts w:ascii="Verdana" w:hAnsi="Verdana"/>
                <w:b/>
                <w:bCs/>
                <w:sz w:val="20"/>
                <w:szCs w:val="20"/>
              </w:rPr>
            </w:pPr>
            <w:r w:rsidRPr="00470F11">
              <w:rPr>
                <w:rFonts w:ascii="Verdana" w:hAnsi="Verdana"/>
                <w:b/>
                <w:bCs/>
                <w:sz w:val="20"/>
                <w:szCs w:val="20"/>
              </w:rPr>
              <w:t>Products and Services</w:t>
            </w:r>
          </w:p>
        </w:tc>
        <w:tc>
          <w:tcPr>
            <w:tcW w:w="3458" w:type="dxa"/>
          </w:tcPr>
          <w:p w14:paraId="5875EA72" w14:textId="426D26FA"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Insurance Manager or Insurance Broker</w:t>
            </w:r>
          </w:p>
          <w:p w14:paraId="38178958" w14:textId="11DB8FB7" w:rsidR="00470F11" w:rsidRPr="00470F11" w:rsidRDefault="00C768ED"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lastRenderedPageBreak/>
              <w:t xml:space="preserve">Long-term insurance contracts </w:t>
            </w:r>
            <w:r w:rsidR="00470F11" w:rsidRPr="00470F11">
              <w:rPr>
                <w:rFonts w:ascii="Verdana" w:eastAsia="Times New Roman" w:hAnsi="Verdana" w:cs="Times New Roman"/>
                <w:color w:val="191919"/>
                <w:sz w:val="20"/>
                <w:szCs w:val="20"/>
                <w:lang w:eastAsia="en-GB"/>
              </w:rPr>
              <w:t>products underwritten and sold as defined in the Anti-Money Laundering Regulations</w:t>
            </w:r>
          </w:p>
          <w:p w14:paraId="4A3CFAC0" w14:textId="7F71113A" w:rsidR="00470F11" w:rsidRPr="00470F11" w:rsidRDefault="00811726"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L</w:t>
            </w:r>
            <w:r w:rsidR="00470F11" w:rsidRPr="00470F11">
              <w:rPr>
                <w:rFonts w:ascii="Verdana" w:eastAsia="Times New Roman" w:hAnsi="Verdana" w:cs="Times New Roman"/>
                <w:color w:val="191919"/>
                <w:sz w:val="20"/>
                <w:szCs w:val="20"/>
                <w:lang w:eastAsia="en-GB"/>
              </w:rPr>
              <w:t>ife insurance product</w:t>
            </w:r>
            <w:r>
              <w:rPr>
                <w:rFonts w:ascii="Verdana" w:eastAsia="Times New Roman" w:hAnsi="Verdana" w:cs="Times New Roman"/>
                <w:color w:val="191919"/>
                <w:sz w:val="20"/>
                <w:szCs w:val="20"/>
                <w:lang w:eastAsia="en-GB"/>
              </w:rPr>
              <w:t xml:space="preserve"> that </w:t>
            </w:r>
            <w:r w:rsidR="00470F11" w:rsidRPr="00470F11">
              <w:rPr>
                <w:rFonts w:ascii="Verdana" w:eastAsia="Times New Roman" w:hAnsi="Verdana" w:cs="Times New Roman"/>
                <w:color w:val="191919"/>
                <w:sz w:val="20"/>
                <w:szCs w:val="20"/>
                <w:lang w:eastAsia="en-GB"/>
              </w:rPr>
              <w:t>offer high surrender value immediately or in the first couple of years</w:t>
            </w:r>
          </w:p>
          <w:p w14:paraId="79832659" w14:textId="7BCEB82C" w:rsidR="00470F11" w:rsidRPr="00470F11" w:rsidRDefault="00B502CE"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U</w:t>
            </w:r>
            <w:r w:rsidR="00470F11" w:rsidRPr="00470F11">
              <w:rPr>
                <w:rFonts w:ascii="Verdana" w:eastAsia="Times New Roman" w:hAnsi="Verdana" w:cs="Times New Roman"/>
                <w:color w:val="191919"/>
                <w:sz w:val="20"/>
                <w:szCs w:val="20"/>
                <w:lang w:eastAsia="en-GB"/>
              </w:rPr>
              <w:t>se</w:t>
            </w:r>
            <w:r>
              <w:rPr>
                <w:rFonts w:ascii="Verdana" w:eastAsia="Times New Roman" w:hAnsi="Verdana" w:cs="Times New Roman"/>
                <w:color w:val="191919"/>
                <w:sz w:val="20"/>
                <w:szCs w:val="20"/>
                <w:lang w:eastAsia="en-GB"/>
              </w:rPr>
              <w:t xml:space="preserve"> of</w:t>
            </w:r>
            <w:r w:rsidR="00470F11" w:rsidRPr="00470F11">
              <w:rPr>
                <w:rFonts w:ascii="Verdana" w:eastAsia="Times New Roman" w:hAnsi="Verdana" w:cs="Times New Roman"/>
                <w:color w:val="191919"/>
                <w:sz w:val="20"/>
                <w:szCs w:val="20"/>
                <w:lang w:eastAsia="en-GB"/>
              </w:rPr>
              <w:t xml:space="preserve"> actuarial reports, or any third-party expert advi</w:t>
            </w:r>
            <w:r w:rsidR="00C65B87">
              <w:rPr>
                <w:rFonts w:ascii="Verdana" w:eastAsia="Times New Roman" w:hAnsi="Verdana" w:cs="Times New Roman"/>
                <w:color w:val="191919"/>
                <w:sz w:val="20"/>
                <w:szCs w:val="20"/>
                <w:lang w:eastAsia="en-GB"/>
              </w:rPr>
              <w:t>c</w:t>
            </w:r>
            <w:r w:rsidR="00470F11" w:rsidRPr="00470F11">
              <w:rPr>
                <w:rFonts w:ascii="Verdana" w:eastAsia="Times New Roman" w:hAnsi="Verdana" w:cs="Times New Roman"/>
                <w:color w:val="191919"/>
                <w:sz w:val="20"/>
                <w:szCs w:val="20"/>
                <w:lang w:eastAsia="en-GB"/>
              </w:rPr>
              <w:t>e in setting its premium funding and loss reserves</w:t>
            </w:r>
          </w:p>
          <w:p w14:paraId="1668B5BF" w14:textId="74F152DE" w:rsidR="00470F11" w:rsidRPr="00470F11" w:rsidRDefault="00B502CE"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D</w:t>
            </w:r>
            <w:r w:rsidR="00470F11" w:rsidRPr="00470F11">
              <w:rPr>
                <w:rFonts w:ascii="Verdana" w:eastAsia="Times New Roman" w:hAnsi="Verdana" w:cs="Times New Roman"/>
                <w:color w:val="191919"/>
                <w:sz w:val="20"/>
                <w:szCs w:val="20"/>
                <w:lang w:eastAsia="en-GB"/>
              </w:rPr>
              <w:t>ividend policy and investment policy in line with the insurance program</w:t>
            </w:r>
          </w:p>
          <w:p w14:paraId="5712B3B3" w14:textId="0242B115" w:rsidR="00470F11" w:rsidRPr="00470F11" w:rsidRDefault="00007C0F"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Use of</w:t>
            </w:r>
            <w:r w:rsidR="00470F11" w:rsidRPr="00470F11">
              <w:rPr>
                <w:rFonts w:ascii="Verdana" w:eastAsia="Times New Roman" w:hAnsi="Verdana" w:cs="Times New Roman"/>
                <w:color w:val="191919"/>
                <w:sz w:val="20"/>
                <w:szCs w:val="20"/>
                <w:lang w:eastAsia="en-GB"/>
              </w:rPr>
              <w:t xml:space="preserve"> digital assets and/or crypto currency used at any stage of the insurance product/service </w:t>
            </w:r>
          </w:p>
        </w:tc>
        <w:tc>
          <w:tcPr>
            <w:tcW w:w="4500" w:type="dxa"/>
          </w:tcPr>
          <w:p w14:paraId="501463D1" w14:textId="3736602C"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lastRenderedPageBreak/>
              <w:t>Adequate due diligence is carried out prior to issuing insurance policies</w:t>
            </w:r>
          </w:p>
          <w:p w14:paraId="3F3283EF" w14:textId="5E17BF5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lastRenderedPageBreak/>
              <w:t>Verifying the identity of the beneficiary(</w:t>
            </w:r>
            <w:proofErr w:type="spellStart"/>
            <w:r w:rsidRPr="00470F11">
              <w:rPr>
                <w:rFonts w:ascii="Verdana" w:eastAsia="Times New Roman" w:hAnsi="Verdana" w:cs="Times New Roman"/>
                <w:color w:val="191919"/>
                <w:sz w:val="20"/>
                <w:szCs w:val="20"/>
                <w:lang w:eastAsia="en-GB"/>
              </w:rPr>
              <w:t>ies</w:t>
            </w:r>
            <w:proofErr w:type="spellEnd"/>
            <w:r w:rsidRPr="00470F11">
              <w:rPr>
                <w:rFonts w:ascii="Verdana" w:eastAsia="Times New Roman" w:hAnsi="Verdana" w:cs="Times New Roman"/>
                <w:color w:val="191919"/>
                <w:sz w:val="20"/>
                <w:szCs w:val="20"/>
                <w:lang w:eastAsia="en-GB"/>
              </w:rPr>
              <w:t>) at least at the time of the payout.</w:t>
            </w:r>
          </w:p>
          <w:p w14:paraId="74B01762"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Controls are in place to deter fraudulent insurance claims</w:t>
            </w:r>
          </w:p>
          <w:p w14:paraId="514DA216"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Designated knowledgeable individuals perform MLRO, DMLOR and AMLCO functions</w:t>
            </w:r>
          </w:p>
          <w:p w14:paraId="523FC3F3"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Staff are continuously trained on AML/CFT controls</w:t>
            </w:r>
          </w:p>
          <w:p w14:paraId="5FBEFBB8"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 xml:space="preserve">Internal audits and AML/CFT audits (by life insurers) are conducted </w:t>
            </w:r>
          </w:p>
          <w:p w14:paraId="0384B658" w14:textId="7685093F"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Reliance on Actuaries to determine premium funding and loss reserve calculations</w:t>
            </w:r>
          </w:p>
        </w:tc>
      </w:tr>
      <w:tr w:rsidR="00470F11" w:rsidRPr="00654100" w14:paraId="1E92FA88" w14:textId="69AB434C" w:rsidTr="00470F11">
        <w:trPr>
          <w:trHeight w:val="2753"/>
        </w:trPr>
        <w:tc>
          <w:tcPr>
            <w:tcW w:w="1397" w:type="dxa"/>
          </w:tcPr>
          <w:p w14:paraId="5C889193" w14:textId="3D9E20D0" w:rsidR="00470F11" w:rsidRPr="00470F11" w:rsidRDefault="00470F11" w:rsidP="00A32961">
            <w:pPr>
              <w:spacing w:before="100" w:beforeAutospacing="1" w:after="100" w:afterAutospacing="1"/>
              <w:rPr>
                <w:rFonts w:ascii="Verdana" w:hAnsi="Verdana"/>
                <w:b/>
                <w:bCs/>
                <w:sz w:val="20"/>
                <w:szCs w:val="20"/>
              </w:rPr>
            </w:pPr>
            <w:r w:rsidRPr="00470F11">
              <w:rPr>
                <w:rFonts w:ascii="Verdana" w:hAnsi="Verdana"/>
                <w:b/>
                <w:bCs/>
                <w:sz w:val="20"/>
                <w:szCs w:val="20"/>
              </w:rPr>
              <w:lastRenderedPageBreak/>
              <w:t>Types of Customers</w:t>
            </w:r>
          </w:p>
        </w:tc>
        <w:tc>
          <w:tcPr>
            <w:tcW w:w="3458" w:type="dxa"/>
          </w:tcPr>
          <w:p w14:paraId="559557D9"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Individual vs corporate clients</w:t>
            </w:r>
          </w:p>
          <w:p w14:paraId="3189F92D" w14:textId="0C6BD96B"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High net worth individuals</w:t>
            </w:r>
          </w:p>
          <w:p w14:paraId="02B32E36" w14:textId="11B25D6A"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PEPs</w:t>
            </w:r>
          </w:p>
          <w:p w14:paraId="4CDBCA9D"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Charitable organizations</w:t>
            </w:r>
          </w:p>
          <w:p w14:paraId="1BF0D5D4"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Customers residing in countries with weak AML/CFT regimes</w:t>
            </w:r>
          </w:p>
          <w:p w14:paraId="7E459B47" w14:textId="5D3E89C2"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Customers living in countries subject to sanctions</w:t>
            </w:r>
          </w:p>
        </w:tc>
        <w:tc>
          <w:tcPr>
            <w:tcW w:w="4500" w:type="dxa"/>
          </w:tcPr>
          <w:p w14:paraId="2357B097" w14:textId="7088B4DC"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Adequate due diligence on customers prior to onboarding</w:t>
            </w:r>
          </w:p>
          <w:p w14:paraId="0F10881D" w14:textId="72FB1601"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Enhanced due diligence on high risk customers prior to onboarding and at regular intervals</w:t>
            </w:r>
          </w:p>
          <w:p w14:paraId="25881C2D" w14:textId="5BC3AF51"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Senior management involvement in monitoring high risk clients</w:t>
            </w:r>
          </w:p>
          <w:p w14:paraId="27CD239C" w14:textId="47AF18D0"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Determining whether the beneficiary or beneficial owner of a beneficiary is a PEP, and if so, undertake additional due diligence</w:t>
            </w:r>
          </w:p>
          <w:p w14:paraId="4F62DBB1" w14:textId="31B74760"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Checks on source of wealth and source of funds, where necessary</w:t>
            </w:r>
          </w:p>
        </w:tc>
      </w:tr>
      <w:tr w:rsidR="00470F11" w:rsidRPr="00654100" w14:paraId="66A49C16" w14:textId="73E56F0C" w:rsidTr="00470F11">
        <w:tc>
          <w:tcPr>
            <w:tcW w:w="1397" w:type="dxa"/>
          </w:tcPr>
          <w:p w14:paraId="5199EC70" w14:textId="72A9205D" w:rsidR="00470F11" w:rsidRPr="00470F11" w:rsidRDefault="00470F11" w:rsidP="00A32961">
            <w:pPr>
              <w:spacing w:before="100" w:beforeAutospacing="1" w:after="100" w:afterAutospacing="1"/>
              <w:rPr>
                <w:rFonts w:ascii="Verdana" w:hAnsi="Verdana"/>
                <w:b/>
                <w:bCs/>
                <w:sz w:val="20"/>
                <w:szCs w:val="20"/>
              </w:rPr>
            </w:pPr>
            <w:r w:rsidRPr="00470F11">
              <w:rPr>
                <w:rFonts w:ascii="Verdana" w:hAnsi="Verdana"/>
                <w:b/>
                <w:bCs/>
                <w:sz w:val="20"/>
                <w:szCs w:val="20"/>
              </w:rPr>
              <w:t>Distribution Channels</w:t>
            </w:r>
          </w:p>
        </w:tc>
        <w:tc>
          <w:tcPr>
            <w:tcW w:w="3458" w:type="dxa"/>
          </w:tcPr>
          <w:p w14:paraId="02C90B93"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Insurance products sold through independent agents/intermediaries/financial advisors with no face-to-face business relationships or transactions.</w:t>
            </w:r>
          </w:p>
          <w:p w14:paraId="19105E61" w14:textId="5A945CAF" w:rsidR="00470F11" w:rsidRPr="00470F11" w:rsidRDefault="00007C0F"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H</w:t>
            </w:r>
            <w:r w:rsidR="00470F11" w:rsidRPr="00470F11">
              <w:rPr>
                <w:rFonts w:ascii="Verdana" w:eastAsia="Times New Roman" w:hAnsi="Verdana" w:cs="Times New Roman"/>
                <w:color w:val="191919"/>
                <w:sz w:val="20"/>
                <w:szCs w:val="20"/>
                <w:lang w:eastAsia="en-GB"/>
              </w:rPr>
              <w:t>igh sales commission to intermediaries</w:t>
            </w:r>
          </w:p>
        </w:tc>
        <w:tc>
          <w:tcPr>
            <w:tcW w:w="4500" w:type="dxa"/>
          </w:tcPr>
          <w:p w14:paraId="2AD37F8D" w14:textId="5F27A7E4"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Using regulated/licensed insurance intermediaries</w:t>
            </w:r>
          </w:p>
          <w:p w14:paraId="4BD54D53"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Continuous product and AML/CFT training offered to intermediaries</w:t>
            </w:r>
          </w:p>
          <w:p w14:paraId="240172FA" w14:textId="4EEBE2E2"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Performance of intermediaries are closely monitored</w:t>
            </w:r>
          </w:p>
        </w:tc>
      </w:tr>
      <w:tr w:rsidR="00470F11" w:rsidRPr="00654100" w14:paraId="4D194E28" w14:textId="51834FDB" w:rsidTr="00470F11">
        <w:tc>
          <w:tcPr>
            <w:tcW w:w="1397" w:type="dxa"/>
          </w:tcPr>
          <w:p w14:paraId="13E361AF" w14:textId="5F44CB37" w:rsidR="00470F11" w:rsidRPr="00470F11" w:rsidRDefault="00470F11" w:rsidP="00A32961">
            <w:pPr>
              <w:spacing w:before="100" w:beforeAutospacing="1" w:after="100" w:afterAutospacing="1"/>
              <w:rPr>
                <w:rFonts w:ascii="Verdana" w:hAnsi="Verdana"/>
                <w:b/>
                <w:bCs/>
                <w:sz w:val="20"/>
                <w:szCs w:val="20"/>
              </w:rPr>
            </w:pPr>
            <w:r w:rsidRPr="00470F11">
              <w:rPr>
                <w:rFonts w:ascii="Verdana" w:hAnsi="Verdana"/>
                <w:b/>
                <w:bCs/>
                <w:sz w:val="20"/>
                <w:szCs w:val="20"/>
              </w:rPr>
              <w:t>Methods of Payment</w:t>
            </w:r>
          </w:p>
        </w:tc>
        <w:tc>
          <w:tcPr>
            <w:tcW w:w="3458" w:type="dxa"/>
          </w:tcPr>
          <w:p w14:paraId="2F2367CE"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Premium payments are received from unknown or un-associated third parties.</w:t>
            </w:r>
          </w:p>
          <w:p w14:paraId="411C30C8"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Single premium vs regular premium</w:t>
            </w:r>
          </w:p>
          <w:p w14:paraId="154905E3" w14:textId="77777777"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Ability to deposit additional premium or top up premium</w:t>
            </w:r>
          </w:p>
          <w:p w14:paraId="152728A1" w14:textId="0586E3F4"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Cash payments vs non-cash payments</w:t>
            </w:r>
          </w:p>
        </w:tc>
        <w:tc>
          <w:tcPr>
            <w:tcW w:w="4500" w:type="dxa"/>
          </w:tcPr>
          <w:p w14:paraId="27389CD0" w14:textId="0E3F8244"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Cash payments have a maximum allowable limit</w:t>
            </w:r>
          </w:p>
          <w:p w14:paraId="1A4E68DB" w14:textId="42425986" w:rsidR="00470F11" w:rsidRPr="00470F11" w:rsidRDefault="00470F11" w:rsidP="00A32961">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470F11">
              <w:rPr>
                <w:rFonts w:ascii="Verdana" w:eastAsia="Times New Roman" w:hAnsi="Verdana" w:cs="Times New Roman"/>
                <w:color w:val="191919"/>
                <w:sz w:val="20"/>
                <w:szCs w:val="20"/>
                <w:lang w:eastAsia="en-GB"/>
              </w:rPr>
              <w:t>Premium payments (especially top-ups) are monitors for unusual patterns</w:t>
            </w:r>
          </w:p>
        </w:tc>
      </w:tr>
    </w:tbl>
    <w:p w14:paraId="51DFE565" w14:textId="77777777" w:rsidR="00D16BCE" w:rsidRDefault="00D16BCE" w:rsidP="00D16BCE">
      <w:pPr>
        <w:jc w:val="both"/>
        <w:rPr>
          <w:rFonts w:ascii="Verdana" w:hAnsi="Verdana"/>
          <w:sz w:val="20"/>
          <w:szCs w:val="20"/>
        </w:rPr>
      </w:pPr>
    </w:p>
    <w:p w14:paraId="4BE32936" w14:textId="2AA29BCD" w:rsidR="001B7137" w:rsidRPr="002A577D" w:rsidRDefault="001E040B" w:rsidP="008426E4">
      <w:pPr>
        <w:jc w:val="both"/>
        <w:rPr>
          <w:rFonts w:ascii="Verdana" w:hAnsi="Verdana"/>
          <w:b/>
          <w:bCs/>
        </w:rPr>
      </w:pPr>
      <w:r>
        <w:rPr>
          <w:rFonts w:ascii="Verdana" w:hAnsi="Verdana"/>
          <w:b/>
          <w:bCs/>
        </w:rPr>
        <w:lastRenderedPageBreak/>
        <w:t xml:space="preserve">3.2.2 </w:t>
      </w:r>
      <w:r w:rsidR="00CA3351" w:rsidRPr="002A577D">
        <w:rPr>
          <w:rFonts w:ascii="Verdana" w:hAnsi="Verdana"/>
          <w:b/>
          <w:bCs/>
        </w:rPr>
        <w:t xml:space="preserve">International </w:t>
      </w:r>
      <w:r w:rsidR="006155CD" w:rsidRPr="002A577D">
        <w:rPr>
          <w:rFonts w:ascii="Verdana" w:hAnsi="Verdana"/>
          <w:b/>
          <w:bCs/>
        </w:rPr>
        <w:t>Standards and C</w:t>
      </w:r>
      <w:r w:rsidR="00CA3351" w:rsidRPr="002A577D">
        <w:rPr>
          <w:rFonts w:ascii="Verdana" w:hAnsi="Verdana"/>
          <w:b/>
          <w:bCs/>
        </w:rPr>
        <w:t>orporation</w:t>
      </w:r>
    </w:p>
    <w:p w14:paraId="133C7382" w14:textId="282C3617" w:rsidR="006155CD" w:rsidRDefault="006155CD" w:rsidP="008426E4">
      <w:pPr>
        <w:jc w:val="both"/>
        <w:rPr>
          <w:rFonts w:ascii="Verdana" w:hAnsi="Verdana"/>
          <w:sz w:val="20"/>
          <w:szCs w:val="20"/>
        </w:rPr>
      </w:pPr>
      <w:r>
        <w:rPr>
          <w:rFonts w:ascii="Verdana" w:hAnsi="Verdana"/>
          <w:sz w:val="20"/>
          <w:szCs w:val="20"/>
        </w:rPr>
        <w:t xml:space="preserve">Cayman Islands has been an active member of the IAIS, which is the </w:t>
      </w:r>
      <w:r w:rsidRPr="006155CD">
        <w:rPr>
          <w:rFonts w:ascii="Verdana" w:hAnsi="Verdana"/>
          <w:sz w:val="20"/>
          <w:szCs w:val="20"/>
        </w:rPr>
        <w:t>international standard-setting body responsible for developing and assisting in the implementation of principles, standards and other supporting material for the supervision of the insurance sector.</w:t>
      </w:r>
      <w:r w:rsidR="00FA0F00">
        <w:rPr>
          <w:rFonts w:ascii="Verdana" w:hAnsi="Verdana"/>
          <w:sz w:val="20"/>
          <w:szCs w:val="20"/>
        </w:rPr>
        <w:t xml:space="preserve"> </w:t>
      </w:r>
      <w:r w:rsidR="00365CC5">
        <w:rPr>
          <w:rFonts w:ascii="Verdana" w:hAnsi="Verdana"/>
          <w:sz w:val="20"/>
          <w:szCs w:val="20"/>
        </w:rPr>
        <w:t xml:space="preserve">The </w:t>
      </w:r>
      <w:r w:rsidR="00FA0F00">
        <w:rPr>
          <w:rFonts w:ascii="Verdana" w:hAnsi="Verdana"/>
          <w:sz w:val="20"/>
          <w:szCs w:val="20"/>
        </w:rPr>
        <w:t xml:space="preserve">IAIS is an organization </w:t>
      </w:r>
      <w:r w:rsidRPr="006155CD">
        <w:rPr>
          <w:rFonts w:ascii="Verdana" w:hAnsi="Verdana"/>
          <w:sz w:val="20"/>
          <w:szCs w:val="20"/>
        </w:rPr>
        <w:t xml:space="preserve">of insurance supervisors and regulators from more than 200 jurisdictions, constituting 97% of the world's insurance premiums. </w:t>
      </w:r>
      <w:r w:rsidR="00365CC5">
        <w:rPr>
          <w:rFonts w:ascii="Verdana" w:hAnsi="Verdana"/>
          <w:sz w:val="20"/>
          <w:szCs w:val="20"/>
        </w:rPr>
        <w:t>T</w:t>
      </w:r>
      <w:r w:rsidR="00365CC5" w:rsidRPr="00365CC5">
        <w:rPr>
          <w:rFonts w:ascii="Verdana" w:hAnsi="Verdana"/>
          <w:sz w:val="20"/>
          <w:szCs w:val="20"/>
        </w:rPr>
        <w:t xml:space="preserve">he IAIS has issued the Insurance Core Principles (ICPs), which are comprised of Principle Statements, Standards and Guidance, as a globally accepted framework for insurance supervision. </w:t>
      </w:r>
      <w:r w:rsidR="00A365FA">
        <w:rPr>
          <w:rFonts w:ascii="Verdana" w:hAnsi="Verdana"/>
          <w:sz w:val="20"/>
          <w:szCs w:val="20"/>
        </w:rPr>
        <w:t xml:space="preserve">As a leading international insurance center, the </w:t>
      </w:r>
      <w:r w:rsidR="00365CC5">
        <w:rPr>
          <w:rFonts w:ascii="Verdana" w:hAnsi="Verdana"/>
          <w:sz w:val="20"/>
          <w:szCs w:val="20"/>
        </w:rPr>
        <w:t>Cayman Islands</w:t>
      </w:r>
      <w:r w:rsidR="00A365FA">
        <w:rPr>
          <w:rFonts w:ascii="Verdana" w:hAnsi="Verdana"/>
          <w:sz w:val="20"/>
          <w:szCs w:val="20"/>
        </w:rPr>
        <w:t xml:space="preserve"> closely follow the ICPs </w:t>
      </w:r>
      <w:r w:rsidR="00653D5B">
        <w:rPr>
          <w:rFonts w:ascii="Verdana" w:hAnsi="Verdana"/>
          <w:sz w:val="20"/>
          <w:szCs w:val="20"/>
        </w:rPr>
        <w:t xml:space="preserve">and various Application Papers the IAIS issued </w:t>
      </w:r>
      <w:r w:rsidR="00A365FA">
        <w:rPr>
          <w:rFonts w:ascii="Verdana" w:hAnsi="Verdana"/>
          <w:sz w:val="20"/>
          <w:szCs w:val="20"/>
        </w:rPr>
        <w:t>in supervising its insurance sector.</w:t>
      </w:r>
      <w:r w:rsidR="00E16A1A">
        <w:rPr>
          <w:rFonts w:ascii="Verdana" w:hAnsi="Verdana"/>
          <w:sz w:val="20"/>
          <w:szCs w:val="20"/>
        </w:rPr>
        <w:t xml:space="preserve"> </w:t>
      </w:r>
    </w:p>
    <w:p w14:paraId="6C7DDBB2" w14:textId="4484E2E7" w:rsidR="00E16A1A" w:rsidRDefault="00E16A1A" w:rsidP="008426E4">
      <w:pPr>
        <w:jc w:val="both"/>
        <w:rPr>
          <w:rFonts w:ascii="Verdana" w:hAnsi="Verdana"/>
          <w:sz w:val="20"/>
          <w:szCs w:val="20"/>
        </w:rPr>
      </w:pPr>
      <w:r>
        <w:rPr>
          <w:rFonts w:ascii="Verdana" w:hAnsi="Verdana"/>
          <w:sz w:val="20"/>
          <w:szCs w:val="20"/>
        </w:rPr>
        <w:t xml:space="preserve">In 2018, the Authority </w:t>
      </w:r>
      <w:proofErr w:type="gramStart"/>
      <w:r>
        <w:rPr>
          <w:rFonts w:ascii="Verdana" w:hAnsi="Verdana"/>
          <w:sz w:val="20"/>
          <w:szCs w:val="20"/>
        </w:rPr>
        <w:t>entered into</w:t>
      </w:r>
      <w:proofErr w:type="gramEnd"/>
      <w:r>
        <w:rPr>
          <w:rFonts w:ascii="Verdana" w:hAnsi="Verdana"/>
          <w:sz w:val="20"/>
          <w:szCs w:val="20"/>
        </w:rPr>
        <w:t xml:space="preserve"> a Memorandum of Understanding with the National Association of Insurance Commissioners (NAIC)</w:t>
      </w:r>
      <w:r w:rsidR="007F7609">
        <w:rPr>
          <w:rFonts w:ascii="Verdana" w:hAnsi="Verdana"/>
          <w:sz w:val="20"/>
          <w:szCs w:val="20"/>
        </w:rPr>
        <w:t xml:space="preserve"> to facilitate the sharing of insurance information and knowledge between the two organization. </w:t>
      </w:r>
      <w:r w:rsidR="002745F5">
        <w:rPr>
          <w:rFonts w:ascii="Verdana" w:hAnsi="Verdana"/>
          <w:sz w:val="20"/>
          <w:szCs w:val="20"/>
        </w:rPr>
        <w:t xml:space="preserve">In addition, the Authority is an active member of </w:t>
      </w:r>
      <w:r w:rsidR="00D03614">
        <w:rPr>
          <w:rFonts w:ascii="Verdana" w:hAnsi="Verdana"/>
          <w:sz w:val="20"/>
          <w:szCs w:val="20"/>
        </w:rPr>
        <w:t>t</w:t>
      </w:r>
      <w:r w:rsidR="002745F5" w:rsidRPr="002745F5">
        <w:rPr>
          <w:rFonts w:ascii="Verdana" w:hAnsi="Verdana"/>
          <w:sz w:val="20"/>
          <w:szCs w:val="20"/>
        </w:rPr>
        <w:t xml:space="preserve">he Group of International Insurance Centre Supervisors </w:t>
      </w:r>
      <w:r w:rsidR="00D03614">
        <w:rPr>
          <w:rFonts w:ascii="Verdana" w:hAnsi="Verdana"/>
          <w:sz w:val="20"/>
          <w:szCs w:val="20"/>
        </w:rPr>
        <w:t xml:space="preserve">(Deputy Chair) </w:t>
      </w:r>
      <w:r w:rsidR="002745F5" w:rsidRPr="002745F5">
        <w:rPr>
          <w:rFonts w:ascii="Verdana" w:hAnsi="Verdana"/>
          <w:sz w:val="20"/>
          <w:szCs w:val="20"/>
        </w:rPr>
        <w:t>and the Caribbean Association of Insurance Regulators (</w:t>
      </w:r>
      <w:r w:rsidR="00D03614">
        <w:rPr>
          <w:rFonts w:ascii="Verdana" w:hAnsi="Verdana"/>
          <w:sz w:val="20"/>
          <w:szCs w:val="20"/>
        </w:rPr>
        <w:t>President</w:t>
      </w:r>
      <w:r w:rsidR="002745F5" w:rsidRPr="002745F5">
        <w:rPr>
          <w:rFonts w:ascii="Verdana" w:hAnsi="Verdana"/>
          <w:sz w:val="20"/>
          <w:szCs w:val="20"/>
        </w:rPr>
        <w:t>).</w:t>
      </w:r>
      <w:r w:rsidR="00D03614">
        <w:rPr>
          <w:rFonts w:ascii="Verdana" w:hAnsi="Verdana"/>
          <w:sz w:val="20"/>
          <w:szCs w:val="20"/>
        </w:rPr>
        <w:t xml:space="preserve"> </w:t>
      </w:r>
    </w:p>
    <w:p w14:paraId="39019B80" w14:textId="46B53B65" w:rsidR="00314AEA" w:rsidRDefault="00314AEA" w:rsidP="008426E4">
      <w:pPr>
        <w:jc w:val="both"/>
        <w:rPr>
          <w:rFonts w:ascii="Verdana" w:hAnsi="Verdana"/>
          <w:sz w:val="20"/>
          <w:szCs w:val="20"/>
        </w:rPr>
      </w:pPr>
    </w:p>
    <w:p w14:paraId="0D7D8BB6" w14:textId="4CAA66F9" w:rsidR="00361167" w:rsidRPr="00361167" w:rsidRDefault="00361167" w:rsidP="00361167">
      <w:pPr>
        <w:jc w:val="both"/>
        <w:rPr>
          <w:rFonts w:ascii="Verdana" w:hAnsi="Verdana"/>
          <w:b/>
          <w:bCs/>
          <w:sz w:val="24"/>
          <w:szCs w:val="24"/>
        </w:rPr>
      </w:pPr>
      <w:r w:rsidRPr="00361167">
        <w:rPr>
          <w:rFonts w:ascii="Verdana" w:hAnsi="Verdana"/>
          <w:b/>
          <w:bCs/>
          <w:sz w:val="24"/>
          <w:szCs w:val="24"/>
        </w:rPr>
        <w:t>3.3 Survey Overview</w:t>
      </w:r>
    </w:p>
    <w:p w14:paraId="24658C14" w14:textId="15140FAF" w:rsidR="00361167" w:rsidRDefault="00361167" w:rsidP="00361167">
      <w:pPr>
        <w:jc w:val="both"/>
        <w:rPr>
          <w:rFonts w:ascii="Verdana" w:hAnsi="Verdana"/>
          <w:sz w:val="20"/>
          <w:szCs w:val="20"/>
        </w:rPr>
      </w:pPr>
      <w:r>
        <w:rPr>
          <w:rFonts w:ascii="Verdana" w:hAnsi="Verdana"/>
          <w:sz w:val="20"/>
          <w:szCs w:val="20"/>
        </w:rPr>
        <w:t>In December 2019, a</w:t>
      </w:r>
      <w:r w:rsidRPr="00361167">
        <w:rPr>
          <w:rFonts w:ascii="Verdana" w:hAnsi="Verdana"/>
          <w:sz w:val="20"/>
          <w:szCs w:val="20"/>
        </w:rPr>
        <w:t xml:space="preserve"> self-assessment survey questionnaire was sent to </w:t>
      </w:r>
      <w:r>
        <w:rPr>
          <w:rFonts w:ascii="Verdana" w:hAnsi="Verdana"/>
          <w:sz w:val="20"/>
          <w:szCs w:val="20"/>
        </w:rPr>
        <w:t xml:space="preserve">all class ‘A’, ‘B’, ‘C’ and ‘D’ </w:t>
      </w:r>
      <w:r w:rsidRPr="00361167">
        <w:rPr>
          <w:rFonts w:ascii="Verdana" w:hAnsi="Verdana"/>
          <w:sz w:val="20"/>
          <w:szCs w:val="20"/>
        </w:rPr>
        <w:t>insurers</w:t>
      </w:r>
      <w:r>
        <w:rPr>
          <w:rFonts w:ascii="Verdana" w:hAnsi="Verdana"/>
          <w:sz w:val="20"/>
          <w:szCs w:val="20"/>
        </w:rPr>
        <w:t xml:space="preserve">, Insurance Brokers and Insurance Managers by the Authority </w:t>
      </w:r>
      <w:r w:rsidRPr="00361167">
        <w:rPr>
          <w:rFonts w:ascii="Verdana" w:hAnsi="Verdana"/>
          <w:sz w:val="20"/>
          <w:szCs w:val="20"/>
        </w:rPr>
        <w:t xml:space="preserve">to gather information to gauge their exposure to specific ML/TF risks. </w:t>
      </w:r>
      <w:r>
        <w:rPr>
          <w:rFonts w:ascii="Verdana" w:hAnsi="Verdana"/>
          <w:sz w:val="20"/>
          <w:szCs w:val="20"/>
        </w:rPr>
        <w:t>Response rate</w:t>
      </w:r>
      <w:r w:rsidR="00E15622">
        <w:rPr>
          <w:rFonts w:ascii="Verdana" w:hAnsi="Verdana"/>
          <w:sz w:val="20"/>
          <w:szCs w:val="20"/>
        </w:rPr>
        <w:t>s</w:t>
      </w:r>
      <w:r>
        <w:rPr>
          <w:rFonts w:ascii="Verdana" w:hAnsi="Verdana"/>
          <w:sz w:val="20"/>
          <w:szCs w:val="20"/>
        </w:rPr>
        <w:t xml:space="preserve"> for the survey were as follows:</w:t>
      </w:r>
    </w:p>
    <w:p w14:paraId="700A6579" w14:textId="615CA45D" w:rsidR="006E68D0" w:rsidRPr="000E250C" w:rsidRDefault="006E68D0" w:rsidP="006E68D0">
      <w:pPr>
        <w:jc w:val="both"/>
        <w:rPr>
          <w:b/>
          <w:bCs/>
          <w:sz w:val="16"/>
          <w:szCs w:val="16"/>
        </w:rPr>
      </w:pPr>
      <w:r w:rsidRPr="000E250C">
        <w:rPr>
          <w:rFonts w:ascii="Verdana" w:hAnsi="Verdana"/>
          <w:b/>
          <w:bCs/>
          <w:sz w:val="16"/>
          <w:szCs w:val="16"/>
        </w:rPr>
        <w:t xml:space="preserve">Table </w:t>
      </w:r>
      <w:r>
        <w:rPr>
          <w:rFonts w:ascii="Verdana" w:hAnsi="Verdana"/>
          <w:b/>
          <w:bCs/>
          <w:sz w:val="16"/>
          <w:szCs w:val="16"/>
        </w:rPr>
        <w:t>5</w:t>
      </w:r>
      <w:r w:rsidRPr="000E250C">
        <w:rPr>
          <w:rFonts w:ascii="Verdana" w:hAnsi="Verdana"/>
          <w:b/>
          <w:bCs/>
          <w:sz w:val="16"/>
          <w:szCs w:val="16"/>
        </w:rPr>
        <w:t xml:space="preserve">: </w:t>
      </w:r>
      <w:r>
        <w:rPr>
          <w:rFonts w:ascii="Verdana" w:hAnsi="Verdana"/>
          <w:b/>
          <w:bCs/>
          <w:sz w:val="16"/>
          <w:szCs w:val="16"/>
        </w:rPr>
        <w:t>Response rate to the survey</w:t>
      </w:r>
    </w:p>
    <w:tbl>
      <w:tblPr>
        <w:tblStyle w:val="TableGrid"/>
        <w:tblW w:w="7375" w:type="dxa"/>
        <w:tblLook w:val="04A0" w:firstRow="1" w:lastRow="0" w:firstColumn="1" w:lastColumn="0" w:noHBand="0" w:noVBand="1"/>
      </w:tblPr>
      <w:tblGrid>
        <w:gridCol w:w="2155"/>
        <w:gridCol w:w="2700"/>
        <w:gridCol w:w="2520"/>
      </w:tblGrid>
      <w:tr w:rsidR="006E68D0" w14:paraId="12FB827C" w14:textId="77777777" w:rsidTr="007E0402">
        <w:tc>
          <w:tcPr>
            <w:tcW w:w="2155" w:type="dxa"/>
            <w:shd w:val="clear" w:color="auto" w:fill="DBE5F1" w:themeFill="accent1" w:themeFillTint="33"/>
          </w:tcPr>
          <w:p w14:paraId="59E3C599" w14:textId="77777777" w:rsidR="006E68D0" w:rsidRPr="006E68D0" w:rsidRDefault="006E68D0" w:rsidP="006E68D0">
            <w:pPr>
              <w:jc w:val="both"/>
              <w:rPr>
                <w:rFonts w:ascii="Verdana" w:hAnsi="Verdana"/>
                <w:b/>
                <w:bCs/>
                <w:sz w:val="20"/>
                <w:szCs w:val="20"/>
              </w:rPr>
            </w:pPr>
            <w:proofErr w:type="spellStart"/>
            <w:r w:rsidRPr="006E68D0">
              <w:rPr>
                <w:rFonts w:ascii="Verdana" w:hAnsi="Verdana"/>
                <w:b/>
                <w:bCs/>
                <w:sz w:val="20"/>
                <w:szCs w:val="20"/>
              </w:rPr>
              <w:t>Licence</w:t>
            </w:r>
            <w:proofErr w:type="spellEnd"/>
            <w:r w:rsidRPr="006E68D0">
              <w:rPr>
                <w:rFonts w:ascii="Verdana" w:hAnsi="Verdana"/>
                <w:b/>
                <w:bCs/>
                <w:sz w:val="20"/>
                <w:szCs w:val="20"/>
              </w:rPr>
              <w:t xml:space="preserve"> Category</w:t>
            </w:r>
          </w:p>
        </w:tc>
        <w:tc>
          <w:tcPr>
            <w:tcW w:w="2700" w:type="dxa"/>
            <w:shd w:val="clear" w:color="auto" w:fill="DBE5F1" w:themeFill="accent1" w:themeFillTint="33"/>
          </w:tcPr>
          <w:p w14:paraId="5D136538" w14:textId="636E9C7D" w:rsidR="006E68D0" w:rsidRPr="006E68D0" w:rsidRDefault="006E68D0" w:rsidP="006E68D0">
            <w:pPr>
              <w:rPr>
                <w:rFonts w:ascii="Verdana" w:hAnsi="Verdana"/>
                <w:b/>
                <w:bCs/>
                <w:sz w:val="20"/>
                <w:szCs w:val="20"/>
              </w:rPr>
            </w:pPr>
            <w:r w:rsidRPr="006E68D0">
              <w:rPr>
                <w:rFonts w:ascii="Verdana" w:hAnsi="Verdana"/>
                <w:b/>
                <w:bCs/>
                <w:sz w:val="20"/>
                <w:szCs w:val="20"/>
              </w:rPr>
              <w:t>Number of licensees at 31 December 2019</w:t>
            </w:r>
          </w:p>
        </w:tc>
        <w:tc>
          <w:tcPr>
            <w:tcW w:w="2520" w:type="dxa"/>
            <w:shd w:val="clear" w:color="auto" w:fill="DBE5F1" w:themeFill="accent1" w:themeFillTint="33"/>
          </w:tcPr>
          <w:p w14:paraId="0B15F8BE" w14:textId="4014CF1F" w:rsidR="006E68D0" w:rsidRPr="006E68D0" w:rsidRDefault="006E68D0" w:rsidP="006E68D0">
            <w:pPr>
              <w:jc w:val="center"/>
              <w:rPr>
                <w:rFonts w:ascii="Verdana" w:hAnsi="Verdana"/>
                <w:b/>
                <w:bCs/>
                <w:sz w:val="20"/>
                <w:szCs w:val="20"/>
              </w:rPr>
            </w:pPr>
            <w:r w:rsidRPr="006E68D0">
              <w:rPr>
                <w:rFonts w:ascii="Verdana" w:hAnsi="Verdana"/>
                <w:b/>
                <w:bCs/>
                <w:sz w:val="20"/>
                <w:szCs w:val="20"/>
              </w:rPr>
              <w:t>Survey submissions (%)</w:t>
            </w:r>
          </w:p>
        </w:tc>
      </w:tr>
      <w:tr w:rsidR="006E68D0" w14:paraId="14AAB434" w14:textId="77777777" w:rsidTr="007E0402">
        <w:tc>
          <w:tcPr>
            <w:tcW w:w="2155" w:type="dxa"/>
          </w:tcPr>
          <w:p w14:paraId="55C98CDD" w14:textId="77777777" w:rsidR="006E68D0" w:rsidRPr="006E68D0" w:rsidRDefault="006E68D0" w:rsidP="006E68D0">
            <w:pPr>
              <w:jc w:val="both"/>
              <w:rPr>
                <w:rFonts w:ascii="Verdana" w:hAnsi="Verdana"/>
                <w:sz w:val="20"/>
                <w:szCs w:val="20"/>
              </w:rPr>
            </w:pPr>
            <w:r w:rsidRPr="006E68D0">
              <w:rPr>
                <w:rFonts w:ascii="Verdana" w:hAnsi="Verdana"/>
                <w:sz w:val="20"/>
                <w:szCs w:val="20"/>
              </w:rPr>
              <w:t>Class ‘A’ insurer</w:t>
            </w:r>
          </w:p>
        </w:tc>
        <w:tc>
          <w:tcPr>
            <w:tcW w:w="2700" w:type="dxa"/>
          </w:tcPr>
          <w:p w14:paraId="5C73F118" w14:textId="52A83351" w:rsidR="006E68D0" w:rsidRPr="006E68D0" w:rsidRDefault="006E68D0" w:rsidP="006E68D0">
            <w:pPr>
              <w:ind w:right="705"/>
              <w:jc w:val="right"/>
              <w:rPr>
                <w:rFonts w:ascii="Verdana" w:hAnsi="Verdana"/>
                <w:sz w:val="20"/>
                <w:szCs w:val="20"/>
              </w:rPr>
            </w:pPr>
            <w:r w:rsidRPr="006E68D0">
              <w:rPr>
                <w:rFonts w:ascii="Verdana" w:hAnsi="Verdana"/>
                <w:sz w:val="20"/>
                <w:szCs w:val="20"/>
              </w:rPr>
              <w:t>26</w:t>
            </w:r>
          </w:p>
        </w:tc>
        <w:tc>
          <w:tcPr>
            <w:tcW w:w="2520" w:type="dxa"/>
          </w:tcPr>
          <w:p w14:paraId="0A0E9303" w14:textId="3C0C5EA5" w:rsidR="006E68D0" w:rsidRPr="006E68D0" w:rsidRDefault="006E68D0" w:rsidP="006E68D0">
            <w:pPr>
              <w:ind w:right="705"/>
              <w:jc w:val="right"/>
              <w:rPr>
                <w:rFonts w:ascii="Verdana" w:hAnsi="Verdana"/>
                <w:sz w:val="20"/>
                <w:szCs w:val="20"/>
              </w:rPr>
            </w:pPr>
            <w:r w:rsidRPr="006E68D0">
              <w:rPr>
                <w:rFonts w:ascii="Verdana" w:hAnsi="Verdana"/>
                <w:sz w:val="20"/>
                <w:szCs w:val="20"/>
              </w:rPr>
              <w:t>14 (54%)</w:t>
            </w:r>
          </w:p>
        </w:tc>
      </w:tr>
      <w:tr w:rsidR="006E68D0" w14:paraId="423273C9" w14:textId="77777777" w:rsidTr="007E0402">
        <w:tc>
          <w:tcPr>
            <w:tcW w:w="2155" w:type="dxa"/>
          </w:tcPr>
          <w:p w14:paraId="73CFE104" w14:textId="7B4C846E" w:rsidR="006E68D0" w:rsidRPr="006E68D0" w:rsidRDefault="006E68D0" w:rsidP="006E68D0">
            <w:pPr>
              <w:jc w:val="both"/>
              <w:rPr>
                <w:rFonts w:ascii="Verdana" w:hAnsi="Verdana"/>
                <w:sz w:val="20"/>
                <w:szCs w:val="20"/>
              </w:rPr>
            </w:pPr>
            <w:r w:rsidRPr="006E68D0">
              <w:rPr>
                <w:rFonts w:ascii="Verdana" w:hAnsi="Verdana"/>
                <w:sz w:val="20"/>
                <w:szCs w:val="20"/>
              </w:rPr>
              <w:t>Class B insurer</w:t>
            </w:r>
          </w:p>
        </w:tc>
        <w:tc>
          <w:tcPr>
            <w:tcW w:w="2700" w:type="dxa"/>
          </w:tcPr>
          <w:p w14:paraId="6307DF92" w14:textId="6681834C" w:rsidR="006E68D0" w:rsidRPr="006E68D0" w:rsidRDefault="006E68D0" w:rsidP="006E68D0">
            <w:pPr>
              <w:ind w:right="705"/>
              <w:jc w:val="right"/>
              <w:rPr>
                <w:rFonts w:ascii="Verdana" w:hAnsi="Verdana"/>
                <w:sz w:val="20"/>
                <w:szCs w:val="20"/>
              </w:rPr>
            </w:pPr>
            <w:r w:rsidRPr="006E68D0">
              <w:rPr>
                <w:rFonts w:ascii="Verdana" w:hAnsi="Verdana"/>
                <w:sz w:val="20"/>
                <w:szCs w:val="20"/>
              </w:rPr>
              <w:t>618</w:t>
            </w:r>
          </w:p>
        </w:tc>
        <w:tc>
          <w:tcPr>
            <w:tcW w:w="2520" w:type="dxa"/>
          </w:tcPr>
          <w:p w14:paraId="37A563ED" w14:textId="785B0BD5" w:rsidR="006E68D0" w:rsidRPr="006E68D0" w:rsidRDefault="006E68D0" w:rsidP="006E68D0">
            <w:pPr>
              <w:ind w:right="705"/>
              <w:jc w:val="right"/>
              <w:rPr>
                <w:rFonts w:ascii="Verdana" w:hAnsi="Verdana"/>
                <w:sz w:val="20"/>
                <w:szCs w:val="20"/>
              </w:rPr>
            </w:pPr>
            <w:r w:rsidRPr="006E68D0">
              <w:rPr>
                <w:rFonts w:ascii="Verdana" w:hAnsi="Verdana"/>
                <w:sz w:val="20"/>
                <w:szCs w:val="20"/>
              </w:rPr>
              <w:t>577 (93%)</w:t>
            </w:r>
          </w:p>
        </w:tc>
      </w:tr>
      <w:tr w:rsidR="006E68D0" w14:paraId="579C9667" w14:textId="77777777" w:rsidTr="007E0402">
        <w:tc>
          <w:tcPr>
            <w:tcW w:w="2155" w:type="dxa"/>
          </w:tcPr>
          <w:p w14:paraId="4EB86C78" w14:textId="77777777" w:rsidR="006E68D0" w:rsidRPr="006E68D0" w:rsidRDefault="006E68D0" w:rsidP="006E68D0">
            <w:pPr>
              <w:jc w:val="both"/>
              <w:rPr>
                <w:rFonts w:ascii="Verdana" w:hAnsi="Verdana"/>
                <w:sz w:val="20"/>
                <w:szCs w:val="20"/>
              </w:rPr>
            </w:pPr>
            <w:r w:rsidRPr="006E68D0">
              <w:rPr>
                <w:rFonts w:ascii="Verdana" w:hAnsi="Verdana"/>
                <w:sz w:val="20"/>
                <w:szCs w:val="20"/>
              </w:rPr>
              <w:t>Class C insurer</w:t>
            </w:r>
          </w:p>
        </w:tc>
        <w:tc>
          <w:tcPr>
            <w:tcW w:w="2700" w:type="dxa"/>
          </w:tcPr>
          <w:p w14:paraId="0AFE534D" w14:textId="4147DF1F" w:rsidR="006E68D0" w:rsidRPr="006E68D0" w:rsidRDefault="006E68D0" w:rsidP="006E68D0">
            <w:pPr>
              <w:ind w:right="705"/>
              <w:jc w:val="right"/>
              <w:rPr>
                <w:rFonts w:ascii="Verdana" w:hAnsi="Verdana"/>
                <w:sz w:val="20"/>
                <w:szCs w:val="20"/>
              </w:rPr>
            </w:pPr>
            <w:r w:rsidRPr="006E68D0">
              <w:rPr>
                <w:rFonts w:ascii="Verdana" w:hAnsi="Verdana"/>
                <w:sz w:val="20"/>
                <w:szCs w:val="20"/>
              </w:rPr>
              <w:t>23</w:t>
            </w:r>
          </w:p>
        </w:tc>
        <w:tc>
          <w:tcPr>
            <w:tcW w:w="2520" w:type="dxa"/>
          </w:tcPr>
          <w:p w14:paraId="5EB03A5C" w14:textId="65848879" w:rsidR="006E68D0" w:rsidRPr="006E68D0" w:rsidRDefault="006E68D0" w:rsidP="006E68D0">
            <w:pPr>
              <w:ind w:right="705"/>
              <w:jc w:val="right"/>
              <w:rPr>
                <w:rFonts w:ascii="Verdana" w:hAnsi="Verdana"/>
                <w:sz w:val="20"/>
                <w:szCs w:val="20"/>
              </w:rPr>
            </w:pPr>
            <w:r w:rsidRPr="006E68D0">
              <w:rPr>
                <w:rFonts w:ascii="Verdana" w:hAnsi="Verdana"/>
                <w:sz w:val="20"/>
                <w:szCs w:val="20"/>
              </w:rPr>
              <w:t>21 (91%)</w:t>
            </w:r>
          </w:p>
        </w:tc>
      </w:tr>
      <w:tr w:rsidR="006E68D0" w14:paraId="6381F9D3" w14:textId="77777777" w:rsidTr="007E0402">
        <w:tc>
          <w:tcPr>
            <w:tcW w:w="2155" w:type="dxa"/>
          </w:tcPr>
          <w:p w14:paraId="2D42DC9D" w14:textId="77777777" w:rsidR="006E68D0" w:rsidRPr="006E68D0" w:rsidRDefault="006E68D0" w:rsidP="006E68D0">
            <w:pPr>
              <w:jc w:val="both"/>
              <w:rPr>
                <w:rFonts w:ascii="Verdana" w:hAnsi="Verdana"/>
                <w:sz w:val="20"/>
                <w:szCs w:val="20"/>
              </w:rPr>
            </w:pPr>
            <w:r w:rsidRPr="006E68D0">
              <w:rPr>
                <w:rFonts w:ascii="Verdana" w:hAnsi="Verdana"/>
                <w:sz w:val="20"/>
                <w:szCs w:val="20"/>
              </w:rPr>
              <w:t>Class D insurer</w:t>
            </w:r>
          </w:p>
        </w:tc>
        <w:tc>
          <w:tcPr>
            <w:tcW w:w="2700" w:type="dxa"/>
          </w:tcPr>
          <w:p w14:paraId="5E8E7A56" w14:textId="7D478A0A" w:rsidR="006E68D0" w:rsidRPr="006E68D0" w:rsidRDefault="006E68D0" w:rsidP="006E68D0">
            <w:pPr>
              <w:ind w:right="705"/>
              <w:jc w:val="right"/>
              <w:rPr>
                <w:rFonts w:ascii="Verdana" w:hAnsi="Verdana"/>
                <w:sz w:val="20"/>
                <w:szCs w:val="20"/>
              </w:rPr>
            </w:pPr>
            <w:r w:rsidRPr="006E68D0">
              <w:rPr>
                <w:rFonts w:ascii="Verdana" w:hAnsi="Verdana"/>
                <w:sz w:val="20"/>
                <w:szCs w:val="20"/>
              </w:rPr>
              <w:t>5</w:t>
            </w:r>
          </w:p>
        </w:tc>
        <w:tc>
          <w:tcPr>
            <w:tcW w:w="2520" w:type="dxa"/>
          </w:tcPr>
          <w:p w14:paraId="237002A2" w14:textId="0E6B5F09" w:rsidR="006E68D0" w:rsidRPr="006E68D0" w:rsidRDefault="006E68D0" w:rsidP="006E68D0">
            <w:pPr>
              <w:ind w:right="705"/>
              <w:jc w:val="right"/>
              <w:rPr>
                <w:rFonts w:ascii="Verdana" w:hAnsi="Verdana"/>
                <w:sz w:val="20"/>
                <w:szCs w:val="20"/>
              </w:rPr>
            </w:pPr>
            <w:r w:rsidRPr="006E68D0">
              <w:rPr>
                <w:rFonts w:ascii="Verdana" w:hAnsi="Verdana"/>
                <w:sz w:val="20"/>
                <w:szCs w:val="20"/>
              </w:rPr>
              <w:t>2 (40%)</w:t>
            </w:r>
          </w:p>
        </w:tc>
      </w:tr>
      <w:tr w:rsidR="006E68D0" w14:paraId="7C9D15A4" w14:textId="77777777" w:rsidTr="007E0402">
        <w:tc>
          <w:tcPr>
            <w:tcW w:w="2155" w:type="dxa"/>
          </w:tcPr>
          <w:p w14:paraId="0C5A0D7D" w14:textId="77777777" w:rsidR="006E68D0" w:rsidRPr="006E68D0" w:rsidRDefault="006E68D0" w:rsidP="006E68D0">
            <w:pPr>
              <w:jc w:val="both"/>
              <w:rPr>
                <w:rFonts w:ascii="Verdana" w:hAnsi="Verdana"/>
                <w:sz w:val="20"/>
                <w:szCs w:val="20"/>
              </w:rPr>
            </w:pPr>
            <w:r w:rsidRPr="006E68D0">
              <w:rPr>
                <w:rFonts w:ascii="Verdana" w:hAnsi="Verdana"/>
                <w:sz w:val="20"/>
                <w:szCs w:val="20"/>
              </w:rPr>
              <w:t>Insurance Broker</w:t>
            </w:r>
          </w:p>
        </w:tc>
        <w:tc>
          <w:tcPr>
            <w:tcW w:w="2700" w:type="dxa"/>
          </w:tcPr>
          <w:p w14:paraId="39DD4500" w14:textId="3C87A369" w:rsidR="006E68D0" w:rsidRPr="006E68D0" w:rsidRDefault="006E68D0" w:rsidP="006E68D0">
            <w:pPr>
              <w:ind w:right="705"/>
              <w:jc w:val="right"/>
              <w:rPr>
                <w:rFonts w:ascii="Verdana" w:hAnsi="Verdana"/>
                <w:sz w:val="20"/>
                <w:szCs w:val="20"/>
              </w:rPr>
            </w:pPr>
            <w:r w:rsidRPr="006E68D0">
              <w:rPr>
                <w:rFonts w:ascii="Verdana" w:hAnsi="Verdana"/>
                <w:sz w:val="20"/>
                <w:szCs w:val="20"/>
              </w:rPr>
              <w:t>23</w:t>
            </w:r>
          </w:p>
        </w:tc>
        <w:tc>
          <w:tcPr>
            <w:tcW w:w="2520" w:type="dxa"/>
          </w:tcPr>
          <w:p w14:paraId="777D0745" w14:textId="170CC5DE" w:rsidR="006E68D0" w:rsidRPr="006E68D0" w:rsidRDefault="006E68D0" w:rsidP="006E68D0">
            <w:pPr>
              <w:ind w:right="705"/>
              <w:jc w:val="right"/>
              <w:rPr>
                <w:rFonts w:ascii="Verdana" w:hAnsi="Verdana"/>
                <w:sz w:val="20"/>
                <w:szCs w:val="20"/>
              </w:rPr>
            </w:pPr>
            <w:r w:rsidRPr="006E68D0">
              <w:rPr>
                <w:rFonts w:ascii="Verdana" w:hAnsi="Verdana"/>
                <w:sz w:val="20"/>
                <w:szCs w:val="20"/>
              </w:rPr>
              <w:t>16 (70%)</w:t>
            </w:r>
          </w:p>
        </w:tc>
      </w:tr>
      <w:tr w:rsidR="006E68D0" w:rsidRPr="00C70336" w14:paraId="21277A97" w14:textId="77777777" w:rsidTr="007E0402">
        <w:tc>
          <w:tcPr>
            <w:tcW w:w="2155" w:type="dxa"/>
          </w:tcPr>
          <w:p w14:paraId="008D51CA" w14:textId="77777777" w:rsidR="006E68D0" w:rsidRPr="006E68D0" w:rsidRDefault="006E68D0" w:rsidP="006E68D0">
            <w:pPr>
              <w:rPr>
                <w:rFonts w:ascii="Verdana" w:hAnsi="Verdana"/>
                <w:sz w:val="20"/>
                <w:szCs w:val="20"/>
              </w:rPr>
            </w:pPr>
            <w:r w:rsidRPr="006E68D0">
              <w:rPr>
                <w:rFonts w:ascii="Verdana" w:hAnsi="Verdana"/>
                <w:sz w:val="20"/>
                <w:szCs w:val="20"/>
              </w:rPr>
              <w:t>Insurance Manager</w:t>
            </w:r>
          </w:p>
        </w:tc>
        <w:tc>
          <w:tcPr>
            <w:tcW w:w="2700" w:type="dxa"/>
          </w:tcPr>
          <w:p w14:paraId="2DBEEE7B" w14:textId="773E4B99" w:rsidR="006E68D0" w:rsidRPr="006E68D0" w:rsidRDefault="006E68D0" w:rsidP="006E68D0">
            <w:pPr>
              <w:ind w:right="705"/>
              <w:jc w:val="right"/>
              <w:rPr>
                <w:rFonts w:ascii="Verdana" w:hAnsi="Verdana"/>
                <w:sz w:val="20"/>
                <w:szCs w:val="20"/>
              </w:rPr>
            </w:pPr>
            <w:r w:rsidRPr="006E68D0">
              <w:rPr>
                <w:rFonts w:ascii="Verdana" w:hAnsi="Verdana"/>
                <w:sz w:val="20"/>
                <w:szCs w:val="20"/>
              </w:rPr>
              <w:t>24</w:t>
            </w:r>
          </w:p>
        </w:tc>
        <w:tc>
          <w:tcPr>
            <w:tcW w:w="2520" w:type="dxa"/>
          </w:tcPr>
          <w:p w14:paraId="4E89EF1B" w14:textId="57FF7DF3" w:rsidR="006E68D0" w:rsidRPr="006E68D0" w:rsidRDefault="006E68D0" w:rsidP="006E68D0">
            <w:pPr>
              <w:ind w:right="705"/>
              <w:jc w:val="right"/>
              <w:rPr>
                <w:rFonts w:ascii="Verdana" w:hAnsi="Verdana"/>
                <w:sz w:val="20"/>
                <w:szCs w:val="20"/>
              </w:rPr>
            </w:pPr>
            <w:r w:rsidRPr="006E68D0">
              <w:rPr>
                <w:rFonts w:ascii="Verdana" w:hAnsi="Verdana"/>
                <w:sz w:val="20"/>
                <w:szCs w:val="20"/>
              </w:rPr>
              <w:t>19 (79%)</w:t>
            </w:r>
          </w:p>
        </w:tc>
      </w:tr>
      <w:tr w:rsidR="006E68D0" w:rsidRPr="006E68D0" w14:paraId="0BAA4475" w14:textId="77777777" w:rsidTr="007E0402">
        <w:tc>
          <w:tcPr>
            <w:tcW w:w="2155" w:type="dxa"/>
          </w:tcPr>
          <w:p w14:paraId="7347D39C" w14:textId="5FC01176" w:rsidR="006E68D0" w:rsidRPr="006E68D0" w:rsidRDefault="006E68D0" w:rsidP="006E68D0">
            <w:pPr>
              <w:jc w:val="center"/>
              <w:rPr>
                <w:rFonts w:ascii="Verdana" w:hAnsi="Verdana"/>
                <w:b/>
                <w:bCs/>
                <w:sz w:val="20"/>
                <w:szCs w:val="20"/>
              </w:rPr>
            </w:pPr>
            <w:r w:rsidRPr="006E68D0">
              <w:rPr>
                <w:rFonts w:ascii="Verdana" w:hAnsi="Verdana"/>
                <w:b/>
                <w:bCs/>
                <w:sz w:val="20"/>
                <w:szCs w:val="20"/>
              </w:rPr>
              <w:t>Total</w:t>
            </w:r>
          </w:p>
        </w:tc>
        <w:tc>
          <w:tcPr>
            <w:tcW w:w="2700" w:type="dxa"/>
          </w:tcPr>
          <w:p w14:paraId="258E0E3F" w14:textId="5AF2B75D" w:rsidR="006E68D0" w:rsidRPr="006E68D0" w:rsidRDefault="006E68D0" w:rsidP="006E68D0">
            <w:pPr>
              <w:ind w:right="705"/>
              <w:jc w:val="right"/>
              <w:rPr>
                <w:rFonts w:ascii="Verdana" w:hAnsi="Verdana"/>
                <w:b/>
                <w:bCs/>
                <w:sz w:val="20"/>
                <w:szCs w:val="20"/>
              </w:rPr>
            </w:pPr>
            <w:r w:rsidRPr="006E68D0">
              <w:rPr>
                <w:rFonts w:ascii="Verdana" w:hAnsi="Verdana"/>
                <w:b/>
                <w:bCs/>
                <w:sz w:val="20"/>
                <w:szCs w:val="20"/>
              </w:rPr>
              <w:t>719</w:t>
            </w:r>
          </w:p>
        </w:tc>
        <w:tc>
          <w:tcPr>
            <w:tcW w:w="2520" w:type="dxa"/>
          </w:tcPr>
          <w:p w14:paraId="55C5430E" w14:textId="1617F72D" w:rsidR="006E68D0" w:rsidRPr="006E68D0" w:rsidRDefault="006E68D0" w:rsidP="006E68D0">
            <w:pPr>
              <w:ind w:right="705"/>
              <w:jc w:val="right"/>
              <w:rPr>
                <w:rFonts w:ascii="Verdana" w:hAnsi="Verdana"/>
                <w:b/>
                <w:bCs/>
                <w:sz w:val="20"/>
                <w:szCs w:val="20"/>
              </w:rPr>
            </w:pPr>
            <w:r w:rsidRPr="006E68D0">
              <w:rPr>
                <w:rFonts w:ascii="Verdana" w:hAnsi="Verdana"/>
                <w:b/>
                <w:bCs/>
                <w:sz w:val="20"/>
                <w:szCs w:val="20"/>
              </w:rPr>
              <w:t>649 (90%)</w:t>
            </w:r>
          </w:p>
        </w:tc>
      </w:tr>
    </w:tbl>
    <w:p w14:paraId="5FD2AC9F" w14:textId="77777777" w:rsidR="003B0850" w:rsidRDefault="003B0850" w:rsidP="00361167">
      <w:pPr>
        <w:jc w:val="both"/>
        <w:rPr>
          <w:rFonts w:ascii="Verdana" w:hAnsi="Verdana"/>
          <w:sz w:val="20"/>
          <w:szCs w:val="20"/>
        </w:rPr>
      </w:pPr>
    </w:p>
    <w:p w14:paraId="68102172" w14:textId="416F245C" w:rsidR="00C7152C" w:rsidRDefault="00457D86" w:rsidP="00361167">
      <w:pPr>
        <w:jc w:val="both"/>
        <w:rPr>
          <w:rFonts w:ascii="Verdana" w:hAnsi="Verdana"/>
          <w:sz w:val="20"/>
          <w:szCs w:val="20"/>
        </w:rPr>
      </w:pPr>
      <w:r>
        <w:rPr>
          <w:rFonts w:ascii="Verdana" w:hAnsi="Verdana"/>
          <w:sz w:val="20"/>
          <w:szCs w:val="20"/>
        </w:rPr>
        <w:t>For the purpose of the completion of the survey, insurance licensees were requested to consider their data between 1 October 2018 and 30 September 2019.</w:t>
      </w:r>
      <w:r w:rsidR="00594569">
        <w:rPr>
          <w:rFonts w:ascii="Verdana" w:hAnsi="Verdana"/>
          <w:sz w:val="20"/>
          <w:szCs w:val="20"/>
        </w:rPr>
        <w:t xml:space="preserve"> </w:t>
      </w:r>
      <w:r>
        <w:rPr>
          <w:rFonts w:ascii="Verdana" w:hAnsi="Verdana"/>
          <w:sz w:val="20"/>
          <w:szCs w:val="20"/>
        </w:rPr>
        <w:t xml:space="preserve"> </w:t>
      </w:r>
    </w:p>
    <w:p w14:paraId="2C83AE97" w14:textId="1FCE0F01" w:rsidR="00AE1363" w:rsidRDefault="00594569" w:rsidP="00361167">
      <w:pPr>
        <w:jc w:val="both"/>
        <w:rPr>
          <w:rFonts w:ascii="Verdana" w:hAnsi="Verdana"/>
          <w:sz w:val="20"/>
          <w:szCs w:val="20"/>
        </w:rPr>
      </w:pPr>
      <w:r w:rsidRPr="00594569">
        <w:rPr>
          <w:rFonts w:ascii="Verdana" w:hAnsi="Verdana"/>
          <w:sz w:val="20"/>
          <w:szCs w:val="20"/>
        </w:rPr>
        <w:t>The Results </w:t>
      </w:r>
      <w:r>
        <w:rPr>
          <w:rFonts w:ascii="Verdana" w:hAnsi="Verdana"/>
          <w:sz w:val="20"/>
          <w:szCs w:val="20"/>
        </w:rPr>
        <w:t>o</w:t>
      </w:r>
      <w:r w:rsidRPr="00594569">
        <w:rPr>
          <w:rFonts w:ascii="Verdana" w:hAnsi="Verdana"/>
          <w:sz w:val="20"/>
          <w:szCs w:val="20"/>
        </w:rPr>
        <w:t xml:space="preserve">f </w:t>
      </w:r>
      <w:r>
        <w:rPr>
          <w:rFonts w:ascii="Verdana" w:hAnsi="Verdana"/>
          <w:sz w:val="20"/>
          <w:szCs w:val="20"/>
        </w:rPr>
        <w:t>t</w:t>
      </w:r>
      <w:r w:rsidRPr="00594569">
        <w:rPr>
          <w:rFonts w:ascii="Verdana" w:hAnsi="Verdana"/>
          <w:sz w:val="20"/>
          <w:szCs w:val="20"/>
        </w:rPr>
        <w:t>he </w:t>
      </w:r>
      <w:r>
        <w:rPr>
          <w:rFonts w:ascii="Verdana" w:hAnsi="Verdana"/>
          <w:sz w:val="20"/>
          <w:szCs w:val="20"/>
        </w:rPr>
        <w:t>s</w:t>
      </w:r>
      <w:r w:rsidRPr="00594569">
        <w:rPr>
          <w:rFonts w:ascii="Verdana" w:hAnsi="Verdana"/>
          <w:sz w:val="20"/>
          <w:szCs w:val="20"/>
        </w:rPr>
        <w:t>urvey </w:t>
      </w:r>
      <w:r>
        <w:rPr>
          <w:rFonts w:ascii="Verdana" w:hAnsi="Verdana"/>
          <w:sz w:val="20"/>
          <w:szCs w:val="20"/>
        </w:rPr>
        <w:t>a</w:t>
      </w:r>
      <w:r w:rsidRPr="00594569">
        <w:rPr>
          <w:rFonts w:ascii="Verdana" w:hAnsi="Verdana"/>
          <w:sz w:val="20"/>
          <w:szCs w:val="20"/>
        </w:rPr>
        <w:t>re </w:t>
      </w:r>
      <w:r>
        <w:rPr>
          <w:rFonts w:ascii="Verdana" w:hAnsi="Verdana"/>
          <w:sz w:val="20"/>
          <w:szCs w:val="20"/>
        </w:rPr>
        <w:t>s</w:t>
      </w:r>
      <w:r w:rsidRPr="00594569">
        <w:rPr>
          <w:rFonts w:ascii="Verdana" w:hAnsi="Verdana"/>
          <w:sz w:val="20"/>
          <w:szCs w:val="20"/>
        </w:rPr>
        <w:t xml:space="preserve">ummarized </w:t>
      </w:r>
      <w:r>
        <w:rPr>
          <w:rFonts w:ascii="Verdana" w:hAnsi="Verdana"/>
          <w:sz w:val="20"/>
          <w:szCs w:val="20"/>
        </w:rPr>
        <w:t>a</w:t>
      </w:r>
      <w:r w:rsidRPr="00594569">
        <w:rPr>
          <w:rFonts w:ascii="Verdana" w:hAnsi="Verdana"/>
          <w:sz w:val="20"/>
          <w:szCs w:val="20"/>
        </w:rPr>
        <w:t xml:space="preserve">s </w:t>
      </w:r>
      <w:r>
        <w:rPr>
          <w:rFonts w:ascii="Verdana" w:hAnsi="Verdana"/>
          <w:sz w:val="20"/>
          <w:szCs w:val="20"/>
        </w:rPr>
        <w:t>f</w:t>
      </w:r>
      <w:r w:rsidRPr="00594569">
        <w:rPr>
          <w:rFonts w:ascii="Verdana" w:hAnsi="Verdana"/>
          <w:sz w:val="20"/>
          <w:szCs w:val="20"/>
        </w:rPr>
        <w:t>ollows</w:t>
      </w:r>
      <w:r>
        <w:rPr>
          <w:rFonts w:ascii="Verdana" w:hAnsi="Verdana"/>
          <w:sz w:val="20"/>
          <w:szCs w:val="20"/>
        </w:rPr>
        <w:t>:</w:t>
      </w:r>
    </w:p>
    <w:p w14:paraId="3F224EA3" w14:textId="2068F632" w:rsidR="00CE075C" w:rsidRDefault="00CE075C" w:rsidP="00361167">
      <w:pPr>
        <w:jc w:val="both"/>
        <w:rPr>
          <w:rFonts w:ascii="Verdana" w:hAnsi="Verdana"/>
          <w:sz w:val="20"/>
          <w:szCs w:val="20"/>
        </w:rPr>
      </w:pPr>
      <w:r w:rsidRPr="000E250C">
        <w:rPr>
          <w:rFonts w:ascii="Verdana" w:hAnsi="Verdana"/>
          <w:b/>
          <w:bCs/>
          <w:sz w:val="16"/>
          <w:szCs w:val="16"/>
        </w:rPr>
        <w:t xml:space="preserve">Table </w:t>
      </w:r>
      <w:r>
        <w:rPr>
          <w:rFonts w:ascii="Verdana" w:hAnsi="Verdana"/>
          <w:b/>
          <w:bCs/>
          <w:sz w:val="16"/>
          <w:szCs w:val="16"/>
        </w:rPr>
        <w:t>6</w:t>
      </w:r>
      <w:r w:rsidRPr="000E250C">
        <w:rPr>
          <w:rFonts w:ascii="Verdana" w:hAnsi="Verdana"/>
          <w:b/>
          <w:bCs/>
          <w:sz w:val="16"/>
          <w:szCs w:val="16"/>
        </w:rPr>
        <w:t xml:space="preserve">: </w:t>
      </w:r>
      <w:r>
        <w:rPr>
          <w:rFonts w:ascii="Verdana" w:hAnsi="Verdana"/>
          <w:b/>
          <w:bCs/>
          <w:sz w:val="16"/>
          <w:szCs w:val="16"/>
        </w:rPr>
        <w:t>Survey results per each Insurance industry specific inherent risk</w:t>
      </w:r>
    </w:p>
    <w:tbl>
      <w:tblPr>
        <w:tblStyle w:val="TableGrid"/>
        <w:tblW w:w="9355" w:type="dxa"/>
        <w:tblLook w:val="04A0" w:firstRow="1" w:lastRow="0" w:firstColumn="1" w:lastColumn="0" w:noHBand="0" w:noVBand="1"/>
      </w:tblPr>
      <w:tblGrid>
        <w:gridCol w:w="2155"/>
        <w:gridCol w:w="7200"/>
      </w:tblGrid>
      <w:tr w:rsidR="00594569" w:rsidRPr="003A4806" w14:paraId="1C28E6B9" w14:textId="77777777" w:rsidTr="00594569">
        <w:tc>
          <w:tcPr>
            <w:tcW w:w="2155" w:type="dxa"/>
            <w:shd w:val="clear" w:color="auto" w:fill="DBE5F1" w:themeFill="accent1" w:themeFillTint="33"/>
          </w:tcPr>
          <w:p w14:paraId="61F4628B" w14:textId="77777777" w:rsidR="00594569" w:rsidRPr="00594569" w:rsidRDefault="00594569" w:rsidP="00D95C49">
            <w:pPr>
              <w:pStyle w:val="NormalWeb"/>
              <w:jc w:val="both"/>
              <w:rPr>
                <w:rFonts w:ascii="Verdana" w:hAnsi="Verdana"/>
                <w:b/>
                <w:bCs/>
                <w:color w:val="191919"/>
                <w:sz w:val="20"/>
                <w:szCs w:val="20"/>
              </w:rPr>
            </w:pPr>
            <w:r w:rsidRPr="00594569">
              <w:rPr>
                <w:rFonts w:ascii="Verdana" w:hAnsi="Verdana"/>
                <w:b/>
                <w:bCs/>
                <w:color w:val="191919"/>
                <w:sz w:val="20"/>
                <w:szCs w:val="20"/>
              </w:rPr>
              <w:t>Inherent Risks</w:t>
            </w:r>
          </w:p>
        </w:tc>
        <w:tc>
          <w:tcPr>
            <w:tcW w:w="7200" w:type="dxa"/>
            <w:shd w:val="clear" w:color="auto" w:fill="DBE5F1" w:themeFill="accent1" w:themeFillTint="33"/>
          </w:tcPr>
          <w:p w14:paraId="00537129" w14:textId="77777777" w:rsidR="00594569" w:rsidRPr="00594569" w:rsidRDefault="00594569" w:rsidP="00D95C49">
            <w:pPr>
              <w:pStyle w:val="NormalWeb"/>
              <w:jc w:val="both"/>
              <w:rPr>
                <w:rFonts w:ascii="Verdana" w:hAnsi="Verdana"/>
                <w:b/>
                <w:bCs/>
                <w:sz w:val="20"/>
                <w:szCs w:val="20"/>
              </w:rPr>
            </w:pPr>
            <w:r w:rsidRPr="00594569">
              <w:rPr>
                <w:rFonts w:ascii="Verdana" w:hAnsi="Verdana"/>
                <w:b/>
                <w:bCs/>
                <w:sz w:val="20"/>
                <w:szCs w:val="20"/>
              </w:rPr>
              <w:t>State of the Sector</w:t>
            </w:r>
          </w:p>
        </w:tc>
      </w:tr>
      <w:tr w:rsidR="00594569" w14:paraId="059A054C" w14:textId="77777777" w:rsidTr="00594569">
        <w:tc>
          <w:tcPr>
            <w:tcW w:w="2155" w:type="dxa"/>
          </w:tcPr>
          <w:p w14:paraId="6827FCDB" w14:textId="77777777" w:rsidR="00594569" w:rsidRPr="00594569" w:rsidRDefault="00594569" w:rsidP="00D95C49">
            <w:pPr>
              <w:spacing w:before="100" w:beforeAutospacing="1" w:after="100" w:afterAutospacing="1"/>
              <w:rPr>
                <w:rFonts w:ascii="Verdana" w:eastAsia="Times New Roman" w:hAnsi="Verdana" w:cs="Times New Roman"/>
                <w:b/>
                <w:bCs/>
                <w:color w:val="191919"/>
                <w:sz w:val="20"/>
                <w:szCs w:val="20"/>
                <w:lang w:eastAsia="en-GB"/>
              </w:rPr>
            </w:pPr>
            <w:r w:rsidRPr="00594569">
              <w:rPr>
                <w:rFonts w:ascii="Verdana" w:hAnsi="Verdana"/>
                <w:b/>
                <w:bCs/>
                <w:sz w:val="20"/>
                <w:szCs w:val="20"/>
              </w:rPr>
              <w:lastRenderedPageBreak/>
              <w:t>Nature, size and complexity of business</w:t>
            </w:r>
          </w:p>
        </w:tc>
        <w:tc>
          <w:tcPr>
            <w:tcW w:w="7200" w:type="dxa"/>
          </w:tcPr>
          <w:p w14:paraId="18961F9A" w14:textId="1084EA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11% of the sector provides Life products with investment components and single premium policies with high cash/surrender value.</w:t>
            </w:r>
            <w:r w:rsidR="00CE075C">
              <w:rPr>
                <w:rFonts w:ascii="Verdana" w:eastAsia="Times New Roman" w:hAnsi="Verdana" w:cs="Times New Roman"/>
                <w:color w:val="191919"/>
                <w:sz w:val="20"/>
                <w:szCs w:val="20"/>
                <w:lang w:eastAsia="en-GB"/>
              </w:rPr>
              <w:t xml:space="preserve"> This included both direct writers and reinsurers.</w:t>
            </w:r>
          </w:p>
          <w:p w14:paraId="524725EB"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hAnsi="Verdana"/>
                <w:sz w:val="20"/>
                <w:szCs w:val="20"/>
              </w:rPr>
              <w:t xml:space="preserve">71% of the international insurers operate as captive insurance companies providing property and casualty coverage to their parent companies and affiliates. </w:t>
            </w:r>
          </w:p>
          <w:p w14:paraId="5BD3458B" w14:textId="4F2D858B"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hAnsi="Verdana"/>
                <w:sz w:val="20"/>
                <w:szCs w:val="20"/>
              </w:rPr>
              <w:t>Over 95% of the international sector insurers are managed by an Insurance Manager. All domestic sector insurers have either a physical presence or engage a</w:t>
            </w:r>
            <w:r w:rsidR="00121391">
              <w:rPr>
                <w:rFonts w:ascii="Verdana" w:hAnsi="Verdana"/>
                <w:sz w:val="20"/>
                <w:szCs w:val="20"/>
              </w:rPr>
              <w:t>n</w:t>
            </w:r>
            <w:r w:rsidRPr="00594569">
              <w:rPr>
                <w:rFonts w:ascii="Verdana" w:hAnsi="Verdana"/>
                <w:sz w:val="20"/>
                <w:szCs w:val="20"/>
              </w:rPr>
              <w:t xml:space="preserve"> Insurance Broker to provide a physical presence.</w:t>
            </w:r>
          </w:p>
          <w:p w14:paraId="531FCA20" w14:textId="4FDF35B6"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hAnsi="Verdana"/>
                <w:sz w:val="20"/>
                <w:szCs w:val="20"/>
              </w:rPr>
              <w:t xml:space="preserve"> Of the </w:t>
            </w:r>
            <w:r w:rsidR="00CE075C">
              <w:rPr>
                <w:rFonts w:ascii="Verdana" w:hAnsi="Verdana"/>
                <w:sz w:val="20"/>
                <w:szCs w:val="20"/>
              </w:rPr>
              <w:t>i</w:t>
            </w:r>
            <w:r w:rsidRPr="00594569">
              <w:rPr>
                <w:rFonts w:ascii="Verdana" w:hAnsi="Verdana"/>
                <w:sz w:val="20"/>
                <w:szCs w:val="20"/>
              </w:rPr>
              <w:t xml:space="preserve">nternational </w:t>
            </w:r>
            <w:r w:rsidR="00CE075C">
              <w:rPr>
                <w:rFonts w:ascii="Verdana" w:hAnsi="Verdana"/>
                <w:sz w:val="20"/>
                <w:szCs w:val="20"/>
              </w:rPr>
              <w:t>c</w:t>
            </w:r>
            <w:r w:rsidRPr="00594569">
              <w:rPr>
                <w:rFonts w:ascii="Verdana" w:hAnsi="Verdana"/>
                <w:sz w:val="20"/>
                <w:szCs w:val="20"/>
              </w:rPr>
              <w:t xml:space="preserve">ommercial </w:t>
            </w:r>
            <w:r w:rsidR="00CE075C">
              <w:rPr>
                <w:rFonts w:ascii="Verdana" w:hAnsi="Verdana"/>
                <w:sz w:val="20"/>
                <w:szCs w:val="20"/>
              </w:rPr>
              <w:t xml:space="preserve">insurance </w:t>
            </w:r>
            <w:r w:rsidRPr="00594569">
              <w:rPr>
                <w:rFonts w:ascii="Verdana" w:hAnsi="Verdana"/>
                <w:sz w:val="20"/>
                <w:szCs w:val="20"/>
              </w:rPr>
              <w:t xml:space="preserve">sector, </w:t>
            </w:r>
            <w:r w:rsidR="00CE075C">
              <w:rPr>
                <w:rFonts w:ascii="Verdana" w:hAnsi="Verdana"/>
                <w:sz w:val="20"/>
                <w:szCs w:val="20"/>
              </w:rPr>
              <w:t>d</w:t>
            </w:r>
            <w:r w:rsidRPr="00594569">
              <w:rPr>
                <w:rFonts w:ascii="Verdana" w:hAnsi="Verdana"/>
                <w:sz w:val="20"/>
                <w:szCs w:val="20"/>
              </w:rPr>
              <w:t>irect insurers and reinsurers, 73% of the licensees utilize</w:t>
            </w:r>
            <w:r w:rsidR="00CE075C">
              <w:rPr>
                <w:rFonts w:ascii="Verdana" w:hAnsi="Verdana"/>
                <w:sz w:val="20"/>
                <w:szCs w:val="20"/>
              </w:rPr>
              <w:t>d</w:t>
            </w:r>
            <w:r w:rsidRPr="00594569">
              <w:rPr>
                <w:rFonts w:ascii="Verdana" w:hAnsi="Verdana"/>
                <w:sz w:val="20"/>
                <w:szCs w:val="20"/>
              </w:rPr>
              <w:t xml:space="preserve"> regulated entities or entities supervised by one or more other regulators. </w:t>
            </w:r>
          </w:p>
        </w:tc>
      </w:tr>
      <w:tr w:rsidR="00594569" w14:paraId="0ED72FAA" w14:textId="77777777" w:rsidTr="00594569">
        <w:tc>
          <w:tcPr>
            <w:tcW w:w="2155" w:type="dxa"/>
          </w:tcPr>
          <w:p w14:paraId="00C9D5A8" w14:textId="77777777" w:rsidR="00594569" w:rsidRPr="00594569" w:rsidRDefault="00594569" w:rsidP="00D95C49">
            <w:pPr>
              <w:spacing w:before="100" w:beforeAutospacing="1" w:after="100" w:afterAutospacing="1"/>
              <w:rPr>
                <w:rFonts w:ascii="Verdana" w:hAnsi="Verdana"/>
                <w:b/>
                <w:bCs/>
                <w:sz w:val="20"/>
                <w:szCs w:val="20"/>
              </w:rPr>
            </w:pPr>
            <w:r w:rsidRPr="00594569">
              <w:rPr>
                <w:rFonts w:ascii="Verdana" w:hAnsi="Verdana"/>
                <w:b/>
                <w:bCs/>
                <w:sz w:val="20"/>
                <w:szCs w:val="20"/>
              </w:rPr>
              <w:t>Geographical reach</w:t>
            </w:r>
          </w:p>
        </w:tc>
        <w:tc>
          <w:tcPr>
            <w:tcW w:w="7200" w:type="dxa"/>
          </w:tcPr>
          <w:p w14:paraId="7E5774AD" w14:textId="23774595"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 xml:space="preserve">29% of the Domestic Sector’s immediate and UBO’s </w:t>
            </w:r>
            <w:proofErr w:type="gramStart"/>
            <w:r w:rsidRPr="00594569">
              <w:rPr>
                <w:rFonts w:ascii="Verdana" w:eastAsia="Times New Roman" w:hAnsi="Verdana" w:cs="Times New Roman"/>
                <w:color w:val="191919"/>
                <w:sz w:val="20"/>
                <w:szCs w:val="20"/>
                <w:lang w:eastAsia="en-GB"/>
              </w:rPr>
              <w:t>are located in</w:t>
            </w:r>
            <w:proofErr w:type="gramEnd"/>
            <w:r w:rsidRPr="00594569">
              <w:rPr>
                <w:rFonts w:ascii="Verdana" w:eastAsia="Times New Roman" w:hAnsi="Verdana" w:cs="Times New Roman"/>
                <w:color w:val="191919"/>
                <w:sz w:val="20"/>
                <w:szCs w:val="20"/>
                <w:lang w:eastAsia="en-GB"/>
              </w:rPr>
              <w:t xml:space="preserve"> the Cayman Islands, 16% in the Bahamas, 16% in the United States, 16% in Bermuda and the remaining 23% located in other Caribbean territories and the United Kingdom. </w:t>
            </w:r>
            <w:r w:rsidR="008541AD">
              <w:rPr>
                <w:rFonts w:ascii="Verdana" w:eastAsia="Times New Roman" w:hAnsi="Verdana" w:cs="Times New Roman"/>
                <w:color w:val="191919"/>
                <w:sz w:val="20"/>
                <w:szCs w:val="20"/>
                <w:lang w:eastAsia="en-GB"/>
              </w:rPr>
              <w:t>81</w:t>
            </w:r>
            <w:r w:rsidRPr="00594569">
              <w:rPr>
                <w:rFonts w:ascii="Verdana" w:eastAsia="Times New Roman" w:hAnsi="Verdana" w:cs="Times New Roman"/>
                <w:color w:val="191919"/>
                <w:sz w:val="20"/>
                <w:szCs w:val="20"/>
                <w:lang w:eastAsia="en-GB"/>
              </w:rPr>
              <w:t xml:space="preserve">% of the International </w:t>
            </w:r>
            <w:r w:rsidR="00CE075C">
              <w:rPr>
                <w:rFonts w:ascii="Verdana" w:eastAsia="Times New Roman" w:hAnsi="Verdana" w:cs="Times New Roman"/>
                <w:color w:val="191919"/>
                <w:sz w:val="20"/>
                <w:szCs w:val="20"/>
                <w:lang w:eastAsia="en-GB"/>
              </w:rPr>
              <w:t>s</w:t>
            </w:r>
            <w:r w:rsidRPr="00594569">
              <w:rPr>
                <w:rFonts w:ascii="Verdana" w:eastAsia="Times New Roman" w:hAnsi="Verdana" w:cs="Times New Roman"/>
                <w:color w:val="191919"/>
                <w:sz w:val="20"/>
                <w:szCs w:val="20"/>
                <w:lang w:eastAsia="en-GB"/>
              </w:rPr>
              <w:t xml:space="preserve">ector’s immediate and ultimate UBO’s </w:t>
            </w:r>
            <w:proofErr w:type="gramStart"/>
            <w:r w:rsidRPr="00594569">
              <w:rPr>
                <w:rFonts w:ascii="Verdana" w:eastAsia="Times New Roman" w:hAnsi="Verdana" w:cs="Times New Roman"/>
                <w:color w:val="191919"/>
                <w:sz w:val="20"/>
                <w:szCs w:val="20"/>
                <w:lang w:eastAsia="en-GB"/>
              </w:rPr>
              <w:t>are located in</w:t>
            </w:r>
            <w:proofErr w:type="gramEnd"/>
            <w:r w:rsidRPr="00594569">
              <w:rPr>
                <w:rFonts w:ascii="Verdana" w:eastAsia="Times New Roman" w:hAnsi="Verdana" w:cs="Times New Roman"/>
                <w:color w:val="191919"/>
                <w:sz w:val="20"/>
                <w:szCs w:val="20"/>
                <w:lang w:eastAsia="en-GB"/>
              </w:rPr>
              <w:t xml:space="preserve"> the United States, 11% are located in the Cayman Islands and the remaining 8% were located globally.</w:t>
            </w:r>
          </w:p>
          <w:p w14:paraId="7C241218"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 xml:space="preserve">Less than 3% of Licensees have engaged in business transactions with countries subject to sanctions. </w:t>
            </w:r>
          </w:p>
        </w:tc>
      </w:tr>
      <w:tr w:rsidR="00594569" w14:paraId="3F57C592" w14:textId="77777777" w:rsidTr="00594569">
        <w:tc>
          <w:tcPr>
            <w:tcW w:w="2155" w:type="dxa"/>
          </w:tcPr>
          <w:p w14:paraId="704C337E" w14:textId="77777777" w:rsidR="00594569" w:rsidRPr="00594569" w:rsidRDefault="00594569" w:rsidP="00D95C49">
            <w:pPr>
              <w:spacing w:before="100" w:beforeAutospacing="1" w:after="100" w:afterAutospacing="1"/>
              <w:rPr>
                <w:rFonts w:ascii="Verdana" w:hAnsi="Verdana"/>
                <w:b/>
                <w:bCs/>
                <w:sz w:val="20"/>
                <w:szCs w:val="20"/>
              </w:rPr>
            </w:pPr>
            <w:r w:rsidRPr="00594569">
              <w:rPr>
                <w:rFonts w:ascii="Verdana" w:hAnsi="Verdana"/>
                <w:b/>
                <w:bCs/>
                <w:sz w:val="20"/>
                <w:szCs w:val="20"/>
              </w:rPr>
              <w:t>Products and Services</w:t>
            </w:r>
          </w:p>
        </w:tc>
        <w:tc>
          <w:tcPr>
            <w:tcW w:w="7200" w:type="dxa"/>
          </w:tcPr>
          <w:p w14:paraId="2838DA8C"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5% of insurance sector engaged in life and other investment-related insurance business as direct insurers.</w:t>
            </w:r>
          </w:p>
          <w:p w14:paraId="2824FF0F" w14:textId="6AAFFD9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 xml:space="preserve">11% of the sector provides </w:t>
            </w:r>
            <w:r w:rsidR="00CE075C">
              <w:rPr>
                <w:rFonts w:ascii="Verdana" w:eastAsia="Times New Roman" w:hAnsi="Verdana" w:cs="Times New Roman"/>
                <w:color w:val="191919"/>
                <w:sz w:val="20"/>
                <w:szCs w:val="20"/>
                <w:lang w:eastAsia="en-GB"/>
              </w:rPr>
              <w:t>l</w:t>
            </w:r>
            <w:r w:rsidRPr="00594569">
              <w:rPr>
                <w:rFonts w:ascii="Verdana" w:eastAsia="Times New Roman" w:hAnsi="Verdana" w:cs="Times New Roman"/>
                <w:color w:val="191919"/>
                <w:sz w:val="20"/>
                <w:szCs w:val="20"/>
                <w:lang w:eastAsia="en-GB"/>
              </w:rPr>
              <w:t>ife products with investment components and single premium policies with high cash/surrender value.</w:t>
            </w:r>
            <w:r w:rsidR="00CE075C">
              <w:rPr>
                <w:rFonts w:ascii="Verdana" w:eastAsia="Times New Roman" w:hAnsi="Verdana" w:cs="Times New Roman"/>
                <w:color w:val="191919"/>
                <w:sz w:val="20"/>
                <w:szCs w:val="20"/>
                <w:lang w:eastAsia="en-GB"/>
              </w:rPr>
              <w:t xml:space="preserve"> This included both direct writers and reinsurers.</w:t>
            </w:r>
          </w:p>
          <w:p w14:paraId="2E599FE4"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No use of virtual assets to date.</w:t>
            </w:r>
          </w:p>
        </w:tc>
      </w:tr>
      <w:tr w:rsidR="00594569" w14:paraId="58F167DB" w14:textId="77777777" w:rsidTr="00594569">
        <w:trPr>
          <w:trHeight w:val="2753"/>
        </w:trPr>
        <w:tc>
          <w:tcPr>
            <w:tcW w:w="2155" w:type="dxa"/>
          </w:tcPr>
          <w:p w14:paraId="2543406A" w14:textId="77777777" w:rsidR="00594569" w:rsidRPr="00594569" w:rsidRDefault="00594569" w:rsidP="00D95C49">
            <w:pPr>
              <w:spacing w:before="100" w:beforeAutospacing="1" w:after="100" w:afterAutospacing="1"/>
              <w:rPr>
                <w:rFonts w:ascii="Verdana" w:hAnsi="Verdana"/>
                <w:b/>
                <w:bCs/>
                <w:sz w:val="20"/>
                <w:szCs w:val="20"/>
              </w:rPr>
            </w:pPr>
            <w:r w:rsidRPr="00594569">
              <w:rPr>
                <w:rFonts w:ascii="Verdana" w:hAnsi="Verdana"/>
                <w:b/>
                <w:bCs/>
                <w:sz w:val="20"/>
                <w:szCs w:val="20"/>
              </w:rPr>
              <w:t>Types of Customers</w:t>
            </w:r>
          </w:p>
        </w:tc>
        <w:tc>
          <w:tcPr>
            <w:tcW w:w="7200" w:type="dxa"/>
          </w:tcPr>
          <w:p w14:paraId="742D34A7" w14:textId="3420EA1D"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 xml:space="preserve">86% of the domestic sector provides insurance coverage or services to </w:t>
            </w:r>
            <w:r w:rsidR="00CE075C">
              <w:rPr>
                <w:rFonts w:ascii="Verdana" w:eastAsia="Times New Roman" w:hAnsi="Verdana" w:cs="Times New Roman"/>
                <w:color w:val="191919"/>
                <w:sz w:val="20"/>
                <w:szCs w:val="20"/>
                <w:lang w:eastAsia="en-GB"/>
              </w:rPr>
              <w:t>n</w:t>
            </w:r>
            <w:r w:rsidRPr="00594569">
              <w:rPr>
                <w:rFonts w:ascii="Verdana" w:eastAsia="Times New Roman" w:hAnsi="Verdana" w:cs="Times New Roman"/>
                <w:color w:val="191919"/>
                <w:sz w:val="20"/>
                <w:szCs w:val="20"/>
                <w:lang w:eastAsia="en-GB"/>
              </w:rPr>
              <w:t xml:space="preserve">atural and or </w:t>
            </w:r>
            <w:r w:rsidR="00CE075C">
              <w:rPr>
                <w:rFonts w:ascii="Verdana" w:eastAsia="Times New Roman" w:hAnsi="Verdana" w:cs="Times New Roman"/>
                <w:color w:val="191919"/>
                <w:sz w:val="20"/>
                <w:szCs w:val="20"/>
                <w:lang w:eastAsia="en-GB"/>
              </w:rPr>
              <w:t>l</w:t>
            </w:r>
            <w:r w:rsidRPr="00594569">
              <w:rPr>
                <w:rFonts w:ascii="Verdana" w:eastAsia="Times New Roman" w:hAnsi="Verdana" w:cs="Times New Roman"/>
                <w:color w:val="191919"/>
                <w:sz w:val="20"/>
                <w:szCs w:val="20"/>
                <w:lang w:eastAsia="en-GB"/>
              </w:rPr>
              <w:t xml:space="preserve">egal </w:t>
            </w:r>
            <w:r w:rsidR="00CE075C">
              <w:rPr>
                <w:rFonts w:ascii="Verdana" w:eastAsia="Times New Roman" w:hAnsi="Verdana" w:cs="Times New Roman"/>
                <w:color w:val="191919"/>
                <w:sz w:val="20"/>
                <w:szCs w:val="20"/>
                <w:lang w:eastAsia="en-GB"/>
              </w:rPr>
              <w:t>p</w:t>
            </w:r>
            <w:r w:rsidRPr="00594569">
              <w:rPr>
                <w:rFonts w:ascii="Verdana" w:eastAsia="Times New Roman" w:hAnsi="Verdana" w:cs="Times New Roman"/>
                <w:color w:val="191919"/>
                <w:sz w:val="20"/>
                <w:szCs w:val="20"/>
                <w:lang w:eastAsia="en-GB"/>
              </w:rPr>
              <w:t>ersons.</w:t>
            </w:r>
          </w:p>
          <w:p w14:paraId="0549D838" w14:textId="0C9B1CB6"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 xml:space="preserve">23% of the domestic sector provides insurance coverage or services to PEPs and/or </w:t>
            </w:r>
            <w:r w:rsidR="00CE075C">
              <w:rPr>
                <w:rFonts w:ascii="Verdana" w:eastAsia="Times New Roman" w:hAnsi="Verdana" w:cs="Times New Roman"/>
                <w:color w:val="191919"/>
                <w:sz w:val="20"/>
                <w:szCs w:val="20"/>
                <w:lang w:eastAsia="en-GB"/>
              </w:rPr>
              <w:t>h</w:t>
            </w:r>
            <w:r w:rsidRPr="00594569">
              <w:rPr>
                <w:rFonts w:ascii="Verdana" w:eastAsia="Times New Roman" w:hAnsi="Verdana" w:cs="Times New Roman"/>
                <w:color w:val="191919"/>
                <w:sz w:val="20"/>
                <w:szCs w:val="20"/>
                <w:lang w:eastAsia="en-GB"/>
              </w:rPr>
              <w:t xml:space="preserve">igh </w:t>
            </w:r>
            <w:r w:rsidR="00CE075C">
              <w:rPr>
                <w:rFonts w:ascii="Verdana" w:eastAsia="Times New Roman" w:hAnsi="Verdana" w:cs="Times New Roman"/>
                <w:color w:val="191919"/>
                <w:sz w:val="20"/>
                <w:szCs w:val="20"/>
                <w:lang w:eastAsia="en-GB"/>
              </w:rPr>
              <w:t>n</w:t>
            </w:r>
            <w:r w:rsidRPr="00594569">
              <w:rPr>
                <w:rFonts w:ascii="Verdana" w:eastAsia="Times New Roman" w:hAnsi="Verdana" w:cs="Times New Roman"/>
                <w:color w:val="191919"/>
                <w:sz w:val="20"/>
                <w:szCs w:val="20"/>
                <w:lang w:eastAsia="en-GB"/>
              </w:rPr>
              <w:t xml:space="preserve">et </w:t>
            </w:r>
            <w:r w:rsidR="00CE075C">
              <w:rPr>
                <w:rFonts w:ascii="Verdana" w:eastAsia="Times New Roman" w:hAnsi="Verdana" w:cs="Times New Roman"/>
                <w:color w:val="191919"/>
                <w:sz w:val="20"/>
                <w:szCs w:val="20"/>
                <w:lang w:eastAsia="en-GB"/>
              </w:rPr>
              <w:t>w</w:t>
            </w:r>
            <w:r w:rsidRPr="00594569">
              <w:rPr>
                <w:rFonts w:ascii="Verdana" w:eastAsia="Times New Roman" w:hAnsi="Verdana" w:cs="Times New Roman"/>
                <w:color w:val="191919"/>
                <w:sz w:val="20"/>
                <w:szCs w:val="20"/>
                <w:lang w:eastAsia="en-GB"/>
              </w:rPr>
              <w:t xml:space="preserve">orth </w:t>
            </w:r>
            <w:r w:rsidR="00CE075C">
              <w:rPr>
                <w:rFonts w:ascii="Verdana" w:eastAsia="Times New Roman" w:hAnsi="Verdana" w:cs="Times New Roman"/>
                <w:color w:val="191919"/>
                <w:sz w:val="20"/>
                <w:szCs w:val="20"/>
                <w:lang w:eastAsia="en-GB"/>
              </w:rPr>
              <w:t>i</w:t>
            </w:r>
            <w:r w:rsidRPr="00594569">
              <w:rPr>
                <w:rFonts w:ascii="Verdana" w:eastAsia="Times New Roman" w:hAnsi="Verdana" w:cs="Times New Roman"/>
                <w:color w:val="191919"/>
                <w:sz w:val="20"/>
                <w:szCs w:val="20"/>
                <w:lang w:eastAsia="en-GB"/>
              </w:rPr>
              <w:t>ndividuals</w:t>
            </w:r>
          </w:p>
          <w:p w14:paraId="7CF87F08"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18% of the domestic sector provides insurance coverage of services to Trusts or similar types of legal arrangements.</w:t>
            </w:r>
          </w:p>
          <w:p w14:paraId="642E59EE"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86% of the international insurers offer (re)insurance coverage to their corporate shareholders and affiliates (pure captives).</w:t>
            </w:r>
          </w:p>
          <w:p w14:paraId="613CDB65" w14:textId="10B6C8CF"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 xml:space="preserve">13% of the international sector provides insurance coverage or services to PEPs and/or </w:t>
            </w:r>
            <w:r w:rsidR="00CE075C">
              <w:rPr>
                <w:rFonts w:ascii="Verdana" w:eastAsia="Times New Roman" w:hAnsi="Verdana" w:cs="Times New Roman"/>
                <w:color w:val="191919"/>
                <w:sz w:val="20"/>
                <w:szCs w:val="20"/>
                <w:lang w:eastAsia="en-GB"/>
              </w:rPr>
              <w:t>h</w:t>
            </w:r>
            <w:r w:rsidRPr="00594569">
              <w:rPr>
                <w:rFonts w:ascii="Verdana" w:eastAsia="Times New Roman" w:hAnsi="Verdana" w:cs="Times New Roman"/>
                <w:color w:val="191919"/>
                <w:sz w:val="20"/>
                <w:szCs w:val="20"/>
                <w:lang w:eastAsia="en-GB"/>
              </w:rPr>
              <w:t xml:space="preserve">igh </w:t>
            </w:r>
            <w:r w:rsidR="00CE075C">
              <w:rPr>
                <w:rFonts w:ascii="Verdana" w:eastAsia="Times New Roman" w:hAnsi="Verdana" w:cs="Times New Roman"/>
                <w:color w:val="191919"/>
                <w:sz w:val="20"/>
                <w:szCs w:val="20"/>
                <w:lang w:eastAsia="en-GB"/>
              </w:rPr>
              <w:t>n</w:t>
            </w:r>
            <w:r w:rsidRPr="00594569">
              <w:rPr>
                <w:rFonts w:ascii="Verdana" w:eastAsia="Times New Roman" w:hAnsi="Verdana" w:cs="Times New Roman"/>
                <w:color w:val="191919"/>
                <w:sz w:val="20"/>
                <w:szCs w:val="20"/>
                <w:lang w:eastAsia="en-GB"/>
              </w:rPr>
              <w:t xml:space="preserve">et </w:t>
            </w:r>
            <w:r w:rsidR="00CE075C">
              <w:rPr>
                <w:rFonts w:ascii="Verdana" w:eastAsia="Times New Roman" w:hAnsi="Verdana" w:cs="Times New Roman"/>
                <w:color w:val="191919"/>
                <w:sz w:val="20"/>
                <w:szCs w:val="20"/>
                <w:lang w:eastAsia="en-GB"/>
              </w:rPr>
              <w:t>w</w:t>
            </w:r>
            <w:r w:rsidRPr="00594569">
              <w:rPr>
                <w:rFonts w:ascii="Verdana" w:eastAsia="Times New Roman" w:hAnsi="Verdana" w:cs="Times New Roman"/>
                <w:color w:val="191919"/>
                <w:sz w:val="20"/>
                <w:szCs w:val="20"/>
                <w:lang w:eastAsia="en-GB"/>
              </w:rPr>
              <w:t xml:space="preserve">orth </w:t>
            </w:r>
            <w:r w:rsidR="00CE075C">
              <w:rPr>
                <w:rFonts w:ascii="Verdana" w:eastAsia="Times New Roman" w:hAnsi="Verdana" w:cs="Times New Roman"/>
                <w:color w:val="191919"/>
                <w:sz w:val="20"/>
                <w:szCs w:val="20"/>
                <w:lang w:eastAsia="en-GB"/>
              </w:rPr>
              <w:t>i</w:t>
            </w:r>
            <w:r w:rsidRPr="00594569">
              <w:rPr>
                <w:rFonts w:ascii="Verdana" w:eastAsia="Times New Roman" w:hAnsi="Verdana" w:cs="Times New Roman"/>
                <w:color w:val="191919"/>
                <w:sz w:val="20"/>
                <w:szCs w:val="20"/>
                <w:lang w:eastAsia="en-GB"/>
              </w:rPr>
              <w:t>ndividuals (including UBO’s and affiliated persons).</w:t>
            </w:r>
          </w:p>
          <w:p w14:paraId="76B9AD05"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1% of the international sector provides insurance coverage of services to Trusts or similar types of legal arrangements.</w:t>
            </w:r>
          </w:p>
          <w:p w14:paraId="4C2F9845"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Less than 3% of Licensees have engaged in business transactions with countries subject to sanctions.</w:t>
            </w:r>
          </w:p>
        </w:tc>
      </w:tr>
      <w:tr w:rsidR="00594569" w14:paraId="7BCBC270" w14:textId="77777777" w:rsidTr="00594569">
        <w:tc>
          <w:tcPr>
            <w:tcW w:w="2155" w:type="dxa"/>
          </w:tcPr>
          <w:p w14:paraId="402A1FC4" w14:textId="77777777" w:rsidR="00594569" w:rsidRPr="00594569" w:rsidRDefault="00594569" w:rsidP="00D95C49">
            <w:pPr>
              <w:spacing w:before="100" w:beforeAutospacing="1" w:after="100" w:afterAutospacing="1"/>
              <w:rPr>
                <w:rFonts w:ascii="Verdana" w:hAnsi="Verdana"/>
                <w:b/>
                <w:bCs/>
                <w:sz w:val="20"/>
                <w:szCs w:val="20"/>
              </w:rPr>
            </w:pPr>
            <w:r w:rsidRPr="00594569">
              <w:rPr>
                <w:rFonts w:ascii="Verdana" w:hAnsi="Verdana"/>
                <w:b/>
                <w:bCs/>
                <w:sz w:val="20"/>
                <w:szCs w:val="20"/>
              </w:rPr>
              <w:t>Distribution Channels</w:t>
            </w:r>
          </w:p>
        </w:tc>
        <w:tc>
          <w:tcPr>
            <w:tcW w:w="7200" w:type="dxa"/>
          </w:tcPr>
          <w:p w14:paraId="2641EB84"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Only 7% of the domestic sector has sales channels that are not face-to-face.</w:t>
            </w:r>
          </w:p>
          <w:p w14:paraId="49F4ED29"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23% of the domestic sector utilizes an online platform for soliciting business and marketing.</w:t>
            </w:r>
          </w:p>
          <w:p w14:paraId="543B1F4D"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lastRenderedPageBreak/>
              <w:t>Only 2% of the international sector has sales channels that are not face-to-face, including through an intermediary or online platform.</w:t>
            </w:r>
          </w:p>
          <w:p w14:paraId="7B2CABE7" w14:textId="77777777" w:rsidR="00594569" w:rsidRPr="00594569" w:rsidRDefault="00594569" w:rsidP="00594569">
            <w:pPr>
              <w:pStyle w:val="ListParagraph"/>
              <w:spacing w:before="100" w:beforeAutospacing="1" w:after="100" w:afterAutospacing="1"/>
              <w:ind w:left="144"/>
              <w:jc w:val="both"/>
              <w:rPr>
                <w:rFonts w:ascii="Verdana" w:eastAsia="Times New Roman" w:hAnsi="Verdana" w:cs="Times New Roman"/>
                <w:color w:val="191919"/>
                <w:sz w:val="20"/>
                <w:szCs w:val="20"/>
                <w:lang w:eastAsia="en-GB"/>
              </w:rPr>
            </w:pPr>
          </w:p>
        </w:tc>
      </w:tr>
      <w:tr w:rsidR="00594569" w14:paraId="51A6AF7D" w14:textId="77777777" w:rsidTr="00594569">
        <w:tc>
          <w:tcPr>
            <w:tcW w:w="2155" w:type="dxa"/>
          </w:tcPr>
          <w:p w14:paraId="52EF36E7" w14:textId="77777777" w:rsidR="00594569" w:rsidRPr="00594569" w:rsidRDefault="00594569" w:rsidP="00D95C49">
            <w:pPr>
              <w:spacing w:before="100" w:beforeAutospacing="1" w:after="100" w:afterAutospacing="1"/>
              <w:rPr>
                <w:rFonts w:ascii="Verdana" w:hAnsi="Verdana"/>
                <w:b/>
                <w:bCs/>
                <w:sz w:val="20"/>
                <w:szCs w:val="20"/>
              </w:rPr>
            </w:pPr>
            <w:r w:rsidRPr="00594569">
              <w:rPr>
                <w:rFonts w:ascii="Verdana" w:hAnsi="Verdana"/>
                <w:b/>
                <w:bCs/>
                <w:sz w:val="20"/>
                <w:szCs w:val="20"/>
              </w:rPr>
              <w:lastRenderedPageBreak/>
              <w:t>Methods of Payment</w:t>
            </w:r>
          </w:p>
        </w:tc>
        <w:tc>
          <w:tcPr>
            <w:tcW w:w="7200" w:type="dxa"/>
          </w:tcPr>
          <w:p w14:paraId="653E02E6"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 xml:space="preserve">Less than 1% of the international sector have written policies which have an additional top-up feature. </w:t>
            </w:r>
          </w:p>
          <w:p w14:paraId="17022B64"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 xml:space="preserve">Only 8% of the domestic sector have written policies which have an additional top-up feature. </w:t>
            </w:r>
          </w:p>
          <w:p w14:paraId="49475C24" w14:textId="77777777" w:rsidR="00594569" w:rsidRPr="00594569" w:rsidRDefault="00594569" w:rsidP="00D95C49">
            <w:pPr>
              <w:pStyle w:val="ListParagraph"/>
              <w:numPr>
                <w:ilvl w:val="0"/>
                <w:numId w:val="9"/>
              </w:numPr>
              <w:spacing w:before="100" w:beforeAutospacing="1" w:after="100" w:afterAutospacing="1"/>
              <w:ind w:left="144" w:hanging="142"/>
              <w:jc w:val="both"/>
              <w:rPr>
                <w:rFonts w:ascii="Verdana" w:eastAsia="Times New Roman" w:hAnsi="Verdana" w:cs="Times New Roman"/>
                <w:color w:val="191919"/>
                <w:sz w:val="20"/>
                <w:szCs w:val="20"/>
                <w:lang w:eastAsia="en-GB"/>
              </w:rPr>
            </w:pPr>
            <w:r w:rsidRPr="00594569">
              <w:rPr>
                <w:rFonts w:ascii="Verdana" w:eastAsia="Times New Roman" w:hAnsi="Verdana" w:cs="Times New Roman"/>
                <w:color w:val="191919"/>
                <w:sz w:val="20"/>
                <w:szCs w:val="20"/>
                <w:lang w:eastAsia="en-GB"/>
              </w:rPr>
              <w:t>40% of the domestic and international sectors have accepted premium payments by cash. The remaining 60% have accepted premium payments by other means including wire transfer, cheque and direct debit transactions.</w:t>
            </w:r>
          </w:p>
        </w:tc>
      </w:tr>
    </w:tbl>
    <w:p w14:paraId="69487D46" w14:textId="4293D6A3" w:rsidR="00594569" w:rsidRDefault="00594569" w:rsidP="00361167">
      <w:pPr>
        <w:jc w:val="both"/>
        <w:rPr>
          <w:rFonts w:ascii="Verdana" w:hAnsi="Verdana"/>
          <w:sz w:val="20"/>
          <w:szCs w:val="20"/>
        </w:rPr>
      </w:pPr>
    </w:p>
    <w:p w14:paraId="47D3BCC3" w14:textId="5AB9EE6D" w:rsidR="002D5765" w:rsidRPr="00C65B87" w:rsidRDefault="002D5765" w:rsidP="00C65B87">
      <w:pPr>
        <w:spacing w:after="0"/>
        <w:jc w:val="both"/>
        <w:rPr>
          <w:rFonts w:ascii="Verdana" w:hAnsi="Verdana"/>
          <w:color w:val="000000" w:themeColor="text1"/>
          <w:sz w:val="20"/>
          <w:szCs w:val="20"/>
        </w:rPr>
      </w:pPr>
      <w:r w:rsidRPr="00C65B87">
        <w:rPr>
          <w:rFonts w:ascii="Verdana" w:hAnsi="Verdana"/>
          <w:color w:val="000000" w:themeColor="text1"/>
          <w:sz w:val="20"/>
          <w:szCs w:val="20"/>
        </w:rPr>
        <w:t xml:space="preserve">When breaking down the </w:t>
      </w:r>
      <w:r>
        <w:rPr>
          <w:rFonts w:ascii="Verdana" w:hAnsi="Verdana"/>
          <w:color w:val="000000" w:themeColor="text1"/>
          <w:sz w:val="20"/>
          <w:szCs w:val="20"/>
        </w:rPr>
        <w:t>Insurance</w:t>
      </w:r>
      <w:r w:rsidRPr="00C65B87">
        <w:rPr>
          <w:rFonts w:ascii="Verdana" w:hAnsi="Verdana"/>
          <w:color w:val="000000" w:themeColor="text1"/>
          <w:sz w:val="20"/>
          <w:szCs w:val="20"/>
        </w:rPr>
        <w:t xml:space="preserve"> sectoral risk allocation into </w:t>
      </w:r>
      <w:r>
        <w:rPr>
          <w:rFonts w:ascii="Verdana" w:hAnsi="Verdana"/>
          <w:color w:val="000000" w:themeColor="text1"/>
          <w:sz w:val="20"/>
          <w:szCs w:val="20"/>
        </w:rPr>
        <w:t>n</w:t>
      </w:r>
      <w:r w:rsidRPr="00C65B87">
        <w:rPr>
          <w:rFonts w:ascii="Verdana" w:hAnsi="Verdana"/>
          <w:sz w:val="20"/>
          <w:szCs w:val="20"/>
        </w:rPr>
        <w:t>ature, size and complexity of business</w:t>
      </w:r>
      <w:r w:rsidRPr="00C65B87">
        <w:rPr>
          <w:rFonts w:ascii="Verdana" w:hAnsi="Verdana"/>
          <w:color w:val="000000" w:themeColor="text1"/>
          <w:sz w:val="20"/>
          <w:szCs w:val="20"/>
        </w:rPr>
        <w:t xml:space="preserve">, </w:t>
      </w:r>
      <w:r>
        <w:rPr>
          <w:rFonts w:ascii="Verdana" w:hAnsi="Verdana"/>
          <w:sz w:val="20"/>
          <w:szCs w:val="20"/>
        </w:rPr>
        <w:t>ge</w:t>
      </w:r>
      <w:r w:rsidRPr="00C65B87">
        <w:rPr>
          <w:rFonts w:ascii="Verdana" w:hAnsi="Verdana"/>
          <w:sz w:val="20"/>
          <w:szCs w:val="20"/>
        </w:rPr>
        <w:t xml:space="preserve">ographical reach, </w:t>
      </w:r>
      <w:r w:rsidR="00D75C49">
        <w:rPr>
          <w:rFonts w:ascii="Verdana" w:hAnsi="Verdana"/>
          <w:sz w:val="20"/>
          <w:szCs w:val="20"/>
        </w:rPr>
        <w:t>p</w:t>
      </w:r>
      <w:r w:rsidRPr="00C65B87">
        <w:rPr>
          <w:rFonts w:ascii="Verdana" w:hAnsi="Verdana"/>
          <w:sz w:val="20"/>
          <w:szCs w:val="20"/>
        </w:rPr>
        <w:t xml:space="preserve">roducts and </w:t>
      </w:r>
      <w:r w:rsidR="00D75C49">
        <w:rPr>
          <w:rFonts w:ascii="Verdana" w:hAnsi="Verdana"/>
          <w:sz w:val="20"/>
          <w:szCs w:val="20"/>
        </w:rPr>
        <w:t>s</w:t>
      </w:r>
      <w:r w:rsidRPr="00C65B87">
        <w:rPr>
          <w:rFonts w:ascii="Verdana" w:hAnsi="Verdana"/>
          <w:sz w:val="20"/>
          <w:szCs w:val="20"/>
        </w:rPr>
        <w:t xml:space="preserve">ervices, </w:t>
      </w:r>
      <w:r w:rsidR="00D75C49">
        <w:rPr>
          <w:rFonts w:ascii="Verdana" w:hAnsi="Verdana"/>
          <w:sz w:val="20"/>
          <w:szCs w:val="20"/>
        </w:rPr>
        <w:t>t</w:t>
      </w:r>
      <w:r w:rsidRPr="00C65B87">
        <w:rPr>
          <w:rFonts w:ascii="Verdana" w:hAnsi="Verdana"/>
          <w:sz w:val="20"/>
          <w:szCs w:val="20"/>
        </w:rPr>
        <w:t xml:space="preserve">ypes of </w:t>
      </w:r>
      <w:r w:rsidR="00D75C49">
        <w:rPr>
          <w:rFonts w:ascii="Verdana" w:hAnsi="Verdana"/>
          <w:sz w:val="20"/>
          <w:szCs w:val="20"/>
        </w:rPr>
        <w:t>c</w:t>
      </w:r>
      <w:r w:rsidRPr="00C65B87">
        <w:rPr>
          <w:rFonts w:ascii="Verdana" w:hAnsi="Verdana"/>
          <w:sz w:val="20"/>
          <w:szCs w:val="20"/>
        </w:rPr>
        <w:t>ustomers,</w:t>
      </w:r>
      <w:r w:rsidR="00D75C49">
        <w:rPr>
          <w:rFonts w:ascii="Verdana" w:hAnsi="Verdana"/>
          <w:sz w:val="20"/>
          <w:szCs w:val="20"/>
        </w:rPr>
        <w:t xml:space="preserve"> d</w:t>
      </w:r>
      <w:r w:rsidRPr="00C65B87">
        <w:rPr>
          <w:rFonts w:ascii="Verdana" w:hAnsi="Verdana"/>
          <w:sz w:val="20"/>
          <w:szCs w:val="20"/>
        </w:rPr>
        <w:t xml:space="preserve">istribution </w:t>
      </w:r>
      <w:r w:rsidR="00D75C49">
        <w:rPr>
          <w:rFonts w:ascii="Verdana" w:hAnsi="Verdana"/>
          <w:sz w:val="20"/>
          <w:szCs w:val="20"/>
        </w:rPr>
        <w:t>c</w:t>
      </w:r>
      <w:r w:rsidRPr="00C65B87">
        <w:rPr>
          <w:rFonts w:ascii="Verdana" w:hAnsi="Verdana"/>
          <w:sz w:val="20"/>
          <w:szCs w:val="20"/>
        </w:rPr>
        <w:t>hannels and methods of payments,</w:t>
      </w:r>
      <w:r w:rsidRPr="002D5765">
        <w:rPr>
          <w:rFonts w:ascii="Verdana" w:hAnsi="Verdana"/>
          <w:color w:val="000000" w:themeColor="text1"/>
          <w:sz w:val="20"/>
          <w:szCs w:val="20"/>
        </w:rPr>
        <w:t xml:space="preserve"> </w:t>
      </w:r>
      <w:r w:rsidRPr="00C65B87">
        <w:rPr>
          <w:rFonts w:ascii="Verdana" w:hAnsi="Verdana"/>
          <w:color w:val="000000" w:themeColor="text1"/>
          <w:sz w:val="20"/>
          <w:szCs w:val="20"/>
        </w:rPr>
        <w:t>the following inherent risk ratings are assigned:</w:t>
      </w:r>
    </w:p>
    <w:p w14:paraId="20FD6A5F" w14:textId="77777777" w:rsidR="002D5765" w:rsidRPr="00101474" w:rsidRDefault="002D5765" w:rsidP="002D5765">
      <w:pPr>
        <w:pStyle w:val="ListParagraph"/>
        <w:jc w:val="both"/>
        <w:rPr>
          <w:rFonts w:ascii="Verdana" w:hAnsi="Verdana"/>
          <w:color w:val="000000" w:themeColor="text1"/>
          <w:sz w:val="20"/>
          <w:szCs w:val="20"/>
        </w:rPr>
      </w:pPr>
    </w:p>
    <w:tbl>
      <w:tblPr>
        <w:tblStyle w:val="TableGrid"/>
        <w:tblW w:w="8550" w:type="dxa"/>
        <w:tblInd w:w="535" w:type="dxa"/>
        <w:tblLook w:val="04A0" w:firstRow="1" w:lastRow="0" w:firstColumn="1" w:lastColumn="0" w:noHBand="0" w:noVBand="1"/>
      </w:tblPr>
      <w:tblGrid>
        <w:gridCol w:w="3015"/>
        <w:gridCol w:w="5535"/>
      </w:tblGrid>
      <w:tr w:rsidR="002D5765" w:rsidRPr="00674312" w14:paraId="2102E4A2" w14:textId="77777777" w:rsidTr="00C65B87">
        <w:tc>
          <w:tcPr>
            <w:tcW w:w="3015" w:type="dxa"/>
            <w:shd w:val="clear" w:color="auto" w:fill="FFFF00"/>
          </w:tcPr>
          <w:p w14:paraId="34E676B5" w14:textId="77777777" w:rsidR="002D5765" w:rsidRPr="00674312" w:rsidRDefault="002D5765" w:rsidP="00D374B4">
            <w:pPr>
              <w:spacing w:before="100" w:beforeAutospacing="1" w:after="100" w:afterAutospacing="1"/>
              <w:jc w:val="both"/>
              <w:rPr>
                <w:rFonts w:ascii="Verdana" w:eastAsia="Times New Roman" w:hAnsi="Verdana" w:cs="Times New Roman"/>
                <w:color w:val="191919"/>
                <w:sz w:val="20"/>
                <w:szCs w:val="20"/>
                <w:lang w:eastAsia="en-GB"/>
              </w:rPr>
            </w:pPr>
            <w:bookmarkStart w:id="1" w:name="_Hlk30520226"/>
            <w:r>
              <w:rPr>
                <w:rFonts w:ascii="Verdana" w:eastAsia="Times New Roman" w:hAnsi="Verdana" w:cs="Times New Roman"/>
                <w:color w:val="191919"/>
                <w:sz w:val="20"/>
                <w:szCs w:val="20"/>
                <w:lang w:eastAsia="en-GB"/>
              </w:rPr>
              <w:t>Nature, Size and Complexity</w:t>
            </w:r>
          </w:p>
        </w:tc>
        <w:tc>
          <w:tcPr>
            <w:tcW w:w="5535" w:type="dxa"/>
            <w:shd w:val="clear" w:color="auto" w:fill="FFFF00"/>
          </w:tcPr>
          <w:p w14:paraId="0864E070" w14:textId="03859C1A" w:rsidR="002D5765" w:rsidRPr="00674312" w:rsidRDefault="00D75C49" w:rsidP="00D374B4">
            <w:pPr>
              <w:spacing w:before="100" w:beforeAutospacing="1" w:after="100" w:afterAutospacing="1"/>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Low</w:t>
            </w:r>
          </w:p>
        </w:tc>
      </w:tr>
      <w:tr w:rsidR="002D5765" w:rsidRPr="00101474" w14:paraId="1A89BF56" w14:textId="77777777" w:rsidTr="00C65B87">
        <w:tc>
          <w:tcPr>
            <w:tcW w:w="3015" w:type="dxa"/>
            <w:tcBorders>
              <w:bottom w:val="single" w:sz="4" w:space="0" w:color="auto"/>
            </w:tcBorders>
            <w:shd w:val="clear" w:color="auto" w:fill="F79646" w:themeFill="accent6"/>
          </w:tcPr>
          <w:p w14:paraId="0709DA52" w14:textId="0F09EEB7" w:rsidR="002D5765" w:rsidRPr="00101474" w:rsidRDefault="00D75C49" w:rsidP="00D374B4">
            <w:pPr>
              <w:spacing w:before="100" w:beforeAutospacing="1" w:after="100" w:afterAutospacing="1"/>
              <w:jc w:val="both"/>
              <w:rPr>
                <w:rFonts w:ascii="Verdana" w:eastAsia="Times New Roman" w:hAnsi="Verdana" w:cs="Times New Roman"/>
                <w:color w:val="191919"/>
                <w:sz w:val="20"/>
                <w:szCs w:val="20"/>
                <w:lang w:eastAsia="en-GB"/>
              </w:rPr>
            </w:pPr>
            <w:r w:rsidRPr="00101474">
              <w:rPr>
                <w:rFonts w:ascii="Verdana" w:eastAsia="Times New Roman" w:hAnsi="Verdana" w:cs="Times New Roman"/>
                <w:color w:val="191919"/>
                <w:sz w:val="20"/>
                <w:szCs w:val="20"/>
                <w:lang w:eastAsia="en-GB"/>
              </w:rPr>
              <w:t xml:space="preserve">Product/Service Risks </w:t>
            </w:r>
          </w:p>
        </w:tc>
        <w:tc>
          <w:tcPr>
            <w:tcW w:w="5535" w:type="dxa"/>
            <w:tcBorders>
              <w:bottom w:val="single" w:sz="4" w:space="0" w:color="auto"/>
            </w:tcBorders>
            <w:shd w:val="clear" w:color="auto" w:fill="F79646" w:themeFill="accent6"/>
          </w:tcPr>
          <w:p w14:paraId="2009297F" w14:textId="3C0F8FF0" w:rsidR="002D5765" w:rsidRPr="00101474" w:rsidRDefault="002D5765" w:rsidP="00D374B4">
            <w:pPr>
              <w:spacing w:before="100" w:beforeAutospacing="1" w:after="100" w:afterAutospacing="1"/>
              <w:jc w:val="both"/>
              <w:rPr>
                <w:rFonts w:ascii="Verdana" w:eastAsia="Times New Roman" w:hAnsi="Verdana" w:cs="Times New Roman"/>
                <w:color w:val="191919"/>
                <w:sz w:val="20"/>
                <w:szCs w:val="20"/>
                <w:lang w:eastAsia="en-GB"/>
              </w:rPr>
            </w:pPr>
            <w:r w:rsidRPr="00101474">
              <w:rPr>
                <w:rFonts w:ascii="Verdana" w:eastAsia="Times New Roman" w:hAnsi="Verdana" w:cs="Times New Roman"/>
                <w:color w:val="191919"/>
                <w:sz w:val="20"/>
                <w:szCs w:val="20"/>
                <w:lang w:eastAsia="en-GB"/>
              </w:rPr>
              <w:t>Medium-</w:t>
            </w:r>
            <w:r w:rsidR="00D75C49">
              <w:rPr>
                <w:rFonts w:ascii="Verdana" w:eastAsia="Times New Roman" w:hAnsi="Verdana" w:cs="Times New Roman"/>
                <w:color w:val="191919"/>
                <w:sz w:val="20"/>
                <w:szCs w:val="20"/>
                <w:lang w:eastAsia="en-GB"/>
              </w:rPr>
              <w:t>Low</w:t>
            </w:r>
          </w:p>
        </w:tc>
      </w:tr>
      <w:tr w:rsidR="002D5765" w:rsidRPr="00101474" w14:paraId="65F779CC" w14:textId="77777777" w:rsidTr="00C65B87">
        <w:tc>
          <w:tcPr>
            <w:tcW w:w="3015" w:type="dxa"/>
            <w:shd w:val="clear" w:color="auto" w:fill="E36C0A" w:themeFill="accent6" w:themeFillShade="BF"/>
          </w:tcPr>
          <w:p w14:paraId="317E03AF" w14:textId="022D8ECA" w:rsidR="002D5765" w:rsidRPr="00101474" w:rsidRDefault="00D75C49" w:rsidP="00D374B4">
            <w:pPr>
              <w:spacing w:before="100" w:beforeAutospacing="1" w:after="100" w:afterAutospacing="1"/>
              <w:jc w:val="both"/>
              <w:rPr>
                <w:rFonts w:ascii="Verdana" w:eastAsia="Times New Roman" w:hAnsi="Verdana" w:cs="Times New Roman"/>
                <w:color w:val="191919"/>
                <w:sz w:val="20"/>
                <w:szCs w:val="20"/>
                <w:lang w:eastAsia="en-GB"/>
              </w:rPr>
            </w:pPr>
            <w:r w:rsidRPr="00101474">
              <w:rPr>
                <w:rFonts w:ascii="Verdana" w:eastAsia="Times New Roman" w:hAnsi="Verdana" w:cs="Times New Roman"/>
                <w:color w:val="191919"/>
                <w:sz w:val="20"/>
                <w:szCs w:val="20"/>
                <w:lang w:eastAsia="en-GB"/>
              </w:rPr>
              <w:t>Delivery Channel Risks</w:t>
            </w:r>
          </w:p>
        </w:tc>
        <w:tc>
          <w:tcPr>
            <w:tcW w:w="5535" w:type="dxa"/>
            <w:shd w:val="clear" w:color="auto" w:fill="E36C0A" w:themeFill="accent6" w:themeFillShade="BF"/>
          </w:tcPr>
          <w:p w14:paraId="4A602851" w14:textId="77838C0C" w:rsidR="002D5765" w:rsidRPr="00101474" w:rsidRDefault="00D75C49" w:rsidP="00D374B4">
            <w:pPr>
              <w:spacing w:before="100" w:beforeAutospacing="1" w:after="100" w:afterAutospacing="1"/>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Medium-high</w:t>
            </w:r>
          </w:p>
        </w:tc>
      </w:tr>
      <w:tr w:rsidR="002D5765" w:rsidRPr="00101474" w14:paraId="429006E8" w14:textId="77777777" w:rsidTr="00C65B87">
        <w:tc>
          <w:tcPr>
            <w:tcW w:w="3015" w:type="dxa"/>
            <w:shd w:val="clear" w:color="auto" w:fill="F79646" w:themeFill="accent6"/>
          </w:tcPr>
          <w:p w14:paraId="62088729" w14:textId="784CF6BC" w:rsidR="002D5765" w:rsidRPr="00101474" w:rsidRDefault="00D75C49" w:rsidP="00D374B4">
            <w:pPr>
              <w:spacing w:before="100" w:beforeAutospacing="1" w:after="100" w:afterAutospacing="1"/>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Customer Types</w:t>
            </w:r>
          </w:p>
        </w:tc>
        <w:tc>
          <w:tcPr>
            <w:tcW w:w="5535" w:type="dxa"/>
            <w:shd w:val="clear" w:color="auto" w:fill="F79646" w:themeFill="accent6"/>
          </w:tcPr>
          <w:p w14:paraId="7C3619FD" w14:textId="7389D8FF" w:rsidR="002D5765" w:rsidRPr="00101474" w:rsidRDefault="002D5765" w:rsidP="00D374B4">
            <w:pPr>
              <w:spacing w:before="100" w:beforeAutospacing="1" w:after="100" w:afterAutospacing="1"/>
              <w:jc w:val="both"/>
              <w:rPr>
                <w:rFonts w:ascii="Verdana" w:eastAsia="Times New Roman" w:hAnsi="Verdana" w:cs="Times New Roman"/>
                <w:color w:val="191919"/>
                <w:sz w:val="20"/>
                <w:szCs w:val="20"/>
                <w:lang w:eastAsia="en-GB"/>
              </w:rPr>
            </w:pPr>
            <w:r w:rsidRPr="00101474">
              <w:rPr>
                <w:rFonts w:ascii="Verdana" w:eastAsia="Times New Roman" w:hAnsi="Verdana" w:cs="Times New Roman"/>
                <w:color w:val="191919"/>
                <w:sz w:val="20"/>
                <w:szCs w:val="20"/>
                <w:lang w:eastAsia="en-GB"/>
              </w:rPr>
              <w:t>Medium-</w:t>
            </w:r>
            <w:r w:rsidR="00D75C49">
              <w:rPr>
                <w:rFonts w:ascii="Verdana" w:eastAsia="Times New Roman" w:hAnsi="Verdana" w:cs="Times New Roman"/>
                <w:color w:val="191919"/>
                <w:sz w:val="20"/>
                <w:szCs w:val="20"/>
                <w:lang w:eastAsia="en-GB"/>
              </w:rPr>
              <w:t>low</w:t>
            </w:r>
          </w:p>
        </w:tc>
      </w:tr>
      <w:tr w:rsidR="00D75C49" w:rsidRPr="00101474" w14:paraId="2BC3738F" w14:textId="77777777" w:rsidTr="00C65B87">
        <w:tc>
          <w:tcPr>
            <w:tcW w:w="3015" w:type="dxa"/>
            <w:shd w:val="clear" w:color="auto" w:fill="FFFF00"/>
          </w:tcPr>
          <w:p w14:paraId="0E688BB9" w14:textId="747DDA5C" w:rsidR="00D75C49" w:rsidRDefault="00D75C49" w:rsidP="00D374B4">
            <w:pPr>
              <w:spacing w:before="100" w:beforeAutospacing="1" w:after="100" w:afterAutospacing="1"/>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Geographical risk</w:t>
            </w:r>
          </w:p>
        </w:tc>
        <w:tc>
          <w:tcPr>
            <w:tcW w:w="5535" w:type="dxa"/>
            <w:shd w:val="clear" w:color="auto" w:fill="FFFF00"/>
          </w:tcPr>
          <w:p w14:paraId="5BC4E649" w14:textId="31EA15AA" w:rsidR="00D75C49" w:rsidRPr="00101474" w:rsidRDefault="00D75C49" w:rsidP="00D374B4">
            <w:pPr>
              <w:spacing w:before="100" w:beforeAutospacing="1" w:after="100" w:afterAutospacing="1"/>
              <w:jc w:val="both"/>
              <w:rPr>
                <w:rFonts w:ascii="Verdana" w:eastAsia="Times New Roman" w:hAnsi="Verdana" w:cs="Times New Roman"/>
                <w:color w:val="191919"/>
                <w:sz w:val="20"/>
                <w:szCs w:val="20"/>
                <w:lang w:eastAsia="en-GB"/>
              </w:rPr>
            </w:pPr>
            <w:r>
              <w:rPr>
                <w:rFonts w:ascii="Verdana" w:eastAsia="Times New Roman" w:hAnsi="Verdana" w:cs="Times New Roman"/>
                <w:color w:val="191919"/>
                <w:sz w:val="20"/>
                <w:szCs w:val="20"/>
                <w:lang w:eastAsia="en-GB"/>
              </w:rPr>
              <w:t>Low</w:t>
            </w:r>
          </w:p>
        </w:tc>
      </w:tr>
      <w:tr w:rsidR="002D5765" w:rsidRPr="00101474" w14:paraId="0879DE26" w14:textId="77777777" w:rsidTr="00C65B87">
        <w:tc>
          <w:tcPr>
            <w:tcW w:w="3015" w:type="dxa"/>
            <w:shd w:val="clear" w:color="auto" w:fill="F79646" w:themeFill="accent6"/>
          </w:tcPr>
          <w:p w14:paraId="2A65BFD5" w14:textId="77777777" w:rsidR="002D5765" w:rsidRPr="00101474" w:rsidRDefault="002D5765" w:rsidP="00D374B4">
            <w:pPr>
              <w:spacing w:before="100" w:beforeAutospacing="1" w:after="100" w:afterAutospacing="1"/>
              <w:jc w:val="both"/>
              <w:rPr>
                <w:rFonts w:ascii="Verdana" w:eastAsia="Times New Roman" w:hAnsi="Verdana" w:cs="Times New Roman"/>
                <w:b/>
                <w:bCs/>
                <w:color w:val="191919"/>
                <w:sz w:val="20"/>
                <w:szCs w:val="20"/>
                <w:lang w:eastAsia="en-GB"/>
              </w:rPr>
            </w:pPr>
            <w:r w:rsidRPr="00101474">
              <w:rPr>
                <w:rFonts w:ascii="Verdana" w:eastAsia="Times New Roman" w:hAnsi="Verdana" w:cs="Times New Roman"/>
                <w:b/>
                <w:bCs/>
                <w:color w:val="191919"/>
                <w:sz w:val="20"/>
                <w:szCs w:val="20"/>
                <w:lang w:eastAsia="en-GB"/>
              </w:rPr>
              <w:t>Overall</w:t>
            </w:r>
          </w:p>
        </w:tc>
        <w:tc>
          <w:tcPr>
            <w:tcW w:w="5535" w:type="dxa"/>
            <w:shd w:val="clear" w:color="auto" w:fill="F79646" w:themeFill="accent6"/>
          </w:tcPr>
          <w:p w14:paraId="1C7D2825" w14:textId="6676A93F" w:rsidR="002D5765" w:rsidRPr="00101474" w:rsidRDefault="002D5765" w:rsidP="00D374B4">
            <w:pPr>
              <w:spacing w:before="100" w:beforeAutospacing="1" w:after="100" w:afterAutospacing="1"/>
              <w:jc w:val="both"/>
              <w:rPr>
                <w:rFonts w:ascii="Verdana" w:eastAsia="Times New Roman" w:hAnsi="Verdana" w:cs="Times New Roman"/>
                <w:b/>
                <w:bCs/>
                <w:color w:val="191919"/>
                <w:sz w:val="20"/>
                <w:szCs w:val="20"/>
                <w:lang w:eastAsia="en-GB"/>
              </w:rPr>
            </w:pPr>
            <w:r w:rsidRPr="00101474">
              <w:rPr>
                <w:rFonts w:ascii="Verdana" w:eastAsia="Times New Roman" w:hAnsi="Verdana" w:cs="Times New Roman"/>
                <w:b/>
                <w:bCs/>
                <w:color w:val="191919"/>
                <w:sz w:val="20"/>
                <w:szCs w:val="20"/>
                <w:lang w:eastAsia="en-GB"/>
              </w:rPr>
              <w:t>Medium-</w:t>
            </w:r>
            <w:r w:rsidR="00D75C49">
              <w:rPr>
                <w:rFonts w:ascii="Verdana" w:eastAsia="Times New Roman" w:hAnsi="Verdana" w:cs="Times New Roman"/>
                <w:b/>
                <w:bCs/>
                <w:color w:val="191919"/>
                <w:sz w:val="20"/>
                <w:szCs w:val="20"/>
                <w:lang w:eastAsia="en-GB"/>
              </w:rPr>
              <w:t>low</w:t>
            </w:r>
          </w:p>
        </w:tc>
      </w:tr>
      <w:bookmarkEnd w:id="1"/>
    </w:tbl>
    <w:p w14:paraId="3C9E020F" w14:textId="14C1C0EF" w:rsidR="002D5765" w:rsidRDefault="002D5765" w:rsidP="00361167">
      <w:pPr>
        <w:jc w:val="both"/>
        <w:rPr>
          <w:rFonts w:ascii="Verdana" w:hAnsi="Verdana"/>
          <w:sz w:val="20"/>
          <w:szCs w:val="20"/>
        </w:rPr>
      </w:pPr>
    </w:p>
    <w:p w14:paraId="68134F3D" w14:textId="77777777" w:rsidR="002D5765" w:rsidRDefault="002D5765" w:rsidP="00361167">
      <w:pPr>
        <w:jc w:val="both"/>
        <w:rPr>
          <w:rFonts w:ascii="Verdana" w:hAnsi="Verdana"/>
          <w:sz w:val="20"/>
          <w:szCs w:val="20"/>
        </w:rPr>
      </w:pPr>
    </w:p>
    <w:p w14:paraId="2EFF1C3F" w14:textId="5FD088CA" w:rsidR="00C768ED" w:rsidRDefault="00C768ED" w:rsidP="00C768ED">
      <w:pPr>
        <w:rPr>
          <w:rFonts w:ascii="Verdana" w:hAnsi="Verdana"/>
          <w:b/>
          <w:bCs/>
          <w:sz w:val="24"/>
          <w:szCs w:val="24"/>
        </w:rPr>
      </w:pPr>
      <w:r w:rsidRPr="00C65B87">
        <w:rPr>
          <w:rFonts w:ascii="Verdana" w:hAnsi="Verdana"/>
          <w:b/>
          <w:bCs/>
          <w:sz w:val="24"/>
          <w:szCs w:val="24"/>
        </w:rPr>
        <w:t>Overall summary and conclusion</w:t>
      </w:r>
    </w:p>
    <w:p w14:paraId="5E1C9FF2" w14:textId="72721BB7" w:rsidR="00D75C49" w:rsidRPr="00C65B87" w:rsidRDefault="00D75C49" w:rsidP="00C768ED">
      <w:pPr>
        <w:rPr>
          <w:rFonts w:ascii="Verdana" w:hAnsi="Verdana"/>
          <w:sz w:val="24"/>
          <w:szCs w:val="24"/>
        </w:rPr>
      </w:pPr>
      <w:r w:rsidRPr="00C65B87">
        <w:rPr>
          <w:rFonts w:ascii="Verdana" w:hAnsi="Verdana"/>
          <w:sz w:val="20"/>
          <w:szCs w:val="20"/>
        </w:rPr>
        <w:t>CIMA has undergone a data analysis for the insurance sector to conclude on the country’s risk exposure to ML/TF and concludes that there is a medium-low risk of the insurance sector being misused for ML/TF purposes. While the risks emanating from the nature, scale and complexity, products and services</w:t>
      </w:r>
      <w:r w:rsidR="006F4AD7" w:rsidRPr="00C65B87">
        <w:rPr>
          <w:rFonts w:ascii="Verdana" w:hAnsi="Verdana"/>
          <w:sz w:val="20"/>
          <w:szCs w:val="20"/>
        </w:rPr>
        <w:t xml:space="preserve"> and types of customers are determined to be low and medium-low respectively, delivery channels have been determined as medium-high. The weighting of these risk factors resulted in a composite ML/TF risk rating of medium-low for the sector.  </w:t>
      </w:r>
    </w:p>
    <w:p w14:paraId="6E1A83F1" w14:textId="1306ACAC" w:rsidR="001B7137" w:rsidRPr="00CA3351" w:rsidRDefault="001B7137" w:rsidP="008426E4">
      <w:pPr>
        <w:jc w:val="both"/>
        <w:rPr>
          <w:rFonts w:ascii="Verdana" w:hAnsi="Verdana"/>
          <w:sz w:val="20"/>
          <w:szCs w:val="20"/>
        </w:rPr>
      </w:pPr>
    </w:p>
    <w:p w14:paraId="5203367E" w14:textId="3B538D4E" w:rsidR="005E5E73" w:rsidRPr="00CA3351" w:rsidRDefault="005E5E73" w:rsidP="008426E4">
      <w:pPr>
        <w:jc w:val="both"/>
        <w:rPr>
          <w:rFonts w:ascii="Verdana" w:hAnsi="Verdana"/>
          <w:sz w:val="20"/>
          <w:szCs w:val="20"/>
        </w:rPr>
      </w:pPr>
    </w:p>
    <w:p w14:paraId="76166CB2" w14:textId="67167A0B" w:rsidR="001B7137" w:rsidRPr="00CA3351" w:rsidRDefault="001B7137" w:rsidP="008426E4">
      <w:pPr>
        <w:jc w:val="both"/>
        <w:rPr>
          <w:rFonts w:ascii="Verdana" w:hAnsi="Verdana"/>
          <w:sz w:val="20"/>
          <w:szCs w:val="20"/>
        </w:rPr>
      </w:pPr>
    </w:p>
    <w:p w14:paraId="3694058E" w14:textId="6CAAD4D8" w:rsidR="001B7137" w:rsidRPr="00CA3351" w:rsidRDefault="001B7137" w:rsidP="008426E4">
      <w:pPr>
        <w:jc w:val="both"/>
        <w:rPr>
          <w:rFonts w:ascii="Verdana" w:hAnsi="Verdana"/>
          <w:sz w:val="20"/>
          <w:szCs w:val="20"/>
        </w:rPr>
      </w:pPr>
      <w:bookmarkStart w:id="2" w:name="_GoBack"/>
      <w:bookmarkEnd w:id="2"/>
    </w:p>
    <w:p w14:paraId="618C1136" w14:textId="557D3276" w:rsidR="001B7137" w:rsidRPr="00CA3351" w:rsidRDefault="001B7137" w:rsidP="008426E4">
      <w:pPr>
        <w:jc w:val="both"/>
        <w:rPr>
          <w:rFonts w:ascii="Verdana" w:hAnsi="Verdana"/>
          <w:sz w:val="20"/>
          <w:szCs w:val="20"/>
        </w:rPr>
      </w:pPr>
    </w:p>
    <w:p w14:paraId="3F05BDA5" w14:textId="5A49488B" w:rsidR="001B7137" w:rsidRPr="00CA3351" w:rsidRDefault="001B7137" w:rsidP="008426E4">
      <w:pPr>
        <w:jc w:val="both"/>
        <w:rPr>
          <w:rFonts w:ascii="Verdana" w:hAnsi="Verdana"/>
          <w:sz w:val="20"/>
          <w:szCs w:val="20"/>
        </w:rPr>
      </w:pPr>
    </w:p>
    <w:sectPr w:rsidR="001B7137" w:rsidRPr="00CA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BC2"/>
    <w:multiLevelType w:val="hybridMultilevel"/>
    <w:tmpl w:val="62A2481E"/>
    <w:lvl w:ilvl="0" w:tplc="2A76780A">
      <w:start w:val="1"/>
      <w:numFmt w:val="bullet"/>
      <w:lvlText w:val="◦"/>
      <w:lvlJc w:val="left"/>
      <w:pPr>
        <w:tabs>
          <w:tab w:val="num" w:pos="720"/>
        </w:tabs>
        <w:ind w:left="720" w:hanging="360"/>
      </w:pPr>
      <w:rPr>
        <w:rFonts w:ascii="Verdana" w:hAnsi="Verdana" w:hint="default"/>
      </w:rPr>
    </w:lvl>
    <w:lvl w:ilvl="1" w:tplc="77961CEA">
      <w:start w:val="1"/>
      <w:numFmt w:val="bullet"/>
      <w:lvlText w:val="◦"/>
      <w:lvlJc w:val="left"/>
      <w:pPr>
        <w:tabs>
          <w:tab w:val="num" w:pos="1440"/>
        </w:tabs>
        <w:ind w:left="1440" w:hanging="360"/>
      </w:pPr>
      <w:rPr>
        <w:rFonts w:ascii="Verdana" w:hAnsi="Verdana" w:hint="default"/>
      </w:rPr>
    </w:lvl>
    <w:lvl w:ilvl="2" w:tplc="C7382984" w:tentative="1">
      <w:start w:val="1"/>
      <w:numFmt w:val="bullet"/>
      <w:lvlText w:val="◦"/>
      <w:lvlJc w:val="left"/>
      <w:pPr>
        <w:tabs>
          <w:tab w:val="num" w:pos="2160"/>
        </w:tabs>
        <w:ind w:left="2160" w:hanging="360"/>
      </w:pPr>
      <w:rPr>
        <w:rFonts w:ascii="Verdana" w:hAnsi="Verdana" w:hint="default"/>
      </w:rPr>
    </w:lvl>
    <w:lvl w:ilvl="3" w:tplc="0AA47EDE" w:tentative="1">
      <w:start w:val="1"/>
      <w:numFmt w:val="bullet"/>
      <w:lvlText w:val="◦"/>
      <w:lvlJc w:val="left"/>
      <w:pPr>
        <w:tabs>
          <w:tab w:val="num" w:pos="2880"/>
        </w:tabs>
        <w:ind w:left="2880" w:hanging="360"/>
      </w:pPr>
      <w:rPr>
        <w:rFonts w:ascii="Verdana" w:hAnsi="Verdana" w:hint="default"/>
      </w:rPr>
    </w:lvl>
    <w:lvl w:ilvl="4" w:tplc="7F1CDB18" w:tentative="1">
      <w:start w:val="1"/>
      <w:numFmt w:val="bullet"/>
      <w:lvlText w:val="◦"/>
      <w:lvlJc w:val="left"/>
      <w:pPr>
        <w:tabs>
          <w:tab w:val="num" w:pos="3600"/>
        </w:tabs>
        <w:ind w:left="3600" w:hanging="360"/>
      </w:pPr>
      <w:rPr>
        <w:rFonts w:ascii="Verdana" w:hAnsi="Verdana" w:hint="default"/>
      </w:rPr>
    </w:lvl>
    <w:lvl w:ilvl="5" w:tplc="A498E9A8" w:tentative="1">
      <w:start w:val="1"/>
      <w:numFmt w:val="bullet"/>
      <w:lvlText w:val="◦"/>
      <w:lvlJc w:val="left"/>
      <w:pPr>
        <w:tabs>
          <w:tab w:val="num" w:pos="4320"/>
        </w:tabs>
        <w:ind w:left="4320" w:hanging="360"/>
      </w:pPr>
      <w:rPr>
        <w:rFonts w:ascii="Verdana" w:hAnsi="Verdana" w:hint="default"/>
      </w:rPr>
    </w:lvl>
    <w:lvl w:ilvl="6" w:tplc="81AC3D4A" w:tentative="1">
      <w:start w:val="1"/>
      <w:numFmt w:val="bullet"/>
      <w:lvlText w:val="◦"/>
      <w:lvlJc w:val="left"/>
      <w:pPr>
        <w:tabs>
          <w:tab w:val="num" w:pos="5040"/>
        </w:tabs>
        <w:ind w:left="5040" w:hanging="360"/>
      </w:pPr>
      <w:rPr>
        <w:rFonts w:ascii="Verdana" w:hAnsi="Verdana" w:hint="default"/>
      </w:rPr>
    </w:lvl>
    <w:lvl w:ilvl="7" w:tplc="BDC6CBE6" w:tentative="1">
      <w:start w:val="1"/>
      <w:numFmt w:val="bullet"/>
      <w:lvlText w:val="◦"/>
      <w:lvlJc w:val="left"/>
      <w:pPr>
        <w:tabs>
          <w:tab w:val="num" w:pos="5760"/>
        </w:tabs>
        <w:ind w:left="5760" w:hanging="360"/>
      </w:pPr>
      <w:rPr>
        <w:rFonts w:ascii="Verdana" w:hAnsi="Verdana" w:hint="default"/>
      </w:rPr>
    </w:lvl>
    <w:lvl w:ilvl="8" w:tplc="E7FA1678"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09C57957"/>
    <w:multiLevelType w:val="hybridMultilevel"/>
    <w:tmpl w:val="68D8C5DC"/>
    <w:lvl w:ilvl="0" w:tplc="5DE21B5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F2019"/>
    <w:multiLevelType w:val="hybridMultilevel"/>
    <w:tmpl w:val="0FBE487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208123FB"/>
    <w:multiLevelType w:val="hybridMultilevel"/>
    <w:tmpl w:val="3460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B184D"/>
    <w:multiLevelType w:val="hybridMultilevel"/>
    <w:tmpl w:val="EF2AB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B0F70"/>
    <w:multiLevelType w:val="hybridMultilevel"/>
    <w:tmpl w:val="6DD299D8"/>
    <w:lvl w:ilvl="0" w:tplc="8CB809C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C2240"/>
    <w:multiLevelType w:val="hybridMultilevel"/>
    <w:tmpl w:val="45CE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921FB"/>
    <w:multiLevelType w:val="hybridMultilevel"/>
    <w:tmpl w:val="B04CF7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4CFE7C2D"/>
    <w:multiLevelType w:val="hybridMultilevel"/>
    <w:tmpl w:val="1EBC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D40C2"/>
    <w:multiLevelType w:val="hybridMultilevel"/>
    <w:tmpl w:val="04B2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D23F3"/>
    <w:multiLevelType w:val="hybridMultilevel"/>
    <w:tmpl w:val="C28E4D32"/>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11" w15:restartNumberingAfterBreak="0">
    <w:nsid w:val="58C36E1C"/>
    <w:multiLevelType w:val="hybridMultilevel"/>
    <w:tmpl w:val="DD0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F6F"/>
    <w:multiLevelType w:val="hybridMultilevel"/>
    <w:tmpl w:val="8370E7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02914"/>
    <w:multiLevelType w:val="hybridMultilevel"/>
    <w:tmpl w:val="C84EF3D4"/>
    <w:lvl w:ilvl="0" w:tplc="8CF66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C6E5A"/>
    <w:multiLevelType w:val="hybridMultilevel"/>
    <w:tmpl w:val="62DC165C"/>
    <w:lvl w:ilvl="0" w:tplc="2E24619A">
      <w:start w:val="1"/>
      <w:numFmt w:val="bullet"/>
      <w:lvlText w:val="◦"/>
      <w:lvlJc w:val="left"/>
      <w:pPr>
        <w:tabs>
          <w:tab w:val="num" w:pos="720"/>
        </w:tabs>
        <w:ind w:left="720" w:hanging="360"/>
      </w:pPr>
      <w:rPr>
        <w:rFonts w:ascii="Verdana" w:hAnsi="Verdana" w:hint="default"/>
      </w:rPr>
    </w:lvl>
    <w:lvl w:ilvl="1" w:tplc="E6E6A828">
      <w:start w:val="1"/>
      <w:numFmt w:val="bullet"/>
      <w:lvlText w:val="◦"/>
      <w:lvlJc w:val="left"/>
      <w:pPr>
        <w:tabs>
          <w:tab w:val="num" w:pos="1440"/>
        </w:tabs>
        <w:ind w:left="1440" w:hanging="360"/>
      </w:pPr>
      <w:rPr>
        <w:rFonts w:ascii="Verdana" w:hAnsi="Verdana" w:hint="default"/>
      </w:rPr>
    </w:lvl>
    <w:lvl w:ilvl="2" w:tplc="B4581A68" w:tentative="1">
      <w:start w:val="1"/>
      <w:numFmt w:val="bullet"/>
      <w:lvlText w:val="◦"/>
      <w:lvlJc w:val="left"/>
      <w:pPr>
        <w:tabs>
          <w:tab w:val="num" w:pos="2160"/>
        </w:tabs>
        <w:ind w:left="2160" w:hanging="360"/>
      </w:pPr>
      <w:rPr>
        <w:rFonts w:ascii="Verdana" w:hAnsi="Verdana" w:hint="default"/>
      </w:rPr>
    </w:lvl>
    <w:lvl w:ilvl="3" w:tplc="6E2AC372" w:tentative="1">
      <w:start w:val="1"/>
      <w:numFmt w:val="bullet"/>
      <w:lvlText w:val="◦"/>
      <w:lvlJc w:val="left"/>
      <w:pPr>
        <w:tabs>
          <w:tab w:val="num" w:pos="2880"/>
        </w:tabs>
        <w:ind w:left="2880" w:hanging="360"/>
      </w:pPr>
      <w:rPr>
        <w:rFonts w:ascii="Verdana" w:hAnsi="Verdana" w:hint="default"/>
      </w:rPr>
    </w:lvl>
    <w:lvl w:ilvl="4" w:tplc="826CCE48" w:tentative="1">
      <w:start w:val="1"/>
      <w:numFmt w:val="bullet"/>
      <w:lvlText w:val="◦"/>
      <w:lvlJc w:val="left"/>
      <w:pPr>
        <w:tabs>
          <w:tab w:val="num" w:pos="3600"/>
        </w:tabs>
        <w:ind w:left="3600" w:hanging="360"/>
      </w:pPr>
      <w:rPr>
        <w:rFonts w:ascii="Verdana" w:hAnsi="Verdana" w:hint="default"/>
      </w:rPr>
    </w:lvl>
    <w:lvl w:ilvl="5" w:tplc="22127E36" w:tentative="1">
      <w:start w:val="1"/>
      <w:numFmt w:val="bullet"/>
      <w:lvlText w:val="◦"/>
      <w:lvlJc w:val="left"/>
      <w:pPr>
        <w:tabs>
          <w:tab w:val="num" w:pos="4320"/>
        </w:tabs>
        <w:ind w:left="4320" w:hanging="360"/>
      </w:pPr>
      <w:rPr>
        <w:rFonts w:ascii="Verdana" w:hAnsi="Verdana" w:hint="default"/>
      </w:rPr>
    </w:lvl>
    <w:lvl w:ilvl="6" w:tplc="4A82D002" w:tentative="1">
      <w:start w:val="1"/>
      <w:numFmt w:val="bullet"/>
      <w:lvlText w:val="◦"/>
      <w:lvlJc w:val="left"/>
      <w:pPr>
        <w:tabs>
          <w:tab w:val="num" w:pos="5040"/>
        </w:tabs>
        <w:ind w:left="5040" w:hanging="360"/>
      </w:pPr>
      <w:rPr>
        <w:rFonts w:ascii="Verdana" w:hAnsi="Verdana" w:hint="default"/>
      </w:rPr>
    </w:lvl>
    <w:lvl w:ilvl="7" w:tplc="66A66184" w:tentative="1">
      <w:start w:val="1"/>
      <w:numFmt w:val="bullet"/>
      <w:lvlText w:val="◦"/>
      <w:lvlJc w:val="left"/>
      <w:pPr>
        <w:tabs>
          <w:tab w:val="num" w:pos="5760"/>
        </w:tabs>
        <w:ind w:left="5760" w:hanging="360"/>
      </w:pPr>
      <w:rPr>
        <w:rFonts w:ascii="Verdana" w:hAnsi="Verdana" w:hint="default"/>
      </w:rPr>
    </w:lvl>
    <w:lvl w:ilvl="8" w:tplc="8A6824EC"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6F835469"/>
    <w:multiLevelType w:val="hybridMultilevel"/>
    <w:tmpl w:val="109C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6473A"/>
    <w:multiLevelType w:val="hybridMultilevel"/>
    <w:tmpl w:val="79B467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80BE1"/>
    <w:multiLevelType w:val="multilevel"/>
    <w:tmpl w:val="AC5011FC"/>
    <w:lvl w:ilvl="0">
      <w:start w:val="1"/>
      <w:numFmt w:val="decimal"/>
      <w:lvlText w:val="%1."/>
      <w:lvlJc w:val="left"/>
      <w:pPr>
        <w:ind w:left="360" w:hanging="360"/>
      </w:pPr>
      <w:rPr>
        <w:rFonts w:hint="default"/>
        <w:sz w:val="22"/>
        <w:szCs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FA24EDF"/>
    <w:multiLevelType w:val="multilevel"/>
    <w:tmpl w:val="0F6C0494"/>
    <w:lvl w:ilvl="0">
      <w:start w:val="1"/>
      <w:numFmt w:val="decimal"/>
      <w:lvlText w:val="%1."/>
      <w:lvlJc w:val="left"/>
      <w:pPr>
        <w:tabs>
          <w:tab w:val="num" w:pos="720"/>
        </w:tabs>
        <w:ind w:left="720" w:hanging="360"/>
      </w:pPr>
    </w:lvl>
    <w:lvl w:ilvl="1">
      <w:start w:val="1"/>
      <w:numFmt w:val="decimal"/>
      <w:pStyle w:val="Heading2"/>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0"/>
  </w:num>
  <w:num w:numId="5">
    <w:abstractNumId w:val="5"/>
  </w:num>
  <w:num w:numId="6">
    <w:abstractNumId w:val="7"/>
  </w:num>
  <w:num w:numId="7">
    <w:abstractNumId w:val="2"/>
  </w:num>
  <w:num w:numId="8">
    <w:abstractNumId w:val="18"/>
  </w:num>
  <w:num w:numId="9">
    <w:abstractNumId w:val="9"/>
  </w:num>
  <w:num w:numId="10">
    <w:abstractNumId w:val="17"/>
  </w:num>
  <w:num w:numId="11">
    <w:abstractNumId w:val="13"/>
  </w:num>
  <w:num w:numId="12">
    <w:abstractNumId w:val="15"/>
  </w:num>
  <w:num w:numId="13">
    <w:abstractNumId w:val="3"/>
  </w:num>
  <w:num w:numId="14">
    <w:abstractNumId w:val="1"/>
  </w:num>
  <w:num w:numId="15">
    <w:abstractNumId w:val="8"/>
  </w:num>
  <w:num w:numId="16">
    <w:abstractNumId w:val="12"/>
  </w:num>
  <w:num w:numId="17">
    <w:abstractNumId w:val="4"/>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90"/>
    <w:rsid w:val="00003060"/>
    <w:rsid w:val="00005AA4"/>
    <w:rsid w:val="00007C0F"/>
    <w:rsid w:val="00013C81"/>
    <w:rsid w:val="00014BC0"/>
    <w:rsid w:val="00017C40"/>
    <w:rsid w:val="000209E3"/>
    <w:rsid w:val="00020A7E"/>
    <w:rsid w:val="00026C76"/>
    <w:rsid w:val="0003040A"/>
    <w:rsid w:val="00040CAC"/>
    <w:rsid w:val="00041864"/>
    <w:rsid w:val="0004350B"/>
    <w:rsid w:val="00044DBC"/>
    <w:rsid w:val="00046FAC"/>
    <w:rsid w:val="000517BF"/>
    <w:rsid w:val="00065663"/>
    <w:rsid w:val="00066FF0"/>
    <w:rsid w:val="00070250"/>
    <w:rsid w:val="000778EB"/>
    <w:rsid w:val="00081FF0"/>
    <w:rsid w:val="000831F8"/>
    <w:rsid w:val="0008531F"/>
    <w:rsid w:val="0008551C"/>
    <w:rsid w:val="00086998"/>
    <w:rsid w:val="00090649"/>
    <w:rsid w:val="00093DB1"/>
    <w:rsid w:val="000A11EA"/>
    <w:rsid w:val="000A16F7"/>
    <w:rsid w:val="000A41BA"/>
    <w:rsid w:val="000A6679"/>
    <w:rsid w:val="000B387E"/>
    <w:rsid w:val="000B5F74"/>
    <w:rsid w:val="000C072D"/>
    <w:rsid w:val="000C0839"/>
    <w:rsid w:val="000C18C7"/>
    <w:rsid w:val="000C1F8F"/>
    <w:rsid w:val="000C7BB3"/>
    <w:rsid w:val="000D5397"/>
    <w:rsid w:val="000D6A23"/>
    <w:rsid w:val="000E0669"/>
    <w:rsid w:val="000E250C"/>
    <w:rsid w:val="000E3102"/>
    <w:rsid w:val="000E4080"/>
    <w:rsid w:val="001115D3"/>
    <w:rsid w:val="00120A79"/>
    <w:rsid w:val="00121391"/>
    <w:rsid w:val="00126507"/>
    <w:rsid w:val="00127054"/>
    <w:rsid w:val="00127783"/>
    <w:rsid w:val="00134BE2"/>
    <w:rsid w:val="00135864"/>
    <w:rsid w:val="001367C2"/>
    <w:rsid w:val="001514B1"/>
    <w:rsid w:val="00153A1A"/>
    <w:rsid w:val="00153E95"/>
    <w:rsid w:val="00155DC5"/>
    <w:rsid w:val="00156BA5"/>
    <w:rsid w:val="00162787"/>
    <w:rsid w:val="00183C7F"/>
    <w:rsid w:val="00195830"/>
    <w:rsid w:val="00195F62"/>
    <w:rsid w:val="001B0B75"/>
    <w:rsid w:val="001B26D7"/>
    <w:rsid w:val="001B7137"/>
    <w:rsid w:val="001C326C"/>
    <w:rsid w:val="001E040B"/>
    <w:rsid w:val="001E24C5"/>
    <w:rsid w:val="001F01FE"/>
    <w:rsid w:val="00201287"/>
    <w:rsid w:val="0021002D"/>
    <w:rsid w:val="0021258B"/>
    <w:rsid w:val="002163DE"/>
    <w:rsid w:val="00217554"/>
    <w:rsid w:val="00233797"/>
    <w:rsid w:val="0023428E"/>
    <w:rsid w:val="00236997"/>
    <w:rsid w:val="00242731"/>
    <w:rsid w:val="00246317"/>
    <w:rsid w:val="0024760A"/>
    <w:rsid w:val="00250BA6"/>
    <w:rsid w:val="00250D54"/>
    <w:rsid w:val="00257540"/>
    <w:rsid w:val="00260FE7"/>
    <w:rsid w:val="0026148E"/>
    <w:rsid w:val="002745F5"/>
    <w:rsid w:val="00275753"/>
    <w:rsid w:val="00280C98"/>
    <w:rsid w:val="00282D07"/>
    <w:rsid w:val="00293EC5"/>
    <w:rsid w:val="00297F12"/>
    <w:rsid w:val="002A04D5"/>
    <w:rsid w:val="002A1CDA"/>
    <w:rsid w:val="002A577D"/>
    <w:rsid w:val="002A7A62"/>
    <w:rsid w:val="002B01D3"/>
    <w:rsid w:val="002B098A"/>
    <w:rsid w:val="002B0DC1"/>
    <w:rsid w:val="002B1F36"/>
    <w:rsid w:val="002B30FF"/>
    <w:rsid w:val="002C5359"/>
    <w:rsid w:val="002D5077"/>
    <w:rsid w:val="002D5225"/>
    <w:rsid w:val="002D53AE"/>
    <w:rsid w:val="002D5765"/>
    <w:rsid w:val="002D68DC"/>
    <w:rsid w:val="002E22BC"/>
    <w:rsid w:val="002E438C"/>
    <w:rsid w:val="002E5CE6"/>
    <w:rsid w:val="002F0434"/>
    <w:rsid w:val="002F5CCE"/>
    <w:rsid w:val="003011E4"/>
    <w:rsid w:val="00306C64"/>
    <w:rsid w:val="003117C0"/>
    <w:rsid w:val="00314AEA"/>
    <w:rsid w:val="003153F2"/>
    <w:rsid w:val="003154D0"/>
    <w:rsid w:val="00317C43"/>
    <w:rsid w:val="0032040A"/>
    <w:rsid w:val="00320935"/>
    <w:rsid w:val="00322CC6"/>
    <w:rsid w:val="003241F6"/>
    <w:rsid w:val="00333B5E"/>
    <w:rsid w:val="00341AEB"/>
    <w:rsid w:val="00345C7C"/>
    <w:rsid w:val="00346D49"/>
    <w:rsid w:val="00361167"/>
    <w:rsid w:val="0036421B"/>
    <w:rsid w:val="0036537C"/>
    <w:rsid w:val="00365CC5"/>
    <w:rsid w:val="00366570"/>
    <w:rsid w:val="0037287A"/>
    <w:rsid w:val="00377F16"/>
    <w:rsid w:val="00382A89"/>
    <w:rsid w:val="0039030F"/>
    <w:rsid w:val="00390689"/>
    <w:rsid w:val="003A46A6"/>
    <w:rsid w:val="003A4806"/>
    <w:rsid w:val="003A4AC5"/>
    <w:rsid w:val="003B0850"/>
    <w:rsid w:val="003B2A97"/>
    <w:rsid w:val="003B350D"/>
    <w:rsid w:val="003B51F7"/>
    <w:rsid w:val="003B7FFE"/>
    <w:rsid w:val="003C2F34"/>
    <w:rsid w:val="003C516C"/>
    <w:rsid w:val="003C6253"/>
    <w:rsid w:val="003D0921"/>
    <w:rsid w:val="003D1B0C"/>
    <w:rsid w:val="003D2340"/>
    <w:rsid w:val="003D3A3A"/>
    <w:rsid w:val="003D59CC"/>
    <w:rsid w:val="003D772F"/>
    <w:rsid w:val="003E045D"/>
    <w:rsid w:val="003E39E4"/>
    <w:rsid w:val="003E3CE2"/>
    <w:rsid w:val="003F278C"/>
    <w:rsid w:val="003F3003"/>
    <w:rsid w:val="003F71C2"/>
    <w:rsid w:val="0040200B"/>
    <w:rsid w:val="004033D5"/>
    <w:rsid w:val="00404C9A"/>
    <w:rsid w:val="00412386"/>
    <w:rsid w:val="00416761"/>
    <w:rsid w:val="004167C3"/>
    <w:rsid w:val="004244E5"/>
    <w:rsid w:val="00427AC8"/>
    <w:rsid w:val="0043057C"/>
    <w:rsid w:val="00431C32"/>
    <w:rsid w:val="004373E4"/>
    <w:rsid w:val="00452D7D"/>
    <w:rsid w:val="00457D86"/>
    <w:rsid w:val="00470BF0"/>
    <w:rsid w:val="00470F11"/>
    <w:rsid w:val="00471CC9"/>
    <w:rsid w:val="004729D1"/>
    <w:rsid w:val="0048099E"/>
    <w:rsid w:val="004830C4"/>
    <w:rsid w:val="00485198"/>
    <w:rsid w:val="00490484"/>
    <w:rsid w:val="00491C80"/>
    <w:rsid w:val="004949D4"/>
    <w:rsid w:val="004953B7"/>
    <w:rsid w:val="00497BC6"/>
    <w:rsid w:val="004A74FF"/>
    <w:rsid w:val="004B0BBA"/>
    <w:rsid w:val="004C0DED"/>
    <w:rsid w:val="004C1E54"/>
    <w:rsid w:val="004C2A1D"/>
    <w:rsid w:val="004D169D"/>
    <w:rsid w:val="004D6B97"/>
    <w:rsid w:val="004E3061"/>
    <w:rsid w:val="004F0604"/>
    <w:rsid w:val="004F1FFA"/>
    <w:rsid w:val="00526BC7"/>
    <w:rsid w:val="00533C02"/>
    <w:rsid w:val="00542E58"/>
    <w:rsid w:val="00544AB7"/>
    <w:rsid w:val="00545781"/>
    <w:rsid w:val="005516B1"/>
    <w:rsid w:val="00551D5C"/>
    <w:rsid w:val="00554356"/>
    <w:rsid w:val="00554886"/>
    <w:rsid w:val="00565697"/>
    <w:rsid w:val="005657B6"/>
    <w:rsid w:val="00583A14"/>
    <w:rsid w:val="005857C7"/>
    <w:rsid w:val="00592CEE"/>
    <w:rsid w:val="00594569"/>
    <w:rsid w:val="005A1462"/>
    <w:rsid w:val="005B0105"/>
    <w:rsid w:val="005B1A80"/>
    <w:rsid w:val="005B20A9"/>
    <w:rsid w:val="005B2AAB"/>
    <w:rsid w:val="005B44EE"/>
    <w:rsid w:val="005C62EB"/>
    <w:rsid w:val="005D1FF0"/>
    <w:rsid w:val="005D410A"/>
    <w:rsid w:val="005E1FED"/>
    <w:rsid w:val="005E40D7"/>
    <w:rsid w:val="005E5E73"/>
    <w:rsid w:val="005F6A88"/>
    <w:rsid w:val="00602F92"/>
    <w:rsid w:val="00604D84"/>
    <w:rsid w:val="00607DAC"/>
    <w:rsid w:val="00613155"/>
    <w:rsid w:val="006155CD"/>
    <w:rsid w:val="006169EF"/>
    <w:rsid w:val="00617B44"/>
    <w:rsid w:val="006409A1"/>
    <w:rsid w:val="00643189"/>
    <w:rsid w:val="0064436E"/>
    <w:rsid w:val="006525DE"/>
    <w:rsid w:val="006527B4"/>
    <w:rsid w:val="00653D5B"/>
    <w:rsid w:val="00664EBF"/>
    <w:rsid w:val="00676A69"/>
    <w:rsid w:val="00680E61"/>
    <w:rsid w:val="006859E4"/>
    <w:rsid w:val="006932BB"/>
    <w:rsid w:val="00694867"/>
    <w:rsid w:val="006A392B"/>
    <w:rsid w:val="006A4559"/>
    <w:rsid w:val="006A4A60"/>
    <w:rsid w:val="006A4B98"/>
    <w:rsid w:val="006B3682"/>
    <w:rsid w:val="006B63E1"/>
    <w:rsid w:val="006D44AF"/>
    <w:rsid w:val="006E05C1"/>
    <w:rsid w:val="006E68D0"/>
    <w:rsid w:val="006E7977"/>
    <w:rsid w:val="006F4AD7"/>
    <w:rsid w:val="007041F4"/>
    <w:rsid w:val="007043B1"/>
    <w:rsid w:val="007076B5"/>
    <w:rsid w:val="00711948"/>
    <w:rsid w:val="00724EE4"/>
    <w:rsid w:val="00731DAF"/>
    <w:rsid w:val="0073382B"/>
    <w:rsid w:val="00734EA6"/>
    <w:rsid w:val="00752922"/>
    <w:rsid w:val="00753D07"/>
    <w:rsid w:val="0076083A"/>
    <w:rsid w:val="0076218E"/>
    <w:rsid w:val="0076281E"/>
    <w:rsid w:val="00764628"/>
    <w:rsid w:val="00771AEA"/>
    <w:rsid w:val="00772EE2"/>
    <w:rsid w:val="00775DEF"/>
    <w:rsid w:val="007778A5"/>
    <w:rsid w:val="007808A5"/>
    <w:rsid w:val="00780D89"/>
    <w:rsid w:val="007900D2"/>
    <w:rsid w:val="0079358A"/>
    <w:rsid w:val="00793C01"/>
    <w:rsid w:val="00796487"/>
    <w:rsid w:val="00797D40"/>
    <w:rsid w:val="007A158B"/>
    <w:rsid w:val="007A33D3"/>
    <w:rsid w:val="007B273B"/>
    <w:rsid w:val="007B2DD5"/>
    <w:rsid w:val="007B3998"/>
    <w:rsid w:val="007E0402"/>
    <w:rsid w:val="007E393B"/>
    <w:rsid w:val="007E41D9"/>
    <w:rsid w:val="007E6920"/>
    <w:rsid w:val="007F1F48"/>
    <w:rsid w:val="007F4A1D"/>
    <w:rsid w:val="007F4D88"/>
    <w:rsid w:val="007F6991"/>
    <w:rsid w:val="007F7609"/>
    <w:rsid w:val="008016F2"/>
    <w:rsid w:val="00802F6D"/>
    <w:rsid w:val="00803701"/>
    <w:rsid w:val="0081037F"/>
    <w:rsid w:val="00811726"/>
    <w:rsid w:val="0081219F"/>
    <w:rsid w:val="0081584B"/>
    <w:rsid w:val="00821882"/>
    <w:rsid w:val="00822EBF"/>
    <w:rsid w:val="00831011"/>
    <w:rsid w:val="00832750"/>
    <w:rsid w:val="00836B62"/>
    <w:rsid w:val="008416D6"/>
    <w:rsid w:val="00841BB0"/>
    <w:rsid w:val="008426E4"/>
    <w:rsid w:val="00847E89"/>
    <w:rsid w:val="00852D6A"/>
    <w:rsid w:val="008541AD"/>
    <w:rsid w:val="00856005"/>
    <w:rsid w:val="0086283B"/>
    <w:rsid w:val="00865C40"/>
    <w:rsid w:val="00875543"/>
    <w:rsid w:val="00880D3F"/>
    <w:rsid w:val="00887DBC"/>
    <w:rsid w:val="00890C1E"/>
    <w:rsid w:val="0089508F"/>
    <w:rsid w:val="00896F19"/>
    <w:rsid w:val="008A3BDC"/>
    <w:rsid w:val="008A6C6B"/>
    <w:rsid w:val="008A6CE3"/>
    <w:rsid w:val="008B0792"/>
    <w:rsid w:val="008B1228"/>
    <w:rsid w:val="008B4BA1"/>
    <w:rsid w:val="008C5915"/>
    <w:rsid w:val="008C5E0D"/>
    <w:rsid w:val="008E6ABA"/>
    <w:rsid w:val="008F4951"/>
    <w:rsid w:val="00901221"/>
    <w:rsid w:val="00905804"/>
    <w:rsid w:val="009105F6"/>
    <w:rsid w:val="0091209D"/>
    <w:rsid w:val="009140B1"/>
    <w:rsid w:val="00914AF8"/>
    <w:rsid w:val="00931F01"/>
    <w:rsid w:val="00934F0B"/>
    <w:rsid w:val="00935654"/>
    <w:rsid w:val="00951684"/>
    <w:rsid w:val="00961C28"/>
    <w:rsid w:val="00966637"/>
    <w:rsid w:val="00967FF4"/>
    <w:rsid w:val="009737F7"/>
    <w:rsid w:val="009851B1"/>
    <w:rsid w:val="00994638"/>
    <w:rsid w:val="009B0955"/>
    <w:rsid w:val="009B4CA1"/>
    <w:rsid w:val="009E6E62"/>
    <w:rsid w:val="009F3826"/>
    <w:rsid w:val="009F382E"/>
    <w:rsid w:val="00A035F1"/>
    <w:rsid w:val="00A05941"/>
    <w:rsid w:val="00A10E60"/>
    <w:rsid w:val="00A15940"/>
    <w:rsid w:val="00A16922"/>
    <w:rsid w:val="00A17195"/>
    <w:rsid w:val="00A22B93"/>
    <w:rsid w:val="00A2631B"/>
    <w:rsid w:val="00A3058A"/>
    <w:rsid w:val="00A308F5"/>
    <w:rsid w:val="00A31E3F"/>
    <w:rsid w:val="00A32961"/>
    <w:rsid w:val="00A365FA"/>
    <w:rsid w:val="00A36B03"/>
    <w:rsid w:val="00A3704F"/>
    <w:rsid w:val="00A54C61"/>
    <w:rsid w:val="00A612CF"/>
    <w:rsid w:val="00A6162B"/>
    <w:rsid w:val="00A660A8"/>
    <w:rsid w:val="00A660AA"/>
    <w:rsid w:val="00A754C1"/>
    <w:rsid w:val="00A76A31"/>
    <w:rsid w:val="00A76AC6"/>
    <w:rsid w:val="00A76BE4"/>
    <w:rsid w:val="00A8042C"/>
    <w:rsid w:val="00A840B9"/>
    <w:rsid w:val="00A86D88"/>
    <w:rsid w:val="00A90E94"/>
    <w:rsid w:val="00AA025F"/>
    <w:rsid w:val="00AA55FC"/>
    <w:rsid w:val="00AA59B0"/>
    <w:rsid w:val="00AA625A"/>
    <w:rsid w:val="00AD1406"/>
    <w:rsid w:val="00AD4610"/>
    <w:rsid w:val="00AE1363"/>
    <w:rsid w:val="00AE3DC1"/>
    <w:rsid w:val="00AE63D5"/>
    <w:rsid w:val="00AF1B93"/>
    <w:rsid w:val="00AF4751"/>
    <w:rsid w:val="00AF7DF4"/>
    <w:rsid w:val="00B174F6"/>
    <w:rsid w:val="00B2226D"/>
    <w:rsid w:val="00B24655"/>
    <w:rsid w:val="00B3277F"/>
    <w:rsid w:val="00B32D8D"/>
    <w:rsid w:val="00B44641"/>
    <w:rsid w:val="00B47697"/>
    <w:rsid w:val="00B502CE"/>
    <w:rsid w:val="00B52583"/>
    <w:rsid w:val="00B608EC"/>
    <w:rsid w:val="00B65B06"/>
    <w:rsid w:val="00B76663"/>
    <w:rsid w:val="00B834E4"/>
    <w:rsid w:val="00B8799C"/>
    <w:rsid w:val="00B93068"/>
    <w:rsid w:val="00B9537E"/>
    <w:rsid w:val="00BA333E"/>
    <w:rsid w:val="00BB39E9"/>
    <w:rsid w:val="00BB5656"/>
    <w:rsid w:val="00BC1135"/>
    <w:rsid w:val="00BC6326"/>
    <w:rsid w:val="00BD47CC"/>
    <w:rsid w:val="00BD7F48"/>
    <w:rsid w:val="00BE1389"/>
    <w:rsid w:val="00BE1D9D"/>
    <w:rsid w:val="00BF0F6C"/>
    <w:rsid w:val="00BF5ED0"/>
    <w:rsid w:val="00C04E10"/>
    <w:rsid w:val="00C06A00"/>
    <w:rsid w:val="00C11A70"/>
    <w:rsid w:val="00C12D47"/>
    <w:rsid w:val="00C160B5"/>
    <w:rsid w:val="00C2372E"/>
    <w:rsid w:val="00C27753"/>
    <w:rsid w:val="00C31ED6"/>
    <w:rsid w:val="00C37826"/>
    <w:rsid w:val="00C40456"/>
    <w:rsid w:val="00C4221E"/>
    <w:rsid w:val="00C51128"/>
    <w:rsid w:val="00C63A3F"/>
    <w:rsid w:val="00C65B87"/>
    <w:rsid w:val="00C6602A"/>
    <w:rsid w:val="00C66D80"/>
    <w:rsid w:val="00C70336"/>
    <w:rsid w:val="00C7152C"/>
    <w:rsid w:val="00C75E6B"/>
    <w:rsid w:val="00C76235"/>
    <w:rsid w:val="00C768ED"/>
    <w:rsid w:val="00C7787C"/>
    <w:rsid w:val="00C8115B"/>
    <w:rsid w:val="00C87C85"/>
    <w:rsid w:val="00C95D91"/>
    <w:rsid w:val="00CA3351"/>
    <w:rsid w:val="00CA7082"/>
    <w:rsid w:val="00CA74EB"/>
    <w:rsid w:val="00CB39D9"/>
    <w:rsid w:val="00CB5CAF"/>
    <w:rsid w:val="00CC1423"/>
    <w:rsid w:val="00CC470C"/>
    <w:rsid w:val="00CC6CF3"/>
    <w:rsid w:val="00CD0D8F"/>
    <w:rsid w:val="00CD14C2"/>
    <w:rsid w:val="00CD28B0"/>
    <w:rsid w:val="00CE075C"/>
    <w:rsid w:val="00CE20CB"/>
    <w:rsid w:val="00CE213E"/>
    <w:rsid w:val="00CE3A3D"/>
    <w:rsid w:val="00CE69D4"/>
    <w:rsid w:val="00CE6D92"/>
    <w:rsid w:val="00CF1221"/>
    <w:rsid w:val="00CF47D2"/>
    <w:rsid w:val="00D03614"/>
    <w:rsid w:val="00D04F3D"/>
    <w:rsid w:val="00D06467"/>
    <w:rsid w:val="00D167BF"/>
    <w:rsid w:val="00D16BCE"/>
    <w:rsid w:val="00D259E5"/>
    <w:rsid w:val="00D34AF8"/>
    <w:rsid w:val="00D40886"/>
    <w:rsid w:val="00D42E64"/>
    <w:rsid w:val="00D4370B"/>
    <w:rsid w:val="00D51B8B"/>
    <w:rsid w:val="00D5404F"/>
    <w:rsid w:val="00D62AD1"/>
    <w:rsid w:val="00D65BBC"/>
    <w:rsid w:val="00D65D56"/>
    <w:rsid w:val="00D70DE1"/>
    <w:rsid w:val="00D75C49"/>
    <w:rsid w:val="00D87FA0"/>
    <w:rsid w:val="00D95C49"/>
    <w:rsid w:val="00D95CD7"/>
    <w:rsid w:val="00DA1E22"/>
    <w:rsid w:val="00DB0D44"/>
    <w:rsid w:val="00DB1DBF"/>
    <w:rsid w:val="00DC77DA"/>
    <w:rsid w:val="00DD7B79"/>
    <w:rsid w:val="00DE09D4"/>
    <w:rsid w:val="00DE0F1E"/>
    <w:rsid w:val="00DF3166"/>
    <w:rsid w:val="00DF5E8B"/>
    <w:rsid w:val="00E06C6C"/>
    <w:rsid w:val="00E15622"/>
    <w:rsid w:val="00E16A1A"/>
    <w:rsid w:val="00E27128"/>
    <w:rsid w:val="00E27EA4"/>
    <w:rsid w:val="00E41694"/>
    <w:rsid w:val="00E45EBA"/>
    <w:rsid w:val="00E501F8"/>
    <w:rsid w:val="00E54455"/>
    <w:rsid w:val="00E55D16"/>
    <w:rsid w:val="00E57000"/>
    <w:rsid w:val="00E70418"/>
    <w:rsid w:val="00E82DA6"/>
    <w:rsid w:val="00E902EE"/>
    <w:rsid w:val="00E91B38"/>
    <w:rsid w:val="00E94BAA"/>
    <w:rsid w:val="00EA2F4F"/>
    <w:rsid w:val="00EA73BD"/>
    <w:rsid w:val="00EB0CC0"/>
    <w:rsid w:val="00EB24BF"/>
    <w:rsid w:val="00EC231E"/>
    <w:rsid w:val="00EC3056"/>
    <w:rsid w:val="00EC54AC"/>
    <w:rsid w:val="00EC5AAA"/>
    <w:rsid w:val="00EC5CA6"/>
    <w:rsid w:val="00ED1D68"/>
    <w:rsid w:val="00ED22D4"/>
    <w:rsid w:val="00EE43EA"/>
    <w:rsid w:val="00EF0829"/>
    <w:rsid w:val="00EF5EFA"/>
    <w:rsid w:val="00F00140"/>
    <w:rsid w:val="00F121A6"/>
    <w:rsid w:val="00F13698"/>
    <w:rsid w:val="00F172FA"/>
    <w:rsid w:val="00F21976"/>
    <w:rsid w:val="00F2243D"/>
    <w:rsid w:val="00F30320"/>
    <w:rsid w:val="00F32621"/>
    <w:rsid w:val="00F34065"/>
    <w:rsid w:val="00F40C2D"/>
    <w:rsid w:val="00F42334"/>
    <w:rsid w:val="00F4448A"/>
    <w:rsid w:val="00F4529B"/>
    <w:rsid w:val="00F46E6D"/>
    <w:rsid w:val="00F50760"/>
    <w:rsid w:val="00F51491"/>
    <w:rsid w:val="00F56703"/>
    <w:rsid w:val="00F60730"/>
    <w:rsid w:val="00F62A75"/>
    <w:rsid w:val="00F66183"/>
    <w:rsid w:val="00F72C90"/>
    <w:rsid w:val="00F75DEB"/>
    <w:rsid w:val="00F770F0"/>
    <w:rsid w:val="00F816ED"/>
    <w:rsid w:val="00F906A9"/>
    <w:rsid w:val="00F94290"/>
    <w:rsid w:val="00F945C0"/>
    <w:rsid w:val="00F9478A"/>
    <w:rsid w:val="00F95600"/>
    <w:rsid w:val="00FA0F00"/>
    <w:rsid w:val="00FA102C"/>
    <w:rsid w:val="00FA1700"/>
    <w:rsid w:val="00FA1CB4"/>
    <w:rsid w:val="00FA42B1"/>
    <w:rsid w:val="00FB06FE"/>
    <w:rsid w:val="00FB0D48"/>
    <w:rsid w:val="00FB1236"/>
    <w:rsid w:val="00FB670F"/>
    <w:rsid w:val="00FC3217"/>
    <w:rsid w:val="00FD0555"/>
    <w:rsid w:val="00FD1956"/>
    <w:rsid w:val="00FD389A"/>
    <w:rsid w:val="00FE0B57"/>
    <w:rsid w:val="00FF1BE3"/>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BA1A"/>
  <w15:docId w15:val="{7CCE40B2-7AD7-407C-A41B-4531B0D0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3166"/>
    <w:pPr>
      <w:numPr>
        <w:ilvl w:val="1"/>
        <w:numId w:val="8"/>
      </w:numPr>
      <w:spacing w:before="240" w:after="60" w:line="240" w:lineRule="auto"/>
      <w:outlineLvl w:val="1"/>
    </w:pPr>
    <w:rPr>
      <w:rFonts w:ascii="Calibri" w:eastAsiaTheme="minorEastAsia" w:hAnsi="Calibri"/>
      <w:szCs w:val="28"/>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E1"/>
    <w:rPr>
      <w:rFonts w:ascii="Tahoma" w:hAnsi="Tahoma" w:cs="Tahoma"/>
      <w:sz w:val="16"/>
      <w:szCs w:val="16"/>
    </w:rPr>
  </w:style>
  <w:style w:type="table" w:styleId="TableGrid">
    <w:name w:val="Table Grid"/>
    <w:basedOn w:val="TableNormal"/>
    <w:uiPriority w:val="59"/>
    <w:rsid w:val="0079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RA List Paragraph,NRA List Paragra"/>
    <w:basedOn w:val="Normal"/>
    <w:link w:val="ListParagraphChar"/>
    <w:uiPriority w:val="34"/>
    <w:qFormat/>
    <w:rsid w:val="00793C01"/>
    <w:pPr>
      <w:ind w:left="720"/>
      <w:contextualSpacing/>
    </w:pPr>
  </w:style>
  <w:style w:type="paragraph" w:customStyle="1" w:styleId="Default">
    <w:name w:val="Default"/>
    <w:rsid w:val="00D04F3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A8042C"/>
    <w:rPr>
      <w:sz w:val="16"/>
      <w:szCs w:val="16"/>
    </w:rPr>
  </w:style>
  <w:style w:type="paragraph" w:styleId="CommentText">
    <w:name w:val="annotation text"/>
    <w:basedOn w:val="Normal"/>
    <w:link w:val="CommentTextChar"/>
    <w:uiPriority w:val="99"/>
    <w:semiHidden/>
    <w:unhideWhenUsed/>
    <w:rsid w:val="00A8042C"/>
    <w:pPr>
      <w:spacing w:line="240" w:lineRule="auto"/>
    </w:pPr>
    <w:rPr>
      <w:sz w:val="20"/>
      <w:szCs w:val="20"/>
    </w:rPr>
  </w:style>
  <w:style w:type="character" w:customStyle="1" w:styleId="CommentTextChar">
    <w:name w:val="Comment Text Char"/>
    <w:basedOn w:val="DefaultParagraphFont"/>
    <w:link w:val="CommentText"/>
    <w:uiPriority w:val="99"/>
    <w:semiHidden/>
    <w:rsid w:val="00A8042C"/>
    <w:rPr>
      <w:sz w:val="20"/>
      <w:szCs w:val="20"/>
    </w:rPr>
  </w:style>
  <w:style w:type="paragraph" w:styleId="CommentSubject">
    <w:name w:val="annotation subject"/>
    <w:basedOn w:val="CommentText"/>
    <w:next w:val="CommentText"/>
    <w:link w:val="CommentSubjectChar"/>
    <w:uiPriority w:val="99"/>
    <w:semiHidden/>
    <w:unhideWhenUsed/>
    <w:rsid w:val="00A8042C"/>
    <w:rPr>
      <w:b/>
      <w:bCs/>
    </w:rPr>
  </w:style>
  <w:style w:type="character" w:customStyle="1" w:styleId="CommentSubjectChar">
    <w:name w:val="Comment Subject Char"/>
    <w:basedOn w:val="CommentTextChar"/>
    <w:link w:val="CommentSubject"/>
    <w:uiPriority w:val="99"/>
    <w:semiHidden/>
    <w:rsid w:val="00A8042C"/>
    <w:rPr>
      <w:b/>
      <w:bCs/>
      <w:sz w:val="20"/>
      <w:szCs w:val="20"/>
    </w:rPr>
  </w:style>
  <w:style w:type="character" w:styleId="Emphasis">
    <w:name w:val="Emphasis"/>
    <w:basedOn w:val="DefaultParagraphFont"/>
    <w:uiPriority w:val="20"/>
    <w:qFormat/>
    <w:rsid w:val="00F00140"/>
    <w:rPr>
      <w:i/>
      <w:iCs/>
    </w:rPr>
  </w:style>
  <w:style w:type="character" w:customStyle="1" w:styleId="Heading2Char">
    <w:name w:val="Heading 2 Char"/>
    <w:basedOn w:val="DefaultParagraphFont"/>
    <w:link w:val="Heading2"/>
    <w:uiPriority w:val="9"/>
    <w:rsid w:val="00DF3166"/>
    <w:rPr>
      <w:rFonts w:ascii="Calibri" w:eastAsiaTheme="minorEastAsia" w:hAnsi="Calibri"/>
      <w:szCs w:val="28"/>
      <w:lang w:val="en-GB" w:eastAsia="zh-TW"/>
    </w:rPr>
  </w:style>
  <w:style w:type="paragraph" w:styleId="NormalWeb">
    <w:name w:val="Normal (Web)"/>
    <w:basedOn w:val="Normal"/>
    <w:uiPriority w:val="99"/>
    <w:unhideWhenUsed/>
    <w:rsid w:val="00DF31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NRA List Paragraph Char,NRA List Paragra Char"/>
    <w:basedOn w:val="DefaultParagraphFont"/>
    <w:link w:val="ListParagraph"/>
    <w:uiPriority w:val="34"/>
    <w:rsid w:val="00DF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05261">
      <w:bodyDiv w:val="1"/>
      <w:marLeft w:val="0"/>
      <w:marRight w:val="0"/>
      <w:marTop w:val="0"/>
      <w:marBottom w:val="0"/>
      <w:divBdr>
        <w:top w:val="none" w:sz="0" w:space="0" w:color="auto"/>
        <w:left w:val="none" w:sz="0" w:space="0" w:color="auto"/>
        <w:bottom w:val="none" w:sz="0" w:space="0" w:color="auto"/>
        <w:right w:val="none" w:sz="0" w:space="0" w:color="auto"/>
      </w:divBdr>
      <w:divsChild>
        <w:div w:id="1782913127">
          <w:marLeft w:val="979"/>
          <w:marRight w:val="0"/>
          <w:marTop w:val="65"/>
          <w:marBottom w:val="0"/>
          <w:divBdr>
            <w:top w:val="none" w:sz="0" w:space="0" w:color="auto"/>
            <w:left w:val="none" w:sz="0" w:space="0" w:color="auto"/>
            <w:bottom w:val="none" w:sz="0" w:space="0" w:color="auto"/>
            <w:right w:val="none" w:sz="0" w:space="0" w:color="auto"/>
          </w:divBdr>
        </w:div>
      </w:divsChild>
    </w:div>
    <w:div w:id="1801917807">
      <w:bodyDiv w:val="1"/>
      <w:marLeft w:val="0"/>
      <w:marRight w:val="0"/>
      <w:marTop w:val="0"/>
      <w:marBottom w:val="0"/>
      <w:divBdr>
        <w:top w:val="none" w:sz="0" w:space="0" w:color="auto"/>
        <w:left w:val="none" w:sz="0" w:space="0" w:color="auto"/>
        <w:bottom w:val="none" w:sz="0" w:space="0" w:color="auto"/>
        <w:right w:val="none" w:sz="0" w:space="0" w:color="auto"/>
      </w:divBdr>
      <w:divsChild>
        <w:div w:id="1275405778">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chemeClr val="accent1"/>
            </a:solidFill>
            <a:ln>
              <a:noFill/>
            </a:ln>
            <a:effectLst/>
          </c:spPr>
          <c:invertIfNegative val="0"/>
          <c:cat>
            <c:strRef>
              <c:f>Sheet1!$A$1:$A$7</c:f>
              <c:strCache>
                <c:ptCount val="7"/>
                <c:pt idx="0">
                  <c:v>Health</c:v>
                </c:pt>
                <c:pt idx="1">
                  <c:v>Property</c:v>
                </c:pt>
                <c:pt idx="2">
                  <c:v>Liability</c:v>
                </c:pt>
                <c:pt idx="3">
                  <c:v>Marine &amp; Avaition</c:v>
                </c:pt>
                <c:pt idx="4">
                  <c:v>Motor</c:v>
                </c:pt>
                <c:pt idx="5">
                  <c:v>Life</c:v>
                </c:pt>
                <c:pt idx="6">
                  <c:v>other</c:v>
                </c:pt>
              </c:strCache>
            </c:strRef>
          </c:cat>
          <c:val>
            <c:numRef>
              <c:f>Sheet1!$B$1:$B$7</c:f>
              <c:numCache>
                <c:formatCode>0%</c:formatCode>
                <c:ptCount val="7"/>
                <c:pt idx="0">
                  <c:v>0.45036936921234449</c:v>
                </c:pt>
                <c:pt idx="1">
                  <c:v>0.24758045005131551</c:v>
                </c:pt>
                <c:pt idx="2">
                  <c:v>0.11992081933419353</c:v>
                </c:pt>
                <c:pt idx="3">
                  <c:v>4.7930362798511213E-2</c:v>
                </c:pt>
                <c:pt idx="4">
                  <c:v>4.5414351674795093E-2</c:v>
                </c:pt>
                <c:pt idx="5">
                  <c:v>3.2517019443382818E-2</c:v>
                </c:pt>
                <c:pt idx="6">
                  <c:v>5.6267627485457307E-2</c:v>
                </c:pt>
              </c:numCache>
            </c:numRef>
          </c:val>
          <c:extLst>
            <c:ext xmlns:c16="http://schemas.microsoft.com/office/drawing/2014/chart" uri="{C3380CC4-5D6E-409C-BE32-E72D297353CC}">
              <c16:uniqueId val="{00000000-5902-49FA-9F1E-321EF6FF6A1F}"/>
            </c:ext>
          </c:extLst>
        </c:ser>
        <c:dLbls>
          <c:showLegendKey val="0"/>
          <c:showVal val="0"/>
          <c:showCatName val="0"/>
          <c:showSerName val="0"/>
          <c:showPercent val="0"/>
          <c:showBubbleSize val="0"/>
        </c:dLbls>
        <c:gapWidth val="150"/>
        <c:overlap val="100"/>
        <c:axId val="413231712"/>
        <c:axId val="413243520"/>
      </c:barChart>
      <c:catAx>
        <c:axId val="413231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243520"/>
        <c:crosses val="autoZero"/>
        <c:auto val="1"/>
        <c:lblAlgn val="ctr"/>
        <c:lblOffset val="100"/>
        <c:noMultiLvlLbl val="0"/>
      </c:catAx>
      <c:valAx>
        <c:axId val="413243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231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14</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Jayasekera, Ruwan</dc:creator>
  <cp:lastModifiedBy>Ebanks, Kara</cp:lastModifiedBy>
  <cp:revision>4</cp:revision>
  <cp:lastPrinted>2020-01-18T18:06:00Z</cp:lastPrinted>
  <dcterms:created xsi:type="dcterms:W3CDTF">2020-01-24T15:03:00Z</dcterms:created>
  <dcterms:modified xsi:type="dcterms:W3CDTF">2020-01-24T21:18:00Z</dcterms:modified>
</cp:coreProperties>
</file>